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07" w:rsidRDefault="00691107" w:rsidP="00691107">
      <w:pPr>
        <w:rPr>
          <w:rFonts w:ascii="Verdana" w:hAnsi="Verdana"/>
          <w:sz w:val="20"/>
          <w:szCs w:val="20"/>
        </w:rPr>
      </w:pPr>
    </w:p>
    <w:p w:rsidR="00691107" w:rsidRDefault="00691107" w:rsidP="00691107">
      <w:pPr>
        <w:jc w:val="center"/>
        <w:rPr>
          <w:b/>
          <w:lang w:val="en-US"/>
        </w:rPr>
      </w:pPr>
      <w:r w:rsidRPr="007E4430">
        <w:rPr>
          <w:b/>
          <w:noProof/>
          <w:lang w:eastAsia="en-AU"/>
        </w:rPr>
        <w:drawing>
          <wp:inline distT="0" distB="0" distL="0" distR="0" wp14:anchorId="25D56597" wp14:editId="06A7252E">
            <wp:extent cx="1117600" cy="8940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7600" cy="894080"/>
                    </a:xfrm>
                    <a:prstGeom prst="rect">
                      <a:avLst/>
                    </a:prstGeom>
                    <a:noFill/>
                  </pic:spPr>
                </pic:pic>
              </a:graphicData>
            </a:graphic>
          </wp:inline>
        </w:drawing>
      </w:r>
    </w:p>
    <w:p w:rsidR="00691107" w:rsidRPr="00A11A47" w:rsidRDefault="00691107" w:rsidP="00691107">
      <w:pPr>
        <w:jc w:val="center"/>
        <w:rPr>
          <w:b/>
        </w:rPr>
      </w:pPr>
      <w:r w:rsidRPr="00A11A47">
        <w:rPr>
          <w:b/>
        </w:rPr>
        <w:t>TASMANIA</w:t>
      </w:r>
    </w:p>
    <w:p w:rsidR="00691107" w:rsidRPr="00A11A47" w:rsidRDefault="00691107" w:rsidP="00691107">
      <w:pPr>
        <w:jc w:val="center"/>
        <w:rPr>
          <w:b/>
        </w:rPr>
      </w:pPr>
    </w:p>
    <w:p w:rsidR="00691107" w:rsidRPr="00A11A47" w:rsidRDefault="00691107" w:rsidP="00691107">
      <w:pPr>
        <w:jc w:val="center"/>
        <w:rPr>
          <w:b/>
        </w:rPr>
      </w:pPr>
      <w:r w:rsidRPr="00A11A47">
        <w:rPr>
          <w:rFonts w:ascii="Verdana" w:hAnsi="Verdana"/>
          <w:b/>
          <w:noProof/>
          <w:lang w:eastAsia="en-AU"/>
        </w:rPr>
        <w:t>TASMANIAN INDUSTRIAL COMMISSION</w:t>
      </w:r>
    </w:p>
    <w:p w:rsidR="00691107" w:rsidRPr="00A11A47" w:rsidRDefault="00691107" w:rsidP="00691107">
      <w:pPr>
        <w:jc w:val="center"/>
        <w:rPr>
          <w:b/>
        </w:rPr>
      </w:pPr>
    </w:p>
    <w:p w:rsidR="00691107" w:rsidRPr="00A11A47" w:rsidRDefault="00691107" w:rsidP="00691107">
      <w:pPr>
        <w:rPr>
          <w:b/>
        </w:rPr>
      </w:pPr>
    </w:p>
    <w:p w:rsidR="00691107" w:rsidRPr="00A11A47" w:rsidRDefault="00691107" w:rsidP="00691107">
      <w:pPr>
        <w:jc w:val="center"/>
        <w:rPr>
          <w:b/>
        </w:rPr>
      </w:pPr>
    </w:p>
    <w:p w:rsidR="00691107" w:rsidRPr="00A11A47" w:rsidRDefault="00691107" w:rsidP="00691107">
      <w:pPr>
        <w:jc w:val="center"/>
        <w:rPr>
          <w:rFonts w:ascii="Verdana" w:hAnsi="Verdana"/>
          <w:b/>
          <w:sz w:val="20"/>
          <w:szCs w:val="20"/>
        </w:rPr>
      </w:pPr>
    </w:p>
    <w:p w:rsidR="00691107" w:rsidRPr="00A11A47" w:rsidRDefault="00691107" w:rsidP="00691107">
      <w:pPr>
        <w:jc w:val="center"/>
        <w:rPr>
          <w:rFonts w:ascii="Verdana" w:hAnsi="Verdana"/>
          <w:b/>
        </w:rPr>
      </w:pPr>
      <w:r w:rsidRPr="00A11A47">
        <w:rPr>
          <w:rFonts w:ascii="Verdana" w:hAnsi="Verdana"/>
          <w:b/>
        </w:rPr>
        <w:t>PARLIAMENTARY SALARIES</w:t>
      </w:r>
    </w:p>
    <w:p w:rsidR="00691107" w:rsidRPr="00A11A47" w:rsidRDefault="00691107" w:rsidP="00691107">
      <w:pPr>
        <w:jc w:val="center"/>
        <w:rPr>
          <w:rFonts w:ascii="Verdana" w:hAnsi="Verdana"/>
          <w:b/>
          <w:sz w:val="20"/>
          <w:szCs w:val="20"/>
        </w:rPr>
      </w:pPr>
    </w:p>
    <w:p w:rsidR="00691107" w:rsidRPr="00A11A47" w:rsidRDefault="00691107" w:rsidP="00691107">
      <w:pPr>
        <w:jc w:val="center"/>
        <w:rPr>
          <w:rFonts w:ascii="Verdana" w:hAnsi="Verdana"/>
          <w:b/>
          <w:sz w:val="20"/>
          <w:szCs w:val="20"/>
        </w:rPr>
      </w:pPr>
      <w:r w:rsidRPr="00A11A47">
        <w:rPr>
          <w:rFonts w:ascii="Verdana" w:hAnsi="Verdana"/>
          <w:b/>
          <w:sz w:val="20"/>
          <w:szCs w:val="20"/>
        </w:rPr>
        <w:t>ISSUES PAPER</w:t>
      </w:r>
    </w:p>
    <w:p w:rsidR="00691107" w:rsidRPr="00A11A47" w:rsidRDefault="00691107" w:rsidP="00691107">
      <w:pPr>
        <w:jc w:val="center"/>
        <w:rPr>
          <w:rFonts w:ascii="Verdana" w:hAnsi="Verdana"/>
          <w:b/>
          <w:sz w:val="20"/>
          <w:szCs w:val="20"/>
        </w:rPr>
      </w:pPr>
    </w:p>
    <w:p w:rsidR="00691107" w:rsidRPr="00A11A47" w:rsidRDefault="00691107" w:rsidP="00691107">
      <w:pPr>
        <w:jc w:val="center"/>
        <w:rPr>
          <w:rFonts w:ascii="Verdana" w:hAnsi="Verdana"/>
          <w:b/>
          <w:sz w:val="20"/>
          <w:szCs w:val="20"/>
        </w:rPr>
      </w:pPr>
    </w:p>
    <w:p w:rsidR="00691107" w:rsidRPr="00A11A47" w:rsidRDefault="00691107" w:rsidP="00691107">
      <w:pPr>
        <w:rPr>
          <w:rFonts w:ascii="Verdana" w:hAnsi="Verdana"/>
          <w:b/>
          <w:sz w:val="20"/>
          <w:szCs w:val="20"/>
        </w:rPr>
      </w:pPr>
    </w:p>
    <w:p w:rsidR="00691107" w:rsidRPr="00A11A47" w:rsidRDefault="00691107" w:rsidP="00691107">
      <w:pPr>
        <w:jc w:val="center"/>
        <w:rPr>
          <w:rFonts w:ascii="Verdana" w:hAnsi="Verdana"/>
          <w:b/>
          <w:sz w:val="20"/>
          <w:szCs w:val="20"/>
        </w:rPr>
      </w:pPr>
      <w:r w:rsidRPr="00A11A47">
        <w:rPr>
          <w:rFonts w:ascii="Verdana" w:hAnsi="Verdana"/>
          <w:b/>
          <w:sz w:val="20"/>
          <w:szCs w:val="20"/>
        </w:rPr>
        <w:t>Members</w:t>
      </w:r>
    </w:p>
    <w:p w:rsidR="00E82A4A" w:rsidRPr="00A11A47" w:rsidRDefault="00691107" w:rsidP="00E82A4A">
      <w:pPr>
        <w:tabs>
          <w:tab w:val="left" w:pos="2489"/>
          <w:tab w:val="center" w:pos="4156"/>
        </w:tabs>
        <w:jc w:val="center"/>
        <w:rPr>
          <w:rFonts w:ascii="Verdana" w:hAnsi="Verdana"/>
          <w:sz w:val="20"/>
          <w:szCs w:val="20"/>
        </w:rPr>
      </w:pPr>
      <w:r w:rsidRPr="00A11A47">
        <w:rPr>
          <w:rFonts w:ascii="Verdana" w:hAnsi="Verdana"/>
          <w:sz w:val="20"/>
          <w:szCs w:val="20"/>
        </w:rPr>
        <w:t>David Barclay (TIC President</w:t>
      </w:r>
      <w:proofErr w:type="gramStart"/>
      <w:r w:rsidRPr="00A11A47">
        <w:rPr>
          <w:rFonts w:ascii="Verdana" w:hAnsi="Verdana"/>
          <w:sz w:val="20"/>
          <w:szCs w:val="20"/>
        </w:rPr>
        <w:t>)</w:t>
      </w:r>
      <w:proofErr w:type="gramEnd"/>
      <w:r w:rsidRPr="00A11A47">
        <w:rPr>
          <w:rFonts w:ascii="Verdana" w:hAnsi="Verdana"/>
          <w:sz w:val="20"/>
          <w:szCs w:val="20"/>
        </w:rPr>
        <w:br/>
        <w:t>Neroli Ellis (TIC Deputy President)</w:t>
      </w:r>
      <w:r w:rsidR="00E82A4A">
        <w:rPr>
          <w:rFonts w:ascii="Verdana" w:hAnsi="Verdana"/>
          <w:sz w:val="20"/>
          <w:szCs w:val="20"/>
        </w:rPr>
        <w:br/>
        <w:t>Tim Lee (TIC Commissioner)</w:t>
      </w:r>
    </w:p>
    <w:p w:rsidR="00691107" w:rsidRPr="004164A6" w:rsidRDefault="00691107" w:rsidP="00691107">
      <w:pPr>
        <w:jc w:val="center"/>
        <w:rPr>
          <w:rFonts w:ascii="Verdana" w:hAnsi="Verdana"/>
          <w:b/>
          <w:sz w:val="20"/>
          <w:szCs w:val="20"/>
        </w:rPr>
      </w:pPr>
    </w:p>
    <w:p w:rsidR="00691107" w:rsidRDefault="00691107" w:rsidP="00691107">
      <w:pPr>
        <w:jc w:val="center"/>
        <w:rPr>
          <w:rFonts w:ascii="Verdana" w:hAnsi="Verdana"/>
          <w:b/>
          <w:sz w:val="20"/>
          <w:szCs w:val="20"/>
        </w:rPr>
      </w:pPr>
    </w:p>
    <w:p w:rsidR="00691107" w:rsidRDefault="00691107" w:rsidP="00FD66A6">
      <w:pPr>
        <w:rPr>
          <w:rFonts w:ascii="Verdana" w:hAnsi="Verdana"/>
          <w:b/>
          <w:sz w:val="20"/>
          <w:szCs w:val="20"/>
        </w:rPr>
      </w:pPr>
    </w:p>
    <w:p w:rsidR="00691107" w:rsidRPr="00A11A47" w:rsidRDefault="00E82A4A" w:rsidP="00691107">
      <w:pPr>
        <w:ind w:right="-207"/>
        <w:jc w:val="center"/>
        <w:rPr>
          <w:rFonts w:ascii="Verdana" w:hAnsi="Verdana"/>
          <w:b/>
          <w:sz w:val="20"/>
          <w:szCs w:val="20"/>
        </w:rPr>
      </w:pPr>
      <w:r>
        <w:rPr>
          <w:rFonts w:ascii="Verdana" w:hAnsi="Verdana"/>
          <w:b/>
          <w:sz w:val="20"/>
          <w:szCs w:val="20"/>
        </w:rPr>
        <w:t>March</w:t>
      </w:r>
      <w:r w:rsidR="00691107" w:rsidRPr="00A11A47">
        <w:rPr>
          <w:rFonts w:ascii="Verdana" w:hAnsi="Verdana"/>
          <w:b/>
          <w:sz w:val="20"/>
          <w:szCs w:val="20"/>
        </w:rPr>
        <w:t xml:space="preserve"> 2018</w:t>
      </w:r>
    </w:p>
    <w:p w:rsidR="00691107" w:rsidRDefault="00691107" w:rsidP="00691107">
      <w:pPr>
        <w:rPr>
          <w:rFonts w:ascii="Verdana" w:hAnsi="Verdana"/>
          <w:b/>
          <w:sz w:val="20"/>
          <w:szCs w:val="20"/>
          <w:highlight w:val="yellow"/>
        </w:rPr>
      </w:pPr>
      <w:r>
        <w:rPr>
          <w:rFonts w:ascii="Verdana" w:hAnsi="Verdana"/>
          <w:sz w:val="20"/>
          <w:szCs w:val="20"/>
          <w:highlight w:val="yellow"/>
        </w:rPr>
        <w:br w:type="page"/>
      </w:r>
    </w:p>
    <w:p w:rsidR="00691107" w:rsidRPr="00A11A47" w:rsidRDefault="00691107" w:rsidP="00691107">
      <w:pPr>
        <w:ind w:right="-207"/>
        <w:jc w:val="center"/>
        <w:rPr>
          <w:rFonts w:ascii="Verdana" w:hAnsi="Verdana"/>
          <w:b/>
          <w:sz w:val="20"/>
          <w:szCs w:val="20"/>
        </w:rPr>
      </w:pPr>
      <w:r w:rsidRPr="00A11A47">
        <w:rPr>
          <w:rFonts w:ascii="Verdana" w:hAnsi="Verdana"/>
          <w:b/>
          <w:sz w:val="20"/>
          <w:szCs w:val="20"/>
        </w:rPr>
        <w:lastRenderedPageBreak/>
        <w:t>PARLIAMENTARY SALARIES</w:t>
      </w:r>
    </w:p>
    <w:p w:rsidR="00691107" w:rsidRPr="00A11A47" w:rsidRDefault="00691107" w:rsidP="00691107">
      <w:pPr>
        <w:ind w:right="-207"/>
        <w:jc w:val="center"/>
        <w:rPr>
          <w:rFonts w:ascii="Verdana" w:hAnsi="Verdana"/>
          <w:b/>
          <w:sz w:val="20"/>
          <w:szCs w:val="20"/>
        </w:rPr>
      </w:pPr>
    </w:p>
    <w:p w:rsidR="00F95BEB" w:rsidRPr="001262FE" w:rsidRDefault="00691107" w:rsidP="001262FE">
      <w:pPr>
        <w:ind w:right="-207"/>
        <w:jc w:val="center"/>
        <w:rPr>
          <w:rFonts w:ascii="Verdana" w:hAnsi="Verdana"/>
          <w:b/>
          <w:sz w:val="20"/>
        </w:rPr>
      </w:pPr>
      <w:r w:rsidRPr="00A11A47">
        <w:rPr>
          <w:rFonts w:ascii="Verdana" w:hAnsi="Verdana"/>
          <w:b/>
          <w:sz w:val="20"/>
        </w:rPr>
        <w:t>ISSUES PAPER</w:t>
      </w:r>
      <w:r w:rsidR="001262FE">
        <w:rPr>
          <w:rFonts w:ascii="Verdana" w:hAnsi="Verdana"/>
          <w:b/>
          <w:sz w:val="20"/>
        </w:rPr>
        <w:br/>
      </w:r>
    </w:p>
    <w:p w:rsidR="00AD4462" w:rsidRPr="00A11A47" w:rsidRDefault="00F95BEB" w:rsidP="004D778D">
      <w:pPr>
        <w:pStyle w:val="ListParagraph"/>
        <w:numPr>
          <w:ilvl w:val="0"/>
          <w:numId w:val="8"/>
        </w:numPr>
        <w:ind w:left="426" w:hanging="426"/>
        <w:rPr>
          <w:rFonts w:ascii="Verdana" w:hAnsi="Verdana"/>
          <w:b/>
          <w:sz w:val="20"/>
          <w:szCs w:val="20"/>
        </w:rPr>
      </w:pPr>
      <w:r w:rsidRPr="00A11A47">
        <w:rPr>
          <w:rFonts w:ascii="Verdana" w:hAnsi="Verdana"/>
          <w:b/>
          <w:sz w:val="20"/>
          <w:szCs w:val="20"/>
        </w:rPr>
        <w:t>Background</w:t>
      </w:r>
    </w:p>
    <w:p w:rsidR="004D778D" w:rsidRPr="004D778D" w:rsidRDefault="004D778D" w:rsidP="004D778D">
      <w:pPr>
        <w:pStyle w:val="ListParagraph"/>
        <w:ind w:left="426" w:hanging="426"/>
        <w:rPr>
          <w:rFonts w:ascii="Verdana" w:hAnsi="Verdana"/>
          <w:sz w:val="20"/>
          <w:szCs w:val="20"/>
        </w:rPr>
      </w:pPr>
    </w:p>
    <w:p w:rsidR="004D778D" w:rsidRPr="00A11A47" w:rsidRDefault="00AD4462" w:rsidP="00856B45">
      <w:pPr>
        <w:pStyle w:val="ListParagraph"/>
        <w:numPr>
          <w:ilvl w:val="1"/>
          <w:numId w:val="8"/>
        </w:numPr>
        <w:ind w:left="1134" w:hanging="1134"/>
        <w:jc w:val="both"/>
        <w:rPr>
          <w:rFonts w:ascii="Verdana" w:hAnsi="Verdana"/>
          <w:sz w:val="20"/>
          <w:szCs w:val="20"/>
        </w:rPr>
      </w:pPr>
      <w:r w:rsidRPr="00A11A47">
        <w:rPr>
          <w:rFonts w:ascii="Verdana" w:hAnsi="Verdana"/>
          <w:sz w:val="20"/>
          <w:szCs w:val="20"/>
        </w:rPr>
        <w:t xml:space="preserve">A Full Bench of the Tasmanian Industrial Commission is to review the salary, allowances and other entitlements payable to elected members </w:t>
      </w:r>
      <w:r w:rsidR="000A0609" w:rsidRPr="00A11A47">
        <w:rPr>
          <w:rFonts w:ascii="Verdana" w:hAnsi="Verdana"/>
          <w:sz w:val="20"/>
          <w:szCs w:val="20"/>
        </w:rPr>
        <w:t>of</w:t>
      </w:r>
      <w:r w:rsidRPr="00A11A47">
        <w:rPr>
          <w:rFonts w:ascii="Verdana" w:hAnsi="Verdana"/>
          <w:sz w:val="20"/>
          <w:szCs w:val="20"/>
        </w:rPr>
        <w:t xml:space="preserve"> the Tasmanian Parliament (MPs).</w:t>
      </w:r>
    </w:p>
    <w:p w:rsidR="004D778D" w:rsidRPr="00A11A47" w:rsidRDefault="004D778D" w:rsidP="00856B45">
      <w:pPr>
        <w:pStyle w:val="ListParagraph"/>
        <w:ind w:left="1134" w:hanging="1134"/>
        <w:jc w:val="both"/>
        <w:rPr>
          <w:rFonts w:ascii="Verdana" w:hAnsi="Verdana"/>
          <w:sz w:val="20"/>
          <w:szCs w:val="20"/>
        </w:rPr>
      </w:pPr>
    </w:p>
    <w:p w:rsidR="00856B45" w:rsidRPr="00FD66A6" w:rsidRDefault="00AD4462" w:rsidP="00FD66A6">
      <w:pPr>
        <w:pStyle w:val="ListParagraph"/>
        <w:numPr>
          <w:ilvl w:val="1"/>
          <w:numId w:val="8"/>
        </w:numPr>
        <w:ind w:left="1134" w:hanging="1134"/>
        <w:jc w:val="both"/>
        <w:rPr>
          <w:rFonts w:ascii="Verdana" w:hAnsi="Verdana"/>
          <w:sz w:val="20"/>
          <w:szCs w:val="20"/>
        </w:rPr>
      </w:pPr>
      <w:r w:rsidRPr="00A11A47">
        <w:rPr>
          <w:rFonts w:ascii="Verdana" w:hAnsi="Verdana"/>
          <w:sz w:val="20"/>
          <w:szCs w:val="20"/>
        </w:rPr>
        <w:t>The Parliamentary Salaries, Superannuation and Allowances Act 2012 (the Act) provides for the basic salary for MPs as well as additional salary payable to some MPs for the various offices to which they are appointed (e.g. President of the Legislative Council, the Speaker of the House of Assembl</w:t>
      </w:r>
      <w:r w:rsidR="00856B45">
        <w:rPr>
          <w:rFonts w:ascii="Verdana" w:hAnsi="Verdana"/>
          <w:sz w:val="20"/>
          <w:szCs w:val="20"/>
        </w:rPr>
        <w:t>y, Minister of the Crown, etc.)</w:t>
      </w:r>
      <w:r w:rsidR="00FD66A6">
        <w:rPr>
          <w:rFonts w:ascii="Verdana" w:hAnsi="Verdana"/>
          <w:sz w:val="20"/>
          <w:szCs w:val="20"/>
        </w:rPr>
        <w:br/>
      </w:r>
    </w:p>
    <w:p w:rsidR="004D778D" w:rsidRPr="00A11A47" w:rsidRDefault="00AD4462" w:rsidP="00856B45">
      <w:pPr>
        <w:pStyle w:val="ListParagraph"/>
        <w:numPr>
          <w:ilvl w:val="1"/>
          <w:numId w:val="8"/>
        </w:numPr>
        <w:ind w:left="1134" w:hanging="1134"/>
        <w:jc w:val="both"/>
        <w:rPr>
          <w:rFonts w:ascii="Verdana" w:hAnsi="Verdana"/>
          <w:sz w:val="20"/>
          <w:szCs w:val="20"/>
        </w:rPr>
      </w:pPr>
      <w:r w:rsidRPr="00A11A47">
        <w:rPr>
          <w:rFonts w:ascii="Verdana" w:hAnsi="Verdana"/>
          <w:sz w:val="20"/>
          <w:szCs w:val="20"/>
        </w:rPr>
        <w:t>The Act provides that a full bench of the Tasmanian Industrial Commission (the Commission) must from then on periodically inquire into, report on and make determinations about the salaries and allowances to which MPs are entitled.</w:t>
      </w:r>
    </w:p>
    <w:p w:rsidR="004D778D" w:rsidRPr="00A11A47" w:rsidRDefault="004D778D" w:rsidP="00856B45">
      <w:pPr>
        <w:pStyle w:val="ListParagraph"/>
        <w:ind w:left="1134" w:hanging="1134"/>
        <w:jc w:val="both"/>
        <w:rPr>
          <w:rFonts w:ascii="Verdana" w:hAnsi="Verdana"/>
          <w:sz w:val="20"/>
          <w:szCs w:val="20"/>
        </w:rPr>
      </w:pPr>
    </w:p>
    <w:p w:rsidR="00856B45" w:rsidRPr="00FD66A6" w:rsidRDefault="001713CC" w:rsidP="00856B45">
      <w:pPr>
        <w:pStyle w:val="ListParagraph"/>
        <w:numPr>
          <w:ilvl w:val="1"/>
          <w:numId w:val="8"/>
        </w:numPr>
        <w:ind w:left="1134" w:hanging="1134"/>
        <w:jc w:val="both"/>
        <w:rPr>
          <w:rFonts w:ascii="Verdana" w:hAnsi="Verdana"/>
          <w:sz w:val="20"/>
          <w:szCs w:val="20"/>
        </w:rPr>
      </w:pPr>
      <w:r w:rsidRPr="00A11A47">
        <w:rPr>
          <w:rFonts w:ascii="Verdana" w:hAnsi="Verdana"/>
          <w:sz w:val="20"/>
          <w:szCs w:val="20"/>
        </w:rPr>
        <w:t>A</w:t>
      </w:r>
      <w:r w:rsidR="00AD4462" w:rsidRPr="00A11A47">
        <w:rPr>
          <w:rFonts w:ascii="Verdana" w:hAnsi="Verdana"/>
          <w:sz w:val="20"/>
          <w:szCs w:val="20"/>
        </w:rPr>
        <w:t xml:space="preserve"> determination of the Commission under the amendments to the PSSAA made by the 2015 Act will be implemented automatically unless within 10</w:t>
      </w:r>
      <w:r w:rsidR="00F95BEB" w:rsidRPr="00A11A47">
        <w:rPr>
          <w:rFonts w:ascii="Verdana" w:hAnsi="Verdana"/>
          <w:sz w:val="20"/>
          <w:szCs w:val="20"/>
        </w:rPr>
        <w:t xml:space="preserve"> sitting days of the determination being tabled (or within a longer period if a House so resolves), both Houses pass a resolution requesting that the determination be disallowed (and so not be implemented). </w:t>
      </w:r>
      <w:r w:rsidR="00FD66A6">
        <w:rPr>
          <w:rFonts w:ascii="Verdana" w:hAnsi="Verdana"/>
          <w:sz w:val="20"/>
          <w:szCs w:val="20"/>
        </w:rPr>
        <w:br/>
      </w:r>
    </w:p>
    <w:p w:rsidR="004D778D" w:rsidRPr="00FD66A6" w:rsidRDefault="00F95BEB" w:rsidP="00856B45">
      <w:pPr>
        <w:pStyle w:val="ListParagraph"/>
        <w:numPr>
          <w:ilvl w:val="1"/>
          <w:numId w:val="8"/>
        </w:numPr>
        <w:ind w:left="1134" w:hanging="1134"/>
        <w:jc w:val="both"/>
        <w:rPr>
          <w:rFonts w:ascii="Verdana" w:hAnsi="Verdana"/>
          <w:sz w:val="20"/>
          <w:szCs w:val="20"/>
        </w:rPr>
      </w:pPr>
      <w:r w:rsidRPr="00A11A47">
        <w:rPr>
          <w:rFonts w:ascii="Verdana" w:hAnsi="Verdana"/>
          <w:sz w:val="20"/>
          <w:szCs w:val="20"/>
        </w:rPr>
        <w:t xml:space="preserve">If a determination is not disallowed, the Commission will gazette a notice setting out the determination which will specify the amounts of the basic salary, additional salary payable to the Premier, Deputy Premier, Ministers of the Crown, Secretary to Cabinet and Certain Officers of the Parliament, and the allowances and benefits to which MPs are entitled. </w:t>
      </w:r>
      <w:r w:rsidR="00FD66A6">
        <w:rPr>
          <w:rFonts w:ascii="Verdana" w:hAnsi="Verdana"/>
          <w:sz w:val="20"/>
          <w:szCs w:val="20"/>
        </w:rPr>
        <w:br/>
      </w:r>
    </w:p>
    <w:p w:rsidR="004D778D" w:rsidRPr="00FD66A6" w:rsidRDefault="00F95BEB" w:rsidP="00FD66A6">
      <w:pPr>
        <w:pStyle w:val="ListParagraph"/>
        <w:numPr>
          <w:ilvl w:val="1"/>
          <w:numId w:val="8"/>
        </w:numPr>
        <w:ind w:left="1134" w:hanging="1134"/>
        <w:jc w:val="both"/>
        <w:rPr>
          <w:rFonts w:ascii="Verdana" w:hAnsi="Verdana"/>
          <w:sz w:val="20"/>
          <w:szCs w:val="20"/>
        </w:rPr>
      </w:pPr>
      <w:r w:rsidRPr="00A11A47">
        <w:rPr>
          <w:rFonts w:ascii="Verdana" w:hAnsi="Verdana"/>
          <w:sz w:val="20"/>
          <w:szCs w:val="20"/>
        </w:rPr>
        <w:t xml:space="preserve">If a determination does not come into effect when it is due to, because it has not been made, or the disallowance period has not expired, or it has been disallowed, the basic salary, additional salary, and the allowances and benefits to which MPs are entitled immediately before the determination was due to take effect continue until a new determination is made. </w:t>
      </w:r>
      <w:r w:rsidR="00FD66A6">
        <w:rPr>
          <w:rFonts w:ascii="Verdana" w:hAnsi="Verdana"/>
          <w:sz w:val="20"/>
          <w:szCs w:val="20"/>
        </w:rPr>
        <w:br/>
      </w:r>
    </w:p>
    <w:p w:rsidR="00856B45" w:rsidRDefault="00F95BEB" w:rsidP="00856B45">
      <w:pPr>
        <w:pStyle w:val="ListParagraph"/>
        <w:numPr>
          <w:ilvl w:val="1"/>
          <w:numId w:val="8"/>
        </w:numPr>
        <w:ind w:left="1134" w:hanging="1134"/>
        <w:jc w:val="both"/>
        <w:rPr>
          <w:rFonts w:ascii="Verdana" w:hAnsi="Verdana"/>
          <w:sz w:val="20"/>
          <w:szCs w:val="20"/>
        </w:rPr>
      </w:pPr>
      <w:r w:rsidRPr="00A11A47">
        <w:rPr>
          <w:rFonts w:ascii="Verdana" w:hAnsi="Verdana"/>
          <w:sz w:val="20"/>
          <w:szCs w:val="20"/>
        </w:rPr>
        <w:t>If a determination is disallowed the Commission has 12 months from the date of disallowance to make a new determination.</w:t>
      </w:r>
    </w:p>
    <w:p w:rsidR="004D778D" w:rsidRPr="00A11A47" w:rsidRDefault="004D778D" w:rsidP="00856B45">
      <w:pPr>
        <w:pStyle w:val="ListParagraph"/>
        <w:ind w:left="1134"/>
        <w:jc w:val="both"/>
        <w:rPr>
          <w:rFonts w:ascii="Verdana" w:hAnsi="Verdana"/>
          <w:sz w:val="20"/>
          <w:szCs w:val="20"/>
        </w:rPr>
      </w:pPr>
    </w:p>
    <w:p w:rsidR="004D778D" w:rsidRDefault="00F95BEB" w:rsidP="00856B45">
      <w:pPr>
        <w:pStyle w:val="ListParagraph"/>
        <w:numPr>
          <w:ilvl w:val="1"/>
          <w:numId w:val="8"/>
        </w:numPr>
        <w:ind w:left="1134" w:hanging="1134"/>
        <w:jc w:val="both"/>
        <w:rPr>
          <w:rFonts w:ascii="Verdana" w:hAnsi="Verdana"/>
          <w:sz w:val="20"/>
          <w:szCs w:val="20"/>
        </w:rPr>
      </w:pPr>
      <w:r w:rsidRPr="00A11A47">
        <w:rPr>
          <w:rFonts w:ascii="Verdana" w:hAnsi="Verdana"/>
          <w:sz w:val="20"/>
          <w:szCs w:val="20"/>
        </w:rPr>
        <w:t xml:space="preserve">The Commission prepared a report dated February 2016 which was tabled in Parliament in March 2016. The Report was not disallowed. </w:t>
      </w:r>
      <w:r w:rsidR="00FD66A6">
        <w:rPr>
          <w:rFonts w:ascii="Verdana" w:hAnsi="Verdana"/>
          <w:sz w:val="20"/>
          <w:szCs w:val="20"/>
        </w:rPr>
        <w:br/>
      </w:r>
    </w:p>
    <w:p w:rsidR="001262FE" w:rsidRPr="001262FE" w:rsidRDefault="001262FE" w:rsidP="001262FE">
      <w:pPr>
        <w:pStyle w:val="ListParagraph"/>
        <w:rPr>
          <w:rFonts w:ascii="Verdana" w:hAnsi="Verdana"/>
          <w:sz w:val="20"/>
          <w:szCs w:val="20"/>
        </w:rPr>
      </w:pPr>
    </w:p>
    <w:p w:rsidR="001262FE" w:rsidRPr="001262FE" w:rsidRDefault="001262FE" w:rsidP="001262FE">
      <w:pPr>
        <w:jc w:val="both"/>
        <w:rPr>
          <w:rFonts w:ascii="Verdana" w:hAnsi="Verdana"/>
          <w:sz w:val="20"/>
          <w:szCs w:val="20"/>
        </w:rPr>
      </w:pPr>
    </w:p>
    <w:p w:rsidR="00F95BEB" w:rsidRPr="00A11A47" w:rsidRDefault="00F95BEB" w:rsidP="00856B45">
      <w:pPr>
        <w:pStyle w:val="ListParagraph"/>
        <w:numPr>
          <w:ilvl w:val="0"/>
          <w:numId w:val="8"/>
        </w:numPr>
        <w:ind w:left="426" w:hanging="426"/>
        <w:jc w:val="both"/>
        <w:rPr>
          <w:rFonts w:ascii="Verdana" w:hAnsi="Verdana"/>
          <w:b/>
          <w:sz w:val="20"/>
          <w:szCs w:val="20"/>
        </w:rPr>
      </w:pPr>
      <w:r w:rsidRPr="00A11A47">
        <w:rPr>
          <w:rFonts w:ascii="Verdana" w:hAnsi="Verdana"/>
          <w:b/>
          <w:sz w:val="20"/>
          <w:szCs w:val="20"/>
        </w:rPr>
        <w:lastRenderedPageBreak/>
        <w:t>Matters to be Determined</w:t>
      </w:r>
    </w:p>
    <w:p w:rsidR="004D778D" w:rsidRPr="004D778D" w:rsidRDefault="004D778D" w:rsidP="00856B45">
      <w:pPr>
        <w:pStyle w:val="ListParagraph"/>
        <w:jc w:val="both"/>
        <w:rPr>
          <w:rFonts w:ascii="Verdana" w:hAnsi="Verdana"/>
          <w:sz w:val="20"/>
          <w:szCs w:val="20"/>
        </w:rPr>
      </w:pPr>
    </w:p>
    <w:p w:rsidR="00F95BEB" w:rsidRPr="00A11A47" w:rsidRDefault="00F95BEB" w:rsidP="00856B45">
      <w:pPr>
        <w:pStyle w:val="ListParagraph"/>
        <w:numPr>
          <w:ilvl w:val="1"/>
          <w:numId w:val="8"/>
        </w:numPr>
        <w:ind w:left="1134" w:hanging="1134"/>
        <w:jc w:val="both"/>
        <w:rPr>
          <w:rFonts w:ascii="Verdana" w:hAnsi="Verdana"/>
          <w:sz w:val="20"/>
          <w:szCs w:val="20"/>
        </w:rPr>
      </w:pPr>
      <w:r w:rsidRPr="00A11A47">
        <w:rPr>
          <w:rFonts w:ascii="Verdana" w:hAnsi="Verdana"/>
          <w:sz w:val="20"/>
          <w:szCs w:val="20"/>
        </w:rPr>
        <w:t xml:space="preserve">The Acts provides for the Commission to: </w:t>
      </w:r>
    </w:p>
    <w:p w:rsidR="00F95BEB" w:rsidRPr="00A11A47" w:rsidRDefault="00F95BEB" w:rsidP="00856B45">
      <w:pPr>
        <w:ind w:left="1560" w:hanging="425"/>
        <w:jc w:val="both"/>
        <w:rPr>
          <w:rFonts w:ascii="Verdana" w:hAnsi="Verdana"/>
          <w:sz w:val="20"/>
          <w:szCs w:val="20"/>
        </w:rPr>
      </w:pPr>
      <w:r w:rsidRPr="00A11A47">
        <w:rPr>
          <w:rFonts w:ascii="Verdana" w:hAnsi="Verdana"/>
          <w:sz w:val="20"/>
          <w:szCs w:val="20"/>
        </w:rPr>
        <w:t>(i)</w:t>
      </w:r>
      <w:r w:rsidRPr="00A11A47">
        <w:rPr>
          <w:rFonts w:ascii="Verdana" w:hAnsi="Verdana"/>
          <w:sz w:val="20"/>
          <w:szCs w:val="20"/>
        </w:rPr>
        <w:tab/>
      </w:r>
      <w:proofErr w:type="gramStart"/>
      <w:r w:rsidRPr="00A11A47">
        <w:rPr>
          <w:rFonts w:ascii="Verdana" w:hAnsi="Verdana"/>
          <w:sz w:val="20"/>
          <w:szCs w:val="20"/>
        </w:rPr>
        <w:t>review</w:t>
      </w:r>
      <w:proofErr w:type="gramEnd"/>
      <w:r w:rsidRPr="00A11A47">
        <w:rPr>
          <w:rFonts w:ascii="Verdana" w:hAnsi="Verdana"/>
          <w:sz w:val="20"/>
          <w:szCs w:val="20"/>
        </w:rPr>
        <w:t xml:space="preserve"> and determine the amount of basic salary payable to a MP;</w:t>
      </w:r>
    </w:p>
    <w:p w:rsidR="00F95BEB" w:rsidRPr="00A11A47" w:rsidRDefault="00F95BEB" w:rsidP="00856B45">
      <w:pPr>
        <w:ind w:left="1560" w:hanging="425"/>
        <w:jc w:val="both"/>
        <w:rPr>
          <w:rFonts w:ascii="Verdana" w:hAnsi="Verdana"/>
          <w:sz w:val="20"/>
          <w:szCs w:val="20"/>
        </w:rPr>
      </w:pPr>
      <w:r w:rsidRPr="00A11A47">
        <w:rPr>
          <w:rFonts w:ascii="Verdana" w:hAnsi="Verdana"/>
          <w:sz w:val="20"/>
          <w:szCs w:val="20"/>
        </w:rPr>
        <w:t xml:space="preserve">(ii) </w:t>
      </w:r>
      <w:r w:rsidRPr="00A11A47">
        <w:rPr>
          <w:rFonts w:ascii="Verdana" w:hAnsi="Verdana"/>
          <w:sz w:val="20"/>
          <w:szCs w:val="20"/>
        </w:rPr>
        <w:tab/>
        <w:t>review and determine the amounts of any additional salary payable to the Premier, Deputy Premier, Ministers of the Crown, Secretary to Cabinet and Certain Officers of the Parliament provided for in Part 2 of Schedule 1 of the PSSAA;</w:t>
      </w:r>
    </w:p>
    <w:p w:rsidR="00F95BEB" w:rsidRPr="00A11A47" w:rsidRDefault="00F95BEB" w:rsidP="00856B45">
      <w:pPr>
        <w:ind w:left="1560" w:hanging="425"/>
        <w:jc w:val="both"/>
        <w:rPr>
          <w:rFonts w:ascii="Verdana" w:hAnsi="Verdana"/>
          <w:sz w:val="20"/>
          <w:szCs w:val="20"/>
        </w:rPr>
      </w:pPr>
      <w:r w:rsidRPr="00A11A47">
        <w:rPr>
          <w:rFonts w:ascii="Verdana" w:hAnsi="Verdana"/>
          <w:sz w:val="20"/>
          <w:szCs w:val="20"/>
        </w:rPr>
        <w:t>(iii)</w:t>
      </w:r>
      <w:r w:rsidRPr="00A11A47">
        <w:rPr>
          <w:rFonts w:ascii="Verdana" w:hAnsi="Verdana"/>
          <w:sz w:val="20"/>
          <w:szCs w:val="20"/>
        </w:rPr>
        <w:tab/>
        <w:t xml:space="preserve">consider if there are any other offices of the Parliament not currently provided for in Part 2 of Schedule 1 of the PSSAA that the Commission may decide require to be paid additional salary and determine the amounts of any additional salary payable for such offices; </w:t>
      </w:r>
    </w:p>
    <w:p w:rsidR="00F95BEB" w:rsidRPr="00A11A47" w:rsidRDefault="00AE44C6" w:rsidP="00856B45">
      <w:pPr>
        <w:ind w:left="1560" w:hanging="425"/>
        <w:jc w:val="both"/>
        <w:rPr>
          <w:rFonts w:ascii="Verdana" w:hAnsi="Verdana"/>
          <w:sz w:val="20"/>
          <w:szCs w:val="20"/>
        </w:rPr>
      </w:pPr>
      <w:r>
        <w:rPr>
          <w:rFonts w:ascii="Verdana" w:hAnsi="Verdana"/>
          <w:sz w:val="20"/>
          <w:szCs w:val="20"/>
        </w:rPr>
        <w:t xml:space="preserve">(iv) </w:t>
      </w:r>
      <w:r w:rsidR="00F95BEB" w:rsidRPr="00A11A47">
        <w:rPr>
          <w:rFonts w:ascii="Verdana" w:hAnsi="Verdana"/>
          <w:sz w:val="20"/>
          <w:szCs w:val="20"/>
        </w:rPr>
        <w:t>review the entitlements of and benefits to MPs provided for in Schedule 2 of the PSSAA (</w:t>
      </w:r>
      <w:proofErr w:type="spellStart"/>
      <w:r w:rsidR="00F95BEB" w:rsidRPr="00A11A47">
        <w:rPr>
          <w:rFonts w:ascii="Verdana" w:hAnsi="Verdana"/>
          <w:sz w:val="20"/>
          <w:szCs w:val="20"/>
        </w:rPr>
        <w:t>ie</w:t>
      </w:r>
      <w:proofErr w:type="spellEnd"/>
      <w:r w:rsidR="00F95BEB" w:rsidRPr="00A11A47">
        <w:rPr>
          <w:rFonts w:ascii="Verdana" w:hAnsi="Verdana"/>
          <w:sz w:val="20"/>
          <w:szCs w:val="20"/>
        </w:rPr>
        <w:t xml:space="preserve"> Motor Vehicle Allowance; Electorate Allowance; Committee Sitting Fees; Telecommunications Allowance; Entertainment Allowance; Away From Home Travelling Allowance; Bass Strait Islands travelling Allowance; and Taxi Allowance) including whether they remain appropriate to the needs of MPs, and determine the amounts of those allowances and benefits still considered appropriate; and </w:t>
      </w:r>
    </w:p>
    <w:p w:rsidR="004D778D" w:rsidRDefault="00F95BEB" w:rsidP="00FD66A6">
      <w:pPr>
        <w:ind w:left="1560" w:hanging="425"/>
        <w:jc w:val="both"/>
        <w:rPr>
          <w:rFonts w:ascii="Verdana" w:hAnsi="Verdana"/>
          <w:sz w:val="20"/>
          <w:szCs w:val="20"/>
        </w:rPr>
      </w:pPr>
      <w:r w:rsidRPr="00A11A47">
        <w:rPr>
          <w:rFonts w:ascii="Verdana" w:hAnsi="Verdana"/>
          <w:sz w:val="20"/>
          <w:szCs w:val="20"/>
        </w:rPr>
        <w:t xml:space="preserve">(v) </w:t>
      </w:r>
      <w:r w:rsidRPr="00A11A47">
        <w:rPr>
          <w:rFonts w:ascii="Verdana" w:hAnsi="Verdana"/>
          <w:sz w:val="20"/>
          <w:szCs w:val="20"/>
        </w:rPr>
        <w:tab/>
      </w:r>
      <w:proofErr w:type="gramStart"/>
      <w:r w:rsidRPr="00A11A47">
        <w:rPr>
          <w:rFonts w:ascii="Verdana" w:hAnsi="Verdana"/>
          <w:sz w:val="20"/>
          <w:szCs w:val="20"/>
        </w:rPr>
        <w:t>consider</w:t>
      </w:r>
      <w:proofErr w:type="gramEnd"/>
      <w:r w:rsidRPr="00A11A47">
        <w:rPr>
          <w:rFonts w:ascii="Verdana" w:hAnsi="Verdana"/>
          <w:sz w:val="20"/>
          <w:szCs w:val="20"/>
        </w:rPr>
        <w:t xml:space="preserve"> whether there are any new entitlements, allowances or benefits considered appropriate to the current needs of MPs and determine the amounts of such entitle</w:t>
      </w:r>
      <w:r w:rsidR="00FD66A6">
        <w:rPr>
          <w:rFonts w:ascii="Verdana" w:hAnsi="Verdana"/>
          <w:sz w:val="20"/>
          <w:szCs w:val="20"/>
        </w:rPr>
        <w:t>ments, allowances and benefits.</w:t>
      </w:r>
    </w:p>
    <w:p w:rsidR="00856B45" w:rsidRDefault="00F95BEB" w:rsidP="00856B45">
      <w:pPr>
        <w:pStyle w:val="ListParagraph"/>
        <w:numPr>
          <w:ilvl w:val="0"/>
          <w:numId w:val="8"/>
        </w:numPr>
        <w:ind w:left="426" w:hanging="426"/>
        <w:jc w:val="both"/>
        <w:rPr>
          <w:rFonts w:ascii="Verdana" w:hAnsi="Verdana"/>
          <w:b/>
          <w:sz w:val="20"/>
          <w:szCs w:val="20"/>
        </w:rPr>
      </w:pPr>
      <w:r w:rsidRPr="00856B45">
        <w:rPr>
          <w:rFonts w:ascii="Verdana" w:hAnsi="Verdana"/>
          <w:b/>
          <w:sz w:val="20"/>
          <w:szCs w:val="20"/>
        </w:rPr>
        <w:t>The 2016 Report</w:t>
      </w:r>
    </w:p>
    <w:p w:rsidR="00856B45" w:rsidRDefault="00856B45" w:rsidP="00856B45">
      <w:pPr>
        <w:pStyle w:val="ListParagraph"/>
        <w:ind w:left="426"/>
        <w:jc w:val="both"/>
        <w:rPr>
          <w:rFonts w:ascii="Verdana" w:hAnsi="Verdana"/>
          <w:b/>
          <w:sz w:val="20"/>
          <w:szCs w:val="20"/>
        </w:rPr>
      </w:pPr>
    </w:p>
    <w:p w:rsidR="00F95BEB" w:rsidRPr="00856B45" w:rsidRDefault="00F95BEB" w:rsidP="001262FE">
      <w:pPr>
        <w:pStyle w:val="ListParagraph"/>
        <w:numPr>
          <w:ilvl w:val="1"/>
          <w:numId w:val="8"/>
        </w:numPr>
        <w:ind w:left="1134" w:hanging="1134"/>
        <w:jc w:val="both"/>
        <w:rPr>
          <w:rFonts w:ascii="Verdana" w:hAnsi="Verdana"/>
          <w:b/>
          <w:sz w:val="20"/>
          <w:szCs w:val="20"/>
        </w:rPr>
      </w:pPr>
      <w:r w:rsidRPr="00856B45">
        <w:rPr>
          <w:rFonts w:ascii="Verdana" w:hAnsi="Verdana"/>
          <w:sz w:val="20"/>
          <w:szCs w:val="20"/>
        </w:rPr>
        <w:t>A detailed inquiry was made into allowances by the Commission in which gave rise to the 2016 report. The link to the report is:</w:t>
      </w:r>
    </w:p>
    <w:p w:rsidR="00F95BEB" w:rsidRPr="00856B45" w:rsidRDefault="00726CF8" w:rsidP="001262FE">
      <w:pPr>
        <w:ind w:left="1134"/>
        <w:jc w:val="both"/>
        <w:rPr>
          <w:rFonts w:ascii="Verdana" w:hAnsi="Verdana"/>
          <w:sz w:val="20"/>
          <w:szCs w:val="20"/>
        </w:rPr>
      </w:pPr>
      <w:hyperlink r:id="rId9" w:history="1">
        <w:r w:rsidR="00856B45" w:rsidRPr="00856B45">
          <w:rPr>
            <w:rStyle w:val="Hyperlink"/>
            <w:rFonts w:ascii="Verdana" w:hAnsi="Verdana"/>
            <w:sz w:val="20"/>
            <w:szCs w:val="20"/>
          </w:rPr>
          <w:t>http://www.tic.tas.gov.au/__data/assets/pdf_file/0019/340561/Final_Report_2016.pdf</w:t>
        </w:r>
      </w:hyperlink>
      <w:r w:rsidR="00856B45" w:rsidRPr="00856B45">
        <w:rPr>
          <w:rFonts w:ascii="Verdana" w:hAnsi="Verdana"/>
          <w:sz w:val="20"/>
          <w:szCs w:val="20"/>
        </w:rPr>
        <w:t xml:space="preserve"> </w:t>
      </w:r>
    </w:p>
    <w:p w:rsidR="005C5406" w:rsidRDefault="005C5406" w:rsidP="001262FE">
      <w:pPr>
        <w:pStyle w:val="ListParagraph"/>
        <w:numPr>
          <w:ilvl w:val="1"/>
          <w:numId w:val="8"/>
        </w:numPr>
        <w:ind w:left="1134" w:hanging="1134"/>
        <w:jc w:val="both"/>
        <w:rPr>
          <w:rFonts w:ascii="Verdana" w:hAnsi="Verdana"/>
          <w:sz w:val="20"/>
          <w:szCs w:val="20"/>
        </w:rPr>
      </w:pPr>
      <w:r w:rsidRPr="00856B45">
        <w:rPr>
          <w:rFonts w:ascii="Verdana" w:hAnsi="Verdana"/>
          <w:sz w:val="20"/>
          <w:szCs w:val="20"/>
        </w:rPr>
        <w:t xml:space="preserve">From the 2016 Report the below table shows the allowances recommended in the 2016 Report and the current level of allowance. The basic salary increased, as recommended in the 2016 Report by Wage Price Index </w:t>
      </w:r>
      <w:r w:rsidR="007449A4" w:rsidRPr="00856B45">
        <w:rPr>
          <w:rFonts w:ascii="Verdana" w:hAnsi="Verdana"/>
          <w:sz w:val="20"/>
          <w:szCs w:val="20"/>
        </w:rPr>
        <w:t xml:space="preserve">(WPI) </w:t>
      </w:r>
      <w:r w:rsidRPr="00856B45">
        <w:rPr>
          <w:rFonts w:ascii="Verdana" w:hAnsi="Verdana"/>
          <w:sz w:val="20"/>
          <w:szCs w:val="20"/>
        </w:rPr>
        <w:t xml:space="preserve">and the </w:t>
      </w:r>
      <w:r w:rsidR="007449A4" w:rsidRPr="00856B45">
        <w:rPr>
          <w:rFonts w:ascii="Verdana" w:hAnsi="Verdana"/>
          <w:sz w:val="20"/>
          <w:szCs w:val="20"/>
        </w:rPr>
        <w:t xml:space="preserve">Allowances increased by Consumer Price Index (CPI). </w:t>
      </w:r>
    </w:p>
    <w:p w:rsidR="00616B31" w:rsidRDefault="00616B31" w:rsidP="00616B31">
      <w:pPr>
        <w:jc w:val="both"/>
        <w:rPr>
          <w:rFonts w:ascii="Verdana" w:hAnsi="Verdana"/>
          <w:sz w:val="20"/>
          <w:szCs w:val="20"/>
        </w:rPr>
      </w:pPr>
    </w:p>
    <w:p w:rsidR="00FD66A6" w:rsidRDefault="00FD66A6" w:rsidP="00616B31">
      <w:pPr>
        <w:jc w:val="both"/>
        <w:rPr>
          <w:rFonts w:ascii="Verdana" w:hAnsi="Verdana"/>
          <w:sz w:val="20"/>
          <w:szCs w:val="20"/>
        </w:rPr>
      </w:pPr>
    </w:p>
    <w:p w:rsidR="00FD66A6" w:rsidRDefault="00FD66A6" w:rsidP="00616B31">
      <w:pPr>
        <w:jc w:val="both"/>
        <w:rPr>
          <w:rFonts w:ascii="Verdana" w:hAnsi="Verdana"/>
          <w:sz w:val="20"/>
          <w:szCs w:val="20"/>
        </w:rPr>
      </w:pPr>
    </w:p>
    <w:p w:rsidR="00FD66A6" w:rsidRDefault="00FD66A6" w:rsidP="00616B31">
      <w:pPr>
        <w:jc w:val="both"/>
        <w:rPr>
          <w:rFonts w:ascii="Verdana" w:hAnsi="Verdana"/>
          <w:sz w:val="20"/>
          <w:szCs w:val="20"/>
        </w:rPr>
      </w:pPr>
    </w:p>
    <w:p w:rsidR="00FD66A6" w:rsidRDefault="00FD66A6" w:rsidP="00616B31">
      <w:pPr>
        <w:jc w:val="both"/>
        <w:rPr>
          <w:rFonts w:ascii="Verdana" w:hAnsi="Verdana"/>
          <w:sz w:val="20"/>
          <w:szCs w:val="20"/>
        </w:rPr>
      </w:pPr>
    </w:p>
    <w:p w:rsidR="00FD66A6" w:rsidRDefault="00FD66A6" w:rsidP="00616B31">
      <w:pPr>
        <w:jc w:val="both"/>
        <w:rPr>
          <w:rFonts w:ascii="Verdana" w:hAnsi="Verdana"/>
          <w:sz w:val="20"/>
          <w:szCs w:val="20"/>
        </w:rPr>
      </w:pPr>
    </w:p>
    <w:p w:rsidR="00FD66A6" w:rsidRDefault="00FD66A6" w:rsidP="00616B31">
      <w:pPr>
        <w:jc w:val="both"/>
        <w:rPr>
          <w:rFonts w:ascii="Verdana" w:hAnsi="Verdana"/>
          <w:sz w:val="20"/>
          <w:szCs w:val="20"/>
        </w:rPr>
      </w:pPr>
    </w:p>
    <w:p w:rsidR="00FD66A6" w:rsidRDefault="00FD66A6" w:rsidP="00616B31">
      <w:pPr>
        <w:jc w:val="both"/>
        <w:rPr>
          <w:rFonts w:ascii="Verdana" w:hAnsi="Verdana"/>
          <w:sz w:val="20"/>
          <w:szCs w:val="20"/>
        </w:rPr>
      </w:pPr>
    </w:p>
    <w:tbl>
      <w:tblPr>
        <w:tblW w:w="8931" w:type="dxa"/>
        <w:jc w:val="center"/>
        <w:tblLayout w:type="fixed"/>
        <w:tblLook w:val="04A0" w:firstRow="1" w:lastRow="0" w:firstColumn="1" w:lastColumn="0" w:noHBand="0" w:noVBand="1"/>
      </w:tblPr>
      <w:tblGrid>
        <w:gridCol w:w="2542"/>
        <w:gridCol w:w="2693"/>
        <w:gridCol w:w="1134"/>
        <w:gridCol w:w="1134"/>
        <w:gridCol w:w="1428"/>
      </w:tblGrid>
      <w:tr w:rsidR="00BF597E" w:rsidRPr="00616B31" w:rsidTr="000474B0">
        <w:trPr>
          <w:trHeight w:val="315"/>
          <w:jc w:val="center"/>
        </w:trPr>
        <w:tc>
          <w:tcPr>
            <w:tcW w:w="2542" w:type="dxa"/>
            <w:tcBorders>
              <w:top w:val="single" w:sz="8" w:space="0" w:color="auto"/>
              <w:left w:val="single" w:sz="8" w:space="0" w:color="auto"/>
              <w:bottom w:val="nil"/>
              <w:right w:val="nil"/>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color w:val="FFFFFF" w:themeColor="background1"/>
                <w:sz w:val="20"/>
                <w:szCs w:val="20"/>
                <w:lang w:eastAsia="en-AU"/>
              </w:rPr>
            </w:pPr>
            <w:r w:rsidRPr="00616B31">
              <w:rPr>
                <w:rFonts w:ascii="Verdana" w:eastAsia="Times New Roman" w:hAnsi="Verdana" w:cs="Calibri"/>
                <w:color w:val="FFFFFF" w:themeColor="background1"/>
                <w:sz w:val="20"/>
                <w:szCs w:val="20"/>
                <w:lang w:eastAsia="en-AU"/>
              </w:rPr>
              <w:t> </w:t>
            </w:r>
          </w:p>
        </w:tc>
        <w:tc>
          <w:tcPr>
            <w:tcW w:w="2693" w:type="dxa"/>
            <w:tcBorders>
              <w:top w:val="single" w:sz="8" w:space="0" w:color="auto"/>
              <w:left w:val="nil"/>
              <w:bottom w:val="nil"/>
              <w:right w:val="single" w:sz="8" w:space="0" w:color="auto"/>
            </w:tcBorders>
            <w:shd w:val="clear" w:color="auto" w:fill="38607A"/>
            <w:noWrap/>
            <w:vAlign w:val="center"/>
            <w:hideMark/>
          </w:tcPr>
          <w:p w:rsidR="00BF597E" w:rsidRPr="00616B31" w:rsidRDefault="00BF597E" w:rsidP="00616B31">
            <w:pPr>
              <w:spacing w:after="0" w:line="240" w:lineRule="auto"/>
              <w:jc w:val="center"/>
              <w:rPr>
                <w:rFonts w:ascii="Verdana" w:eastAsia="Times New Roman" w:hAnsi="Verdana" w:cs="Calibri"/>
                <w:color w:val="FFFFFF" w:themeColor="background1"/>
                <w:sz w:val="20"/>
                <w:szCs w:val="20"/>
                <w:lang w:eastAsia="en-AU"/>
              </w:rPr>
            </w:pPr>
          </w:p>
        </w:tc>
        <w:tc>
          <w:tcPr>
            <w:tcW w:w="1134" w:type="dxa"/>
            <w:tcBorders>
              <w:top w:val="single" w:sz="8" w:space="0" w:color="auto"/>
              <w:left w:val="nil"/>
              <w:bottom w:val="nil"/>
              <w:right w:val="single" w:sz="8" w:space="0" w:color="auto"/>
            </w:tcBorders>
            <w:shd w:val="clear" w:color="auto" w:fill="38607A"/>
          </w:tcPr>
          <w:p w:rsidR="00BF597E" w:rsidRPr="00616B31" w:rsidRDefault="00BF597E" w:rsidP="00BF597E">
            <w:pPr>
              <w:spacing w:after="0" w:line="240" w:lineRule="auto"/>
              <w:jc w:val="center"/>
              <w:rPr>
                <w:rFonts w:ascii="Verdana" w:eastAsia="Times New Roman" w:hAnsi="Verdana" w:cs="Calibri"/>
                <w:bCs/>
                <w:color w:val="FFFFFF" w:themeColor="background1"/>
                <w:sz w:val="18"/>
                <w:szCs w:val="18"/>
                <w:lang w:eastAsia="en-AU"/>
              </w:rPr>
            </w:pPr>
            <w:r>
              <w:rPr>
                <w:rFonts w:ascii="Verdana" w:eastAsia="Times New Roman" w:hAnsi="Verdana" w:cs="Calibri"/>
                <w:bCs/>
                <w:color w:val="FFFFFF" w:themeColor="background1"/>
                <w:sz w:val="18"/>
                <w:szCs w:val="18"/>
                <w:lang w:eastAsia="en-AU"/>
              </w:rPr>
              <w:t>1-Jul-16</w:t>
            </w:r>
          </w:p>
        </w:tc>
        <w:tc>
          <w:tcPr>
            <w:tcW w:w="1134" w:type="dxa"/>
            <w:tcBorders>
              <w:top w:val="single" w:sz="8" w:space="0" w:color="auto"/>
              <w:left w:val="nil"/>
              <w:bottom w:val="nil"/>
              <w:right w:val="single" w:sz="8" w:space="0" w:color="auto"/>
            </w:tcBorders>
            <w:shd w:val="clear" w:color="auto" w:fill="38607A"/>
            <w:noWrap/>
            <w:vAlign w:val="center"/>
          </w:tcPr>
          <w:p w:rsidR="00BF597E" w:rsidRPr="00616B31" w:rsidRDefault="00BF597E" w:rsidP="00BF597E">
            <w:pPr>
              <w:spacing w:after="0" w:line="240" w:lineRule="auto"/>
              <w:rPr>
                <w:rFonts w:ascii="Verdana" w:eastAsia="Times New Roman" w:hAnsi="Verdana" w:cs="Calibri"/>
                <w:bCs/>
                <w:color w:val="FFFFFF" w:themeColor="background1"/>
                <w:sz w:val="18"/>
                <w:szCs w:val="18"/>
                <w:lang w:eastAsia="en-AU"/>
              </w:rPr>
            </w:pPr>
            <w:r>
              <w:rPr>
                <w:rFonts w:ascii="Verdana" w:eastAsia="Times New Roman" w:hAnsi="Verdana" w:cs="Calibri"/>
                <w:bCs/>
                <w:color w:val="FFFFFF" w:themeColor="background1"/>
                <w:sz w:val="18"/>
                <w:szCs w:val="18"/>
                <w:lang w:eastAsia="en-AU"/>
              </w:rPr>
              <w:t>1-Jul-17</w:t>
            </w:r>
          </w:p>
        </w:tc>
        <w:tc>
          <w:tcPr>
            <w:tcW w:w="1428" w:type="dxa"/>
            <w:tcBorders>
              <w:top w:val="single" w:sz="8" w:space="0" w:color="auto"/>
              <w:left w:val="nil"/>
              <w:bottom w:val="nil"/>
              <w:right w:val="single" w:sz="8" w:space="0" w:color="auto"/>
            </w:tcBorders>
            <w:shd w:val="clear" w:color="auto" w:fill="38607A"/>
            <w:noWrap/>
            <w:vAlign w:val="center"/>
            <w:hideMark/>
          </w:tcPr>
          <w:p w:rsidR="00BF597E" w:rsidRPr="00616B31" w:rsidRDefault="00BF597E" w:rsidP="00BF597E">
            <w:pPr>
              <w:spacing w:after="0" w:line="240" w:lineRule="auto"/>
              <w:jc w:val="center"/>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Notes</w:t>
            </w:r>
          </w:p>
        </w:tc>
      </w:tr>
      <w:tr w:rsidR="00BF597E" w:rsidRPr="00616B31" w:rsidTr="000474B0">
        <w:trPr>
          <w:trHeight w:val="315"/>
          <w:jc w:val="center"/>
        </w:trPr>
        <w:tc>
          <w:tcPr>
            <w:tcW w:w="2542" w:type="dxa"/>
            <w:tcBorders>
              <w:top w:val="single" w:sz="8" w:space="0" w:color="auto"/>
              <w:left w:val="single" w:sz="8" w:space="0" w:color="auto"/>
              <w:bottom w:val="single" w:sz="8" w:space="0" w:color="auto"/>
              <w:right w:val="nil"/>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Basic Parliamentary Salary</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c>
          <w:tcPr>
            <w:tcW w:w="1134" w:type="dxa"/>
            <w:tcBorders>
              <w:top w:val="single" w:sz="8" w:space="0" w:color="auto"/>
              <w:left w:val="nil"/>
              <w:bottom w:val="single" w:sz="8" w:space="0" w:color="auto"/>
              <w:right w:val="nil"/>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$133,560</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$136,765</w:t>
            </w:r>
          </w:p>
        </w:tc>
        <w:tc>
          <w:tcPr>
            <w:tcW w:w="1428" w:type="dxa"/>
            <w:tcBorders>
              <w:top w:val="single" w:sz="8" w:space="0" w:color="auto"/>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Increased by 2.4%</w:t>
            </w:r>
          </w:p>
        </w:tc>
      </w:tr>
      <w:tr w:rsidR="00BF597E" w:rsidRPr="00616B31" w:rsidTr="000474B0">
        <w:trPr>
          <w:trHeight w:val="315"/>
          <w:jc w:val="center"/>
        </w:trPr>
        <w:tc>
          <w:tcPr>
            <w:tcW w:w="2542" w:type="dxa"/>
            <w:tcBorders>
              <w:top w:val="nil"/>
              <w:left w:val="single" w:sz="8" w:space="0" w:color="auto"/>
              <w:bottom w:val="nil"/>
              <w:right w:val="nil"/>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Motor Vehicle Allowance</w:t>
            </w:r>
          </w:p>
        </w:tc>
        <w:tc>
          <w:tcPr>
            <w:tcW w:w="2693"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c>
          <w:tcPr>
            <w:tcW w:w="1134" w:type="dxa"/>
            <w:tcBorders>
              <w:top w:val="nil"/>
              <w:left w:val="nil"/>
              <w:bottom w:val="nil"/>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$15,613</w:t>
            </w:r>
          </w:p>
        </w:tc>
        <w:tc>
          <w:tcPr>
            <w:tcW w:w="1134"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$16,081</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Increased by 1.3%</w:t>
            </w:r>
          </w:p>
        </w:tc>
      </w:tr>
      <w:tr w:rsidR="00BF597E" w:rsidRPr="00616B31" w:rsidTr="000474B0">
        <w:trPr>
          <w:trHeight w:val="315"/>
          <w:jc w:val="center"/>
        </w:trPr>
        <w:tc>
          <w:tcPr>
            <w:tcW w:w="2542" w:type="dxa"/>
            <w:tcBorders>
              <w:top w:val="single" w:sz="8" w:space="0" w:color="auto"/>
              <w:left w:val="single" w:sz="8" w:space="0" w:color="auto"/>
              <w:bottom w:val="single" w:sz="8" w:space="0" w:color="auto"/>
              <w:right w:val="single" w:sz="8" w:space="0" w:color="000000"/>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Electorate Allowance (based on Electorates as at 1 July 2017)</w:t>
            </w:r>
          </w:p>
        </w:tc>
        <w:tc>
          <w:tcPr>
            <w:tcW w:w="2693" w:type="dxa"/>
            <w:tcBorders>
              <w:top w:val="single" w:sz="8" w:space="0" w:color="auto"/>
              <w:left w:val="single" w:sz="8" w:space="0" w:color="auto"/>
              <w:bottom w:val="single" w:sz="8" w:space="0" w:color="auto"/>
              <w:right w:val="single" w:sz="8" w:space="0" w:color="000000"/>
            </w:tcBorders>
            <w:shd w:val="clear" w:color="auto" w:fill="FFFFFF" w:themeFill="background1"/>
            <w:vAlign w:val="center"/>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p>
        </w:tc>
        <w:tc>
          <w:tcPr>
            <w:tcW w:w="1134" w:type="dxa"/>
            <w:tcBorders>
              <w:top w:val="single" w:sz="8" w:space="0" w:color="auto"/>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c>
          <w:tcPr>
            <w:tcW w:w="1428" w:type="dxa"/>
            <w:tcBorders>
              <w:top w:val="single" w:sz="8" w:space="0" w:color="auto"/>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Increased by 1.3%</w:t>
            </w:r>
          </w:p>
        </w:tc>
      </w:tr>
      <w:tr w:rsidR="00BF597E" w:rsidRPr="00616B31" w:rsidTr="000474B0">
        <w:trPr>
          <w:trHeight w:val="315"/>
          <w:jc w:val="center"/>
        </w:trPr>
        <w:tc>
          <w:tcPr>
            <w:tcW w:w="2542" w:type="dxa"/>
            <w:tcBorders>
              <w:top w:val="nil"/>
              <w:left w:val="single" w:sz="8" w:space="0" w:color="auto"/>
              <w:bottom w:val="single" w:sz="8" w:space="0" w:color="auto"/>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Legislative Council</w:t>
            </w:r>
          </w:p>
        </w:tc>
        <w:tc>
          <w:tcPr>
            <w:tcW w:w="2693"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c>
          <w:tcPr>
            <w:tcW w:w="1134" w:type="dxa"/>
            <w:tcBorders>
              <w:top w:val="nil"/>
              <w:left w:val="nil"/>
              <w:bottom w:val="nil"/>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c>
          <w:tcPr>
            <w:tcW w:w="1134"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nil"/>
              <w:left w:val="single" w:sz="8" w:space="0" w:color="auto"/>
              <w:bottom w:val="single" w:sz="8" w:space="0" w:color="auto"/>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 xml:space="preserve">Group 1 </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Apsley</w:t>
            </w:r>
          </w:p>
        </w:tc>
        <w:tc>
          <w:tcPr>
            <w:tcW w:w="1134" w:type="dxa"/>
            <w:tcBorders>
              <w:top w:val="single" w:sz="8" w:space="0" w:color="auto"/>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$49,447</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$50,090</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nil"/>
              <w:left w:val="single" w:sz="8" w:space="0" w:color="auto"/>
              <w:bottom w:val="single" w:sz="8" w:space="0" w:color="auto"/>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Group 2</w:t>
            </w:r>
          </w:p>
        </w:tc>
        <w:tc>
          <w:tcPr>
            <w:tcW w:w="2693"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Murchison, Western Tiers</w:t>
            </w:r>
          </w:p>
        </w:tc>
        <w:tc>
          <w:tcPr>
            <w:tcW w:w="1134" w:type="dxa"/>
            <w:tcBorders>
              <w:top w:val="nil"/>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$45,541</w:t>
            </w:r>
          </w:p>
        </w:tc>
        <w:tc>
          <w:tcPr>
            <w:tcW w:w="1134"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$46,133</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nil"/>
              <w:left w:val="single" w:sz="8" w:space="0" w:color="auto"/>
              <w:bottom w:val="single" w:sz="8" w:space="0" w:color="auto"/>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Group 3</w:t>
            </w:r>
          </w:p>
        </w:tc>
        <w:tc>
          <w:tcPr>
            <w:tcW w:w="2693"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Derwent, Huon</w:t>
            </w:r>
          </w:p>
        </w:tc>
        <w:tc>
          <w:tcPr>
            <w:tcW w:w="1134" w:type="dxa"/>
            <w:tcBorders>
              <w:top w:val="nil"/>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$39,035</w:t>
            </w:r>
          </w:p>
        </w:tc>
        <w:tc>
          <w:tcPr>
            <w:tcW w:w="1134"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$39,542</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nil"/>
              <w:left w:val="single" w:sz="8" w:space="0" w:color="auto"/>
              <w:bottom w:val="single" w:sz="8" w:space="0" w:color="auto"/>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Group 4</w:t>
            </w:r>
          </w:p>
        </w:tc>
        <w:tc>
          <w:tcPr>
            <w:tcW w:w="2693"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 xml:space="preserve">Montgomery, </w:t>
            </w:r>
            <w:proofErr w:type="spellStart"/>
            <w:r w:rsidRPr="00616B31">
              <w:rPr>
                <w:rFonts w:ascii="Verdana" w:eastAsia="Times New Roman" w:hAnsi="Verdana" w:cs="Calibri"/>
                <w:color w:val="000000"/>
                <w:sz w:val="18"/>
                <w:szCs w:val="18"/>
                <w:lang w:eastAsia="en-AU"/>
              </w:rPr>
              <w:t>Rumney</w:t>
            </w:r>
            <w:proofErr w:type="spellEnd"/>
          </w:p>
        </w:tc>
        <w:tc>
          <w:tcPr>
            <w:tcW w:w="1134" w:type="dxa"/>
            <w:tcBorders>
              <w:top w:val="nil"/>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$36,434</w:t>
            </w:r>
          </w:p>
        </w:tc>
        <w:tc>
          <w:tcPr>
            <w:tcW w:w="1134"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$36,908</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915"/>
          <w:jc w:val="center"/>
        </w:trPr>
        <w:tc>
          <w:tcPr>
            <w:tcW w:w="2542" w:type="dxa"/>
            <w:tcBorders>
              <w:top w:val="nil"/>
              <w:left w:val="single" w:sz="8" w:space="0" w:color="auto"/>
              <w:bottom w:val="nil"/>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Group 5</w:t>
            </w:r>
          </w:p>
        </w:tc>
        <w:tc>
          <w:tcPr>
            <w:tcW w:w="2693" w:type="dxa"/>
            <w:tcBorders>
              <w:top w:val="nil"/>
              <w:left w:val="nil"/>
              <w:bottom w:val="nil"/>
              <w:right w:val="single" w:sz="8" w:space="0" w:color="auto"/>
            </w:tcBorders>
            <w:shd w:val="clear" w:color="auto" w:fill="auto"/>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Mersey, Rosevears, Windermere, Elwick, Nelson, Launceston, Pembroke, Hobart</w:t>
            </w:r>
          </w:p>
        </w:tc>
        <w:tc>
          <w:tcPr>
            <w:tcW w:w="1134" w:type="dxa"/>
            <w:tcBorders>
              <w:top w:val="nil"/>
              <w:left w:val="nil"/>
              <w:bottom w:val="nil"/>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$31,229</w:t>
            </w:r>
          </w:p>
        </w:tc>
        <w:tc>
          <w:tcPr>
            <w:tcW w:w="1134"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$31,635</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single" w:sz="8" w:space="0" w:color="auto"/>
              <w:left w:val="single" w:sz="8" w:space="0" w:color="auto"/>
              <w:bottom w:val="nil"/>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House of Assembly</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Bass</w:t>
            </w:r>
          </w:p>
        </w:tc>
        <w:tc>
          <w:tcPr>
            <w:tcW w:w="1134" w:type="dxa"/>
            <w:tcBorders>
              <w:top w:val="single" w:sz="8" w:space="0" w:color="auto"/>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$42,940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$43,498</w:t>
            </w:r>
          </w:p>
        </w:tc>
        <w:tc>
          <w:tcPr>
            <w:tcW w:w="1428" w:type="dxa"/>
            <w:tcBorders>
              <w:top w:val="single" w:sz="8" w:space="0" w:color="auto"/>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nil"/>
              <w:left w:val="single" w:sz="8" w:space="0" w:color="auto"/>
              <w:bottom w:val="nil"/>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 </w:t>
            </w:r>
          </w:p>
        </w:tc>
        <w:tc>
          <w:tcPr>
            <w:tcW w:w="2693"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Braddon</w:t>
            </w:r>
          </w:p>
        </w:tc>
        <w:tc>
          <w:tcPr>
            <w:tcW w:w="1134" w:type="dxa"/>
            <w:tcBorders>
              <w:top w:val="nil"/>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$46,843</w:t>
            </w:r>
          </w:p>
        </w:tc>
        <w:tc>
          <w:tcPr>
            <w:tcW w:w="1134"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$47,452</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nil"/>
              <w:left w:val="single" w:sz="8" w:space="0" w:color="auto"/>
              <w:bottom w:val="nil"/>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 </w:t>
            </w:r>
          </w:p>
        </w:tc>
        <w:tc>
          <w:tcPr>
            <w:tcW w:w="2693"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Denison</w:t>
            </w:r>
          </w:p>
        </w:tc>
        <w:tc>
          <w:tcPr>
            <w:tcW w:w="1134" w:type="dxa"/>
            <w:tcBorders>
              <w:top w:val="nil"/>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$31,229</w:t>
            </w:r>
          </w:p>
        </w:tc>
        <w:tc>
          <w:tcPr>
            <w:tcW w:w="1134"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$31,635</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nil"/>
              <w:left w:val="single" w:sz="8" w:space="0" w:color="auto"/>
              <w:bottom w:val="nil"/>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Cs/>
                <w:color w:val="FFFFFF" w:themeColor="background1"/>
                <w:sz w:val="18"/>
                <w:szCs w:val="18"/>
                <w:lang w:eastAsia="en-AU"/>
              </w:rPr>
            </w:pPr>
            <w:r w:rsidRPr="00616B31">
              <w:rPr>
                <w:rFonts w:ascii="Verdana" w:eastAsia="Times New Roman" w:hAnsi="Verdana" w:cs="Calibri"/>
                <w:bCs/>
                <w:color w:val="FFFFFF" w:themeColor="background1"/>
                <w:sz w:val="18"/>
                <w:szCs w:val="18"/>
                <w:lang w:eastAsia="en-AU"/>
              </w:rPr>
              <w:t> </w:t>
            </w:r>
          </w:p>
        </w:tc>
        <w:tc>
          <w:tcPr>
            <w:tcW w:w="2693"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Franklin</w:t>
            </w:r>
          </w:p>
        </w:tc>
        <w:tc>
          <w:tcPr>
            <w:tcW w:w="1134" w:type="dxa"/>
            <w:tcBorders>
              <w:top w:val="nil"/>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$37,735</w:t>
            </w:r>
          </w:p>
        </w:tc>
        <w:tc>
          <w:tcPr>
            <w:tcW w:w="1134"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$38,226</w:t>
            </w:r>
          </w:p>
        </w:tc>
        <w:tc>
          <w:tcPr>
            <w:tcW w:w="1428" w:type="dxa"/>
            <w:tcBorders>
              <w:top w:val="nil"/>
              <w:left w:val="nil"/>
              <w:bottom w:val="nil"/>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r w:rsidR="00BF597E" w:rsidRPr="00616B31" w:rsidTr="000474B0">
        <w:trPr>
          <w:trHeight w:val="315"/>
          <w:jc w:val="center"/>
        </w:trPr>
        <w:tc>
          <w:tcPr>
            <w:tcW w:w="2542" w:type="dxa"/>
            <w:tcBorders>
              <w:top w:val="nil"/>
              <w:left w:val="single" w:sz="8" w:space="0" w:color="auto"/>
              <w:bottom w:val="single" w:sz="8" w:space="0" w:color="auto"/>
              <w:right w:val="single" w:sz="8" w:space="0" w:color="auto"/>
            </w:tcBorders>
            <w:shd w:val="clear" w:color="auto" w:fill="38607A"/>
            <w:noWrap/>
            <w:vAlign w:val="center"/>
            <w:hideMark/>
          </w:tcPr>
          <w:p w:rsidR="00BF597E" w:rsidRPr="00616B31" w:rsidRDefault="00BF597E" w:rsidP="00616B31">
            <w:pPr>
              <w:spacing w:after="0" w:line="240" w:lineRule="auto"/>
              <w:rPr>
                <w:rFonts w:ascii="Verdana" w:eastAsia="Times New Roman" w:hAnsi="Verdana" w:cs="Calibri"/>
                <w:b/>
                <w:bCs/>
                <w:color w:val="000000"/>
                <w:sz w:val="18"/>
                <w:szCs w:val="18"/>
                <w:lang w:eastAsia="en-AU"/>
              </w:rPr>
            </w:pPr>
            <w:r w:rsidRPr="00616B31">
              <w:rPr>
                <w:rFonts w:ascii="Verdana" w:eastAsia="Times New Roman" w:hAnsi="Verdana" w:cs="Calibri"/>
                <w:b/>
                <w:bCs/>
                <w:color w:val="000000"/>
                <w:sz w:val="18"/>
                <w:szCs w:val="18"/>
                <w:lang w:eastAsia="en-AU"/>
              </w:rPr>
              <w:t> </w:t>
            </w:r>
          </w:p>
        </w:tc>
        <w:tc>
          <w:tcPr>
            <w:tcW w:w="2693"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Lyons</w:t>
            </w:r>
          </w:p>
        </w:tc>
        <w:tc>
          <w:tcPr>
            <w:tcW w:w="1134" w:type="dxa"/>
            <w:tcBorders>
              <w:top w:val="nil"/>
              <w:left w:val="nil"/>
              <w:bottom w:val="single" w:sz="8" w:space="0" w:color="auto"/>
              <w:right w:val="single" w:sz="8" w:space="0" w:color="auto"/>
            </w:tcBorders>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$52,050</w:t>
            </w:r>
          </w:p>
        </w:tc>
        <w:tc>
          <w:tcPr>
            <w:tcW w:w="1134"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r w:rsidRPr="00616B31">
              <w:rPr>
                <w:rFonts w:ascii="Verdana" w:eastAsia="Times New Roman" w:hAnsi="Verdana" w:cs="Calibri"/>
                <w:color w:val="000000"/>
                <w:sz w:val="18"/>
                <w:szCs w:val="18"/>
                <w:lang w:eastAsia="en-AU"/>
              </w:rPr>
              <w:t>$52,727</w:t>
            </w:r>
          </w:p>
        </w:tc>
        <w:tc>
          <w:tcPr>
            <w:tcW w:w="1428" w:type="dxa"/>
            <w:tcBorders>
              <w:top w:val="nil"/>
              <w:left w:val="nil"/>
              <w:bottom w:val="single" w:sz="8" w:space="0" w:color="auto"/>
              <w:right w:val="single" w:sz="8" w:space="0" w:color="auto"/>
            </w:tcBorders>
            <w:shd w:val="clear" w:color="auto" w:fill="auto"/>
            <w:noWrap/>
            <w:vAlign w:val="center"/>
            <w:hideMark/>
          </w:tcPr>
          <w:p w:rsidR="00BF597E" w:rsidRPr="00616B31" w:rsidRDefault="00BF597E" w:rsidP="00616B31">
            <w:pPr>
              <w:spacing w:after="0" w:line="240" w:lineRule="auto"/>
              <w:jc w:val="center"/>
              <w:rPr>
                <w:rFonts w:ascii="Verdana" w:eastAsia="Times New Roman" w:hAnsi="Verdana" w:cs="Calibri"/>
                <w:color w:val="000000"/>
                <w:sz w:val="18"/>
                <w:szCs w:val="18"/>
                <w:lang w:eastAsia="en-AU"/>
              </w:rPr>
            </w:pPr>
          </w:p>
        </w:tc>
      </w:tr>
    </w:tbl>
    <w:p w:rsidR="00F95BEB" w:rsidRPr="00230EB6" w:rsidRDefault="00F95BEB" w:rsidP="00F63E1B">
      <w:pPr>
        <w:jc w:val="both"/>
        <w:rPr>
          <w:rFonts w:ascii="Verdana" w:hAnsi="Verdana"/>
          <w:sz w:val="20"/>
          <w:szCs w:val="20"/>
        </w:rPr>
      </w:pPr>
    </w:p>
    <w:p w:rsidR="00F95BEB" w:rsidRDefault="007449A4" w:rsidP="001262FE">
      <w:pPr>
        <w:pStyle w:val="ListParagraph"/>
        <w:numPr>
          <w:ilvl w:val="1"/>
          <w:numId w:val="8"/>
        </w:numPr>
        <w:ind w:left="1134" w:hanging="1134"/>
        <w:jc w:val="both"/>
        <w:rPr>
          <w:rFonts w:ascii="Verdana" w:hAnsi="Verdana"/>
          <w:sz w:val="20"/>
          <w:szCs w:val="20"/>
        </w:rPr>
      </w:pPr>
      <w:r w:rsidRPr="00BF597E">
        <w:rPr>
          <w:rFonts w:ascii="Verdana" w:hAnsi="Verdana"/>
          <w:sz w:val="20"/>
          <w:szCs w:val="20"/>
        </w:rPr>
        <w:t>It is to be noted that there were Electorate name changes and boundary adjustments. Apsley is now Prosser and Western Tiers is now McIntyre</w:t>
      </w:r>
      <w:r w:rsidR="004D14AF" w:rsidRPr="00BF597E">
        <w:rPr>
          <w:rFonts w:ascii="Verdana" w:hAnsi="Verdana"/>
          <w:sz w:val="20"/>
          <w:szCs w:val="20"/>
        </w:rPr>
        <w:t>. It seems likely that the redistribution will lead to a change in grouping for some electorates.</w:t>
      </w:r>
    </w:p>
    <w:p w:rsidR="00BF597E" w:rsidRPr="00BF597E" w:rsidRDefault="00BF597E" w:rsidP="001262FE">
      <w:pPr>
        <w:pStyle w:val="ListParagraph"/>
        <w:ind w:left="1134" w:hanging="1134"/>
        <w:jc w:val="both"/>
        <w:rPr>
          <w:rFonts w:ascii="Verdana" w:hAnsi="Verdana"/>
          <w:sz w:val="20"/>
          <w:szCs w:val="20"/>
        </w:rPr>
      </w:pPr>
    </w:p>
    <w:p w:rsidR="004D14AF" w:rsidRPr="00BF597E" w:rsidRDefault="004D14AF" w:rsidP="001262FE">
      <w:pPr>
        <w:pStyle w:val="ListParagraph"/>
        <w:numPr>
          <w:ilvl w:val="1"/>
          <w:numId w:val="8"/>
        </w:numPr>
        <w:ind w:left="1134" w:hanging="1134"/>
        <w:jc w:val="both"/>
        <w:rPr>
          <w:rFonts w:ascii="Verdana" w:hAnsi="Verdana"/>
          <w:sz w:val="20"/>
          <w:szCs w:val="20"/>
        </w:rPr>
      </w:pPr>
      <w:r w:rsidRPr="00BF597E">
        <w:rPr>
          <w:rFonts w:ascii="Verdana" w:hAnsi="Verdana"/>
          <w:sz w:val="20"/>
          <w:szCs w:val="20"/>
        </w:rPr>
        <w:t>Based on the redistribution and using size of the electorate as the basis for allocating an electorate to a group the following changes could be considered:</w:t>
      </w:r>
    </w:p>
    <w:p w:rsidR="004D14AF" w:rsidRPr="00BF597E" w:rsidRDefault="004D14AF" w:rsidP="00F63E1B">
      <w:pPr>
        <w:ind w:left="1560" w:hanging="426"/>
        <w:jc w:val="both"/>
        <w:rPr>
          <w:rFonts w:ascii="Verdana" w:hAnsi="Verdana"/>
          <w:sz w:val="20"/>
          <w:szCs w:val="20"/>
        </w:rPr>
      </w:pPr>
      <w:r w:rsidRPr="00BF597E">
        <w:rPr>
          <w:rFonts w:ascii="Verdana" w:hAnsi="Verdana"/>
          <w:sz w:val="20"/>
          <w:szCs w:val="20"/>
        </w:rPr>
        <w:t>1</w:t>
      </w:r>
      <w:r w:rsidR="00726CF8">
        <w:rPr>
          <w:rFonts w:ascii="Verdana" w:hAnsi="Verdana"/>
          <w:sz w:val="20"/>
          <w:szCs w:val="20"/>
        </w:rPr>
        <w:t>.</w:t>
      </w:r>
      <w:r w:rsidR="00726CF8">
        <w:rPr>
          <w:rFonts w:ascii="Verdana" w:hAnsi="Verdana"/>
          <w:sz w:val="20"/>
          <w:szCs w:val="20"/>
        </w:rPr>
        <w:tab/>
        <w:t>McIntyre (Apsley) in Group 1</w:t>
      </w:r>
    </w:p>
    <w:p w:rsidR="004D14AF" w:rsidRPr="00BF597E" w:rsidRDefault="004D14AF" w:rsidP="00F63E1B">
      <w:pPr>
        <w:ind w:left="1560" w:hanging="426"/>
        <w:jc w:val="both"/>
        <w:rPr>
          <w:rFonts w:ascii="Verdana" w:hAnsi="Verdana"/>
          <w:sz w:val="20"/>
          <w:szCs w:val="20"/>
        </w:rPr>
      </w:pPr>
      <w:r w:rsidRPr="00BF597E">
        <w:rPr>
          <w:rFonts w:ascii="Verdana" w:hAnsi="Verdana"/>
          <w:sz w:val="20"/>
          <w:szCs w:val="20"/>
        </w:rPr>
        <w:t>2.</w:t>
      </w:r>
      <w:r w:rsidRPr="00BF597E">
        <w:rPr>
          <w:rFonts w:ascii="Verdana" w:hAnsi="Verdana"/>
          <w:sz w:val="20"/>
          <w:szCs w:val="20"/>
        </w:rPr>
        <w:tab/>
        <w:t>Prosser (Western Tiers) moves from Group 2 to Group 3</w:t>
      </w:r>
    </w:p>
    <w:p w:rsidR="004D14AF" w:rsidRPr="00BF597E" w:rsidRDefault="004D14AF" w:rsidP="00F63E1B">
      <w:pPr>
        <w:ind w:left="1560" w:hanging="426"/>
        <w:jc w:val="both"/>
        <w:rPr>
          <w:rFonts w:ascii="Verdana" w:hAnsi="Verdana"/>
          <w:sz w:val="20"/>
          <w:szCs w:val="20"/>
        </w:rPr>
      </w:pPr>
      <w:r w:rsidRPr="00BF597E">
        <w:rPr>
          <w:rFonts w:ascii="Verdana" w:hAnsi="Verdana"/>
          <w:sz w:val="20"/>
          <w:szCs w:val="20"/>
        </w:rPr>
        <w:t>3.</w:t>
      </w:r>
      <w:r w:rsidRPr="00BF597E">
        <w:rPr>
          <w:rFonts w:ascii="Verdana" w:hAnsi="Verdana"/>
          <w:sz w:val="20"/>
          <w:szCs w:val="20"/>
        </w:rPr>
        <w:tab/>
        <w:t>Derwent moves from Group 3 to Group 2</w:t>
      </w:r>
    </w:p>
    <w:p w:rsidR="004D14AF" w:rsidRPr="00BF597E" w:rsidRDefault="004D14AF" w:rsidP="00F63E1B">
      <w:pPr>
        <w:ind w:left="1560" w:hanging="426"/>
        <w:jc w:val="both"/>
        <w:rPr>
          <w:rFonts w:ascii="Verdana" w:hAnsi="Verdana"/>
          <w:sz w:val="20"/>
          <w:szCs w:val="20"/>
        </w:rPr>
      </w:pPr>
      <w:r w:rsidRPr="00BF597E">
        <w:rPr>
          <w:rFonts w:ascii="Verdana" w:hAnsi="Verdana"/>
          <w:sz w:val="20"/>
          <w:szCs w:val="20"/>
        </w:rPr>
        <w:t>4.</w:t>
      </w:r>
      <w:r w:rsidRPr="00BF597E">
        <w:rPr>
          <w:rFonts w:ascii="Verdana" w:hAnsi="Verdana"/>
          <w:sz w:val="20"/>
          <w:szCs w:val="20"/>
        </w:rPr>
        <w:tab/>
        <w:t>Windermere moves from Group 5 to Group 4</w:t>
      </w:r>
    </w:p>
    <w:p w:rsidR="004D14AF" w:rsidRPr="00BF597E" w:rsidRDefault="004D14AF" w:rsidP="00F63E1B">
      <w:pPr>
        <w:ind w:left="1560" w:hanging="426"/>
        <w:jc w:val="both"/>
        <w:rPr>
          <w:rFonts w:ascii="Verdana" w:hAnsi="Verdana"/>
          <w:sz w:val="20"/>
          <w:szCs w:val="20"/>
        </w:rPr>
      </w:pPr>
      <w:r w:rsidRPr="00BF597E">
        <w:rPr>
          <w:rFonts w:ascii="Verdana" w:hAnsi="Verdana"/>
          <w:sz w:val="20"/>
          <w:szCs w:val="20"/>
        </w:rPr>
        <w:t>5.</w:t>
      </w:r>
      <w:r w:rsidRPr="00BF597E">
        <w:rPr>
          <w:rFonts w:ascii="Verdana" w:hAnsi="Verdana"/>
          <w:sz w:val="20"/>
          <w:szCs w:val="20"/>
        </w:rPr>
        <w:tab/>
        <w:t>Huo</w:t>
      </w:r>
      <w:r w:rsidR="00726CF8">
        <w:rPr>
          <w:rFonts w:ascii="Verdana" w:hAnsi="Verdana"/>
          <w:sz w:val="20"/>
          <w:szCs w:val="20"/>
        </w:rPr>
        <w:t>n moves from Group 4 to Group 5</w:t>
      </w:r>
      <w:bookmarkStart w:id="0" w:name="_GoBack"/>
      <w:bookmarkEnd w:id="0"/>
    </w:p>
    <w:p w:rsidR="00F95BEB" w:rsidRDefault="004D14AF" w:rsidP="001262FE">
      <w:pPr>
        <w:pStyle w:val="ListParagraph"/>
        <w:numPr>
          <w:ilvl w:val="1"/>
          <w:numId w:val="8"/>
        </w:numPr>
        <w:ind w:hanging="1080"/>
        <w:jc w:val="both"/>
        <w:rPr>
          <w:rFonts w:ascii="Verdana" w:hAnsi="Verdana"/>
          <w:sz w:val="20"/>
          <w:szCs w:val="20"/>
        </w:rPr>
      </w:pPr>
      <w:r w:rsidRPr="00BF597E">
        <w:rPr>
          <w:rFonts w:ascii="Verdana" w:hAnsi="Verdana"/>
          <w:sz w:val="20"/>
          <w:szCs w:val="20"/>
        </w:rPr>
        <w:t>Submissions are sought on this proposed reassignment of groupings. In light of what follows the regrouping will be on an interim basis pending the detailed review of allowances referred to below.</w:t>
      </w:r>
    </w:p>
    <w:p w:rsidR="00BF597E" w:rsidRPr="00BF597E" w:rsidRDefault="00BF597E" w:rsidP="001262FE">
      <w:pPr>
        <w:pStyle w:val="ListParagraph"/>
        <w:ind w:left="1080" w:hanging="1080"/>
        <w:jc w:val="both"/>
        <w:rPr>
          <w:rFonts w:ascii="Verdana" w:hAnsi="Verdana"/>
          <w:sz w:val="20"/>
          <w:szCs w:val="20"/>
        </w:rPr>
      </w:pPr>
    </w:p>
    <w:p w:rsidR="00BF597E" w:rsidRPr="001262FE" w:rsidRDefault="000A0609" w:rsidP="001262FE">
      <w:pPr>
        <w:pStyle w:val="ListParagraph"/>
        <w:numPr>
          <w:ilvl w:val="1"/>
          <w:numId w:val="8"/>
        </w:numPr>
        <w:ind w:hanging="1080"/>
        <w:jc w:val="both"/>
        <w:rPr>
          <w:rFonts w:ascii="Verdana" w:hAnsi="Verdana"/>
          <w:sz w:val="20"/>
          <w:szCs w:val="20"/>
        </w:rPr>
      </w:pPr>
      <w:r w:rsidRPr="00BF597E">
        <w:rPr>
          <w:rFonts w:ascii="Verdana" w:hAnsi="Verdana"/>
          <w:sz w:val="20"/>
          <w:szCs w:val="20"/>
        </w:rPr>
        <w:t>There were several recommendations from the 2016 Review that won’t be part of this review that will carry over to the next Review in 2019:</w:t>
      </w:r>
      <w:r w:rsidR="001262FE">
        <w:rPr>
          <w:rFonts w:ascii="Verdana" w:hAnsi="Verdana"/>
          <w:sz w:val="20"/>
          <w:szCs w:val="20"/>
        </w:rPr>
        <w:br/>
      </w:r>
    </w:p>
    <w:p w:rsidR="00BF597E" w:rsidRDefault="000A0609" w:rsidP="00F63E1B">
      <w:pPr>
        <w:pStyle w:val="ListParagraph"/>
        <w:numPr>
          <w:ilvl w:val="0"/>
          <w:numId w:val="12"/>
        </w:numPr>
        <w:jc w:val="both"/>
        <w:rPr>
          <w:rFonts w:ascii="Verdana" w:hAnsi="Verdana"/>
          <w:sz w:val="20"/>
          <w:szCs w:val="20"/>
        </w:rPr>
      </w:pPr>
      <w:r w:rsidRPr="00BF597E">
        <w:rPr>
          <w:rFonts w:ascii="Verdana" w:hAnsi="Verdana"/>
          <w:sz w:val="20"/>
          <w:szCs w:val="20"/>
        </w:rPr>
        <w:lastRenderedPageBreak/>
        <w:t>The quantum of additional salary paid in relation to the offices of President of the Legislative Council and Speaker of the House of Assembly (page 29 of 2016 Determination)</w:t>
      </w:r>
      <w:r w:rsidR="005555FF" w:rsidRPr="00BF597E">
        <w:rPr>
          <w:rFonts w:ascii="Verdana" w:hAnsi="Verdana"/>
          <w:sz w:val="20"/>
          <w:szCs w:val="20"/>
        </w:rPr>
        <w:t>; and</w:t>
      </w:r>
    </w:p>
    <w:p w:rsidR="00BF597E" w:rsidRDefault="00BF597E" w:rsidP="00F63E1B">
      <w:pPr>
        <w:pStyle w:val="ListParagraph"/>
        <w:ind w:left="1560" w:hanging="426"/>
        <w:jc w:val="both"/>
        <w:rPr>
          <w:rFonts w:ascii="Verdana" w:hAnsi="Verdana"/>
          <w:sz w:val="20"/>
          <w:szCs w:val="20"/>
        </w:rPr>
      </w:pPr>
    </w:p>
    <w:p w:rsidR="007449A4" w:rsidRPr="00FD66A6" w:rsidRDefault="005555FF" w:rsidP="00F63E1B">
      <w:pPr>
        <w:pStyle w:val="ListParagraph"/>
        <w:numPr>
          <w:ilvl w:val="0"/>
          <w:numId w:val="12"/>
        </w:numPr>
        <w:jc w:val="both"/>
        <w:rPr>
          <w:rFonts w:ascii="Verdana" w:hAnsi="Verdana"/>
          <w:sz w:val="20"/>
          <w:szCs w:val="20"/>
        </w:rPr>
      </w:pPr>
      <w:r w:rsidRPr="00BF597E">
        <w:rPr>
          <w:rFonts w:ascii="Verdana" w:hAnsi="Verdana"/>
          <w:sz w:val="20"/>
          <w:szCs w:val="20"/>
        </w:rPr>
        <w:t>The objective, legitimate uses and administration of the Electorate Allowance (page 34 of 2016 Determination).</w:t>
      </w:r>
      <w:r w:rsidR="00FD66A6">
        <w:rPr>
          <w:rFonts w:ascii="Verdana" w:hAnsi="Verdana"/>
          <w:sz w:val="20"/>
          <w:szCs w:val="20"/>
        </w:rPr>
        <w:br/>
      </w:r>
    </w:p>
    <w:p w:rsidR="005E24CB" w:rsidRDefault="005E24CB" w:rsidP="00F63E1B">
      <w:pPr>
        <w:pStyle w:val="ListParagraph"/>
        <w:numPr>
          <w:ilvl w:val="0"/>
          <w:numId w:val="8"/>
        </w:numPr>
        <w:ind w:left="426" w:hanging="426"/>
        <w:jc w:val="both"/>
        <w:rPr>
          <w:rFonts w:ascii="Verdana" w:hAnsi="Verdana"/>
          <w:b/>
          <w:sz w:val="20"/>
          <w:szCs w:val="20"/>
        </w:rPr>
      </w:pPr>
      <w:r w:rsidRPr="00BF597E">
        <w:rPr>
          <w:rFonts w:ascii="Verdana" w:hAnsi="Verdana"/>
          <w:b/>
          <w:sz w:val="20"/>
          <w:szCs w:val="20"/>
        </w:rPr>
        <w:t>The Present Review</w:t>
      </w:r>
    </w:p>
    <w:p w:rsidR="00BF597E" w:rsidRPr="00BF597E" w:rsidRDefault="00BF597E" w:rsidP="00F63E1B">
      <w:pPr>
        <w:pStyle w:val="ListParagraph"/>
        <w:ind w:left="426"/>
        <w:jc w:val="both"/>
        <w:rPr>
          <w:rFonts w:ascii="Verdana" w:hAnsi="Verdana"/>
          <w:b/>
          <w:sz w:val="20"/>
          <w:szCs w:val="20"/>
        </w:rPr>
      </w:pPr>
    </w:p>
    <w:p w:rsidR="005E24CB" w:rsidRDefault="005E24CB" w:rsidP="001262FE">
      <w:pPr>
        <w:pStyle w:val="ListParagraph"/>
        <w:numPr>
          <w:ilvl w:val="1"/>
          <w:numId w:val="8"/>
        </w:numPr>
        <w:ind w:hanging="1080"/>
        <w:jc w:val="both"/>
        <w:rPr>
          <w:rFonts w:ascii="Verdana" w:hAnsi="Verdana"/>
          <w:sz w:val="20"/>
          <w:szCs w:val="20"/>
        </w:rPr>
      </w:pPr>
      <w:r w:rsidRPr="00BF597E">
        <w:rPr>
          <w:rFonts w:ascii="Verdana" w:hAnsi="Verdana"/>
          <w:sz w:val="20"/>
          <w:szCs w:val="20"/>
        </w:rPr>
        <w:t>The Act requires this review to be conducted in 2018. The 2016 Report recommendations apply until 30 June 2018. This review is intended to apply on and from that date.</w:t>
      </w:r>
    </w:p>
    <w:p w:rsidR="00BF597E" w:rsidRPr="00BF597E" w:rsidRDefault="00BF597E" w:rsidP="001262FE">
      <w:pPr>
        <w:pStyle w:val="ListParagraph"/>
        <w:ind w:left="1080" w:hanging="1080"/>
        <w:jc w:val="both"/>
        <w:rPr>
          <w:rFonts w:ascii="Verdana" w:hAnsi="Verdana"/>
          <w:sz w:val="20"/>
          <w:szCs w:val="20"/>
        </w:rPr>
      </w:pPr>
    </w:p>
    <w:p w:rsidR="00BF597E" w:rsidRPr="00BF597E" w:rsidRDefault="005E24CB" w:rsidP="001262FE">
      <w:pPr>
        <w:pStyle w:val="ListParagraph"/>
        <w:numPr>
          <w:ilvl w:val="1"/>
          <w:numId w:val="8"/>
        </w:numPr>
        <w:ind w:hanging="1080"/>
        <w:jc w:val="both"/>
        <w:rPr>
          <w:rFonts w:ascii="Verdana" w:hAnsi="Verdana"/>
          <w:sz w:val="20"/>
          <w:szCs w:val="20"/>
        </w:rPr>
      </w:pPr>
      <w:r w:rsidRPr="00BF597E">
        <w:rPr>
          <w:rFonts w:ascii="Verdana" w:hAnsi="Verdana"/>
          <w:sz w:val="20"/>
          <w:szCs w:val="20"/>
        </w:rPr>
        <w:t>It is intended that the present review be an interim review</w:t>
      </w:r>
      <w:r w:rsidR="00AA202E" w:rsidRPr="00BF597E">
        <w:rPr>
          <w:rFonts w:ascii="Verdana" w:hAnsi="Verdana"/>
          <w:sz w:val="20"/>
          <w:szCs w:val="20"/>
        </w:rPr>
        <w:t xml:space="preserve"> producing </w:t>
      </w:r>
      <w:r w:rsidR="004D14AF" w:rsidRPr="00BF597E">
        <w:rPr>
          <w:rFonts w:ascii="Verdana" w:hAnsi="Verdana"/>
          <w:sz w:val="20"/>
          <w:szCs w:val="20"/>
        </w:rPr>
        <w:t xml:space="preserve">in effect </w:t>
      </w:r>
      <w:r w:rsidR="00AA202E" w:rsidRPr="00BF597E">
        <w:rPr>
          <w:rFonts w:ascii="Verdana" w:hAnsi="Verdana"/>
          <w:sz w:val="20"/>
          <w:szCs w:val="20"/>
        </w:rPr>
        <w:t>an interim report</w:t>
      </w:r>
      <w:r w:rsidRPr="00BF597E">
        <w:rPr>
          <w:rFonts w:ascii="Verdana" w:hAnsi="Verdana"/>
          <w:sz w:val="20"/>
          <w:szCs w:val="20"/>
        </w:rPr>
        <w:t xml:space="preserve">. Pursuant to s 3E of the Act it is possible for the Commission to </w:t>
      </w:r>
      <w:r w:rsidR="00AA202E" w:rsidRPr="00BF597E">
        <w:rPr>
          <w:rFonts w:ascii="Verdana" w:hAnsi="Verdana"/>
          <w:sz w:val="20"/>
          <w:szCs w:val="20"/>
        </w:rPr>
        <w:t>determine</w:t>
      </w:r>
      <w:r w:rsidRPr="00BF597E">
        <w:rPr>
          <w:rFonts w:ascii="Verdana" w:hAnsi="Verdana"/>
          <w:sz w:val="20"/>
          <w:szCs w:val="20"/>
        </w:rPr>
        <w:t xml:space="preserve"> the date the next </w:t>
      </w:r>
      <w:r w:rsidR="00AA202E" w:rsidRPr="00BF597E">
        <w:rPr>
          <w:rFonts w:ascii="Verdana" w:hAnsi="Verdana"/>
          <w:sz w:val="20"/>
          <w:szCs w:val="20"/>
        </w:rPr>
        <w:t>report is due. It is proposed that a detailed review be carried out during 2018 and that the next r</w:t>
      </w:r>
      <w:r w:rsidR="00BF597E">
        <w:rPr>
          <w:rFonts w:ascii="Verdana" w:hAnsi="Verdana"/>
          <w:sz w:val="20"/>
          <w:szCs w:val="20"/>
        </w:rPr>
        <w:t>eport be tabled by 1 March 2019</w:t>
      </w:r>
      <w:r w:rsidR="00BF597E">
        <w:rPr>
          <w:rFonts w:ascii="Verdana" w:hAnsi="Verdana"/>
          <w:sz w:val="20"/>
          <w:szCs w:val="20"/>
        </w:rPr>
        <w:br/>
      </w:r>
    </w:p>
    <w:p w:rsidR="00AA202E" w:rsidRDefault="00AA202E" w:rsidP="001262FE">
      <w:pPr>
        <w:pStyle w:val="ListParagraph"/>
        <w:numPr>
          <w:ilvl w:val="1"/>
          <w:numId w:val="8"/>
        </w:numPr>
        <w:ind w:hanging="1080"/>
        <w:jc w:val="both"/>
        <w:rPr>
          <w:rFonts w:ascii="Verdana" w:hAnsi="Verdana"/>
          <w:sz w:val="20"/>
          <w:szCs w:val="20"/>
        </w:rPr>
      </w:pPr>
      <w:r w:rsidRPr="00BF597E">
        <w:rPr>
          <w:rFonts w:ascii="Verdana" w:hAnsi="Verdana"/>
          <w:sz w:val="20"/>
          <w:szCs w:val="20"/>
        </w:rPr>
        <w:t>The reasons for the proposed interim report are:</w:t>
      </w:r>
    </w:p>
    <w:p w:rsidR="00C30DDD" w:rsidRPr="00BF597E" w:rsidRDefault="00C30DDD" w:rsidP="00F63E1B">
      <w:pPr>
        <w:pStyle w:val="ListParagraph"/>
        <w:ind w:left="1080"/>
        <w:jc w:val="both"/>
        <w:rPr>
          <w:rFonts w:ascii="Verdana" w:hAnsi="Verdana"/>
          <w:sz w:val="20"/>
          <w:szCs w:val="20"/>
        </w:rPr>
      </w:pPr>
    </w:p>
    <w:p w:rsidR="00C30DDD" w:rsidRDefault="00AA202E" w:rsidP="00F63E1B">
      <w:pPr>
        <w:pStyle w:val="ListParagraph"/>
        <w:numPr>
          <w:ilvl w:val="0"/>
          <w:numId w:val="14"/>
        </w:numPr>
        <w:ind w:left="1560" w:hanging="426"/>
        <w:jc w:val="both"/>
        <w:rPr>
          <w:rFonts w:ascii="Verdana" w:hAnsi="Verdana"/>
          <w:sz w:val="20"/>
          <w:szCs w:val="20"/>
        </w:rPr>
      </w:pPr>
      <w:r w:rsidRPr="00C30DDD">
        <w:rPr>
          <w:rFonts w:ascii="Verdana" w:hAnsi="Verdana"/>
          <w:sz w:val="20"/>
          <w:szCs w:val="20"/>
        </w:rPr>
        <w:t>That the movement in salaries an</w:t>
      </w:r>
      <w:r w:rsidR="004D14AF" w:rsidRPr="00C30DDD">
        <w:rPr>
          <w:rFonts w:ascii="Verdana" w:hAnsi="Verdana"/>
          <w:sz w:val="20"/>
          <w:szCs w:val="20"/>
        </w:rPr>
        <w:t>d</w:t>
      </w:r>
      <w:r w:rsidRPr="00C30DDD">
        <w:rPr>
          <w:rFonts w:ascii="Verdana" w:hAnsi="Verdana"/>
          <w:sz w:val="20"/>
          <w:szCs w:val="20"/>
        </w:rPr>
        <w:t xml:space="preserve"> allowances in Tasmania </w:t>
      </w:r>
      <w:r w:rsidR="004D14AF" w:rsidRPr="00C30DDD">
        <w:rPr>
          <w:rFonts w:ascii="Verdana" w:hAnsi="Verdana"/>
          <w:sz w:val="20"/>
          <w:szCs w:val="20"/>
        </w:rPr>
        <w:t xml:space="preserve">over recent times </w:t>
      </w:r>
      <w:r w:rsidRPr="00C30DDD">
        <w:rPr>
          <w:rFonts w:ascii="Verdana" w:hAnsi="Verdana"/>
          <w:sz w:val="20"/>
          <w:szCs w:val="20"/>
        </w:rPr>
        <w:t>have been minimal and in line with WPI and/or CPI;</w:t>
      </w:r>
    </w:p>
    <w:p w:rsidR="00C30DDD" w:rsidRDefault="00C30DDD" w:rsidP="00F63E1B">
      <w:pPr>
        <w:pStyle w:val="ListParagraph"/>
        <w:ind w:left="1560"/>
        <w:jc w:val="both"/>
        <w:rPr>
          <w:rFonts w:ascii="Verdana" w:hAnsi="Verdana"/>
          <w:sz w:val="20"/>
          <w:szCs w:val="20"/>
        </w:rPr>
      </w:pPr>
    </w:p>
    <w:p w:rsidR="00C30DDD" w:rsidRPr="00C30DDD" w:rsidRDefault="00AA202E" w:rsidP="00F63E1B">
      <w:pPr>
        <w:pStyle w:val="ListParagraph"/>
        <w:numPr>
          <w:ilvl w:val="0"/>
          <w:numId w:val="14"/>
        </w:numPr>
        <w:ind w:left="1560" w:hanging="426"/>
        <w:jc w:val="both"/>
        <w:rPr>
          <w:rFonts w:ascii="Verdana" w:hAnsi="Verdana"/>
          <w:sz w:val="20"/>
          <w:szCs w:val="20"/>
        </w:rPr>
      </w:pPr>
      <w:r w:rsidRPr="00C30DDD">
        <w:rPr>
          <w:rFonts w:ascii="Verdana" w:hAnsi="Verdana"/>
          <w:sz w:val="20"/>
          <w:szCs w:val="20"/>
        </w:rPr>
        <w:t xml:space="preserve">That the election is such that representations are not readily made as all House of Assembly members are up for </w:t>
      </w:r>
      <w:r w:rsidR="004D14AF" w:rsidRPr="00C30DDD">
        <w:rPr>
          <w:rFonts w:ascii="Verdana" w:hAnsi="Verdana"/>
          <w:sz w:val="20"/>
          <w:szCs w:val="20"/>
        </w:rPr>
        <w:t>re-election. It is sensible that a detailed review relate to both houses of parliament;</w:t>
      </w:r>
      <w:r w:rsidR="00C30DDD">
        <w:rPr>
          <w:rFonts w:ascii="Verdana" w:hAnsi="Verdana"/>
          <w:sz w:val="20"/>
          <w:szCs w:val="20"/>
        </w:rPr>
        <w:br/>
      </w:r>
    </w:p>
    <w:p w:rsidR="000A52D5" w:rsidRPr="00FD66A6" w:rsidRDefault="004D14AF" w:rsidP="00FD66A6">
      <w:pPr>
        <w:pStyle w:val="ListParagraph"/>
        <w:numPr>
          <w:ilvl w:val="0"/>
          <w:numId w:val="14"/>
        </w:numPr>
        <w:ind w:left="1560" w:hanging="426"/>
        <w:jc w:val="both"/>
        <w:rPr>
          <w:rFonts w:ascii="Verdana" w:hAnsi="Verdana"/>
          <w:sz w:val="20"/>
          <w:szCs w:val="20"/>
        </w:rPr>
      </w:pPr>
      <w:r w:rsidRPr="00C30DDD">
        <w:rPr>
          <w:rFonts w:ascii="Verdana" w:hAnsi="Verdana"/>
          <w:sz w:val="20"/>
          <w:szCs w:val="20"/>
        </w:rPr>
        <w:t>Coupled with the election, the time available to produce a detailed report is insufficient.</w:t>
      </w:r>
      <w:r w:rsidR="00FD66A6">
        <w:rPr>
          <w:rFonts w:ascii="Verdana" w:hAnsi="Verdana"/>
          <w:sz w:val="20"/>
          <w:szCs w:val="20"/>
        </w:rPr>
        <w:br/>
      </w:r>
    </w:p>
    <w:p w:rsidR="000A52D5" w:rsidRPr="00FD66A6" w:rsidRDefault="0098016F" w:rsidP="00F63E1B">
      <w:pPr>
        <w:pStyle w:val="ListParagraph"/>
        <w:numPr>
          <w:ilvl w:val="0"/>
          <w:numId w:val="8"/>
        </w:numPr>
        <w:ind w:left="426" w:hanging="426"/>
        <w:jc w:val="both"/>
        <w:rPr>
          <w:rFonts w:ascii="Verdana" w:hAnsi="Verdana"/>
          <w:b/>
          <w:sz w:val="20"/>
          <w:szCs w:val="20"/>
        </w:rPr>
      </w:pPr>
      <w:r w:rsidRPr="000A52D5">
        <w:rPr>
          <w:rFonts w:ascii="Verdana" w:hAnsi="Verdana"/>
          <w:b/>
          <w:sz w:val="20"/>
          <w:szCs w:val="20"/>
        </w:rPr>
        <w:t>Preliminary View for the interim review</w:t>
      </w:r>
      <w:r w:rsidR="00FD66A6">
        <w:rPr>
          <w:rFonts w:ascii="Verdana" w:hAnsi="Verdana"/>
          <w:b/>
          <w:sz w:val="20"/>
          <w:szCs w:val="20"/>
        </w:rPr>
        <w:br/>
      </w:r>
    </w:p>
    <w:p w:rsidR="0098016F" w:rsidRDefault="0098016F" w:rsidP="001262FE">
      <w:pPr>
        <w:pStyle w:val="ListParagraph"/>
        <w:numPr>
          <w:ilvl w:val="1"/>
          <w:numId w:val="8"/>
        </w:numPr>
        <w:ind w:hanging="1080"/>
        <w:jc w:val="both"/>
        <w:rPr>
          <w:rFonts w:ascii="Verdana" w:hAnsi="Verdana"/>
          <w:sz w:val="20"/>
          <w:szCs w:val="20"/>
        </w:rPr>
      </w:pPr>
      <w:r w:rsidRPr="000A52D5">
        <w:rPr>
          <w:rFonts w:ascii="Verdana" w:hAnsi="Verdana"/>
          <w:sz w:val="20"/>
          <w:szCs w:val="20"/>
        </w:rPr>
        <w:t xml:space="preserve">The Commission </w:t>
      </w:r>
      <w:r w:rsidR="000A0609" w:rsidRPr="000A52D5">
        <w:rPr>
          <w:rFonts w:ascii="Verdana" w:hAnsi="Verdana"/>
          <w:sz w:val="20"/>
          <w:szCs w:val="20"/>
        </w:rPr>
        <w:t>is</w:t>
      </w:r>
      <w:r w:rsidRPr="000A52D5">
        <w:rPr>
          <w:rFonts w:ascii="Verdana" w:hAnsi="Verdana"/>
          <w:sz w:val="20"/>
          <w:szCs w:val="20"/>
        </w:rPr>
        <w:t xml:space="preserve"> of the preliminary view that an increase in the salary of MPs should be in line with WPI and the increase in the allowances should increase by CPI on an interim basis.</w:t>
      </w:r>
      <w:r w:rsidR="000C38A0" w:rsidRPr="000A52D5">
        <w:rPr>
          <w:rFonts w:ascii="Verdana" w:hAnsi="Verdana"/>
          <w:sz w:val="20"/>
          <w:szCs w:val="20"/>
        </w:rPr>
        <w:t xml:space="preserve"> It is proposed the increases will be based on the annual increase in WPI and CPI for the financial year 2017 – 2018. It is proposed the increase will commence from 1 July 2018.</w:t>
      </w:r>
    </w:p>
    <w:p w:rsidR="000A52D5" w:rsidRPr="000A52D5" w:rsidRDefault="000A52D5" w:rsidP="001262FE">
      <w:pPr>
        <w:pStyle w:val="ListParagraph"/>
        <w:ind w:left="1080" w:hanging="1080"/>
        <w:jc w:val="both"/>
        <w:rPr>
          <w:rFonts w:ascii="Verdana" w:hAnsi="Verdana"/>
          <w:sz w:val="20"/>
          <w:szCs w:val="20"/>
        </w:rPr>
      </w:pPr>
    </w:p>
    <w:p w:rsidR="000A52D5" w:rsidRPr="000A52D5" w:rsidRDefault="0098016F" w:rsidP="001262FE">
      <w:pPr>
        <w:pStyle w:val="ListParagraph"/>
        <w:numPr>
          <w:ilvl w:val="1"/>
          <w:numId w:val="8"/>
        </w:numPr>
        <w:ind w:hanging="1080"/>
        <w:jc w:val="both"/>
        <w:rPr>
          <w:rFonts w:ascii="Verdana" w:hAnsi="Verdana"/>
          <w:sz w:val="20"/>
          <w:szCs w:val="20"/>
        </w:rPr>
      </w:pPr>
      <w:r w:rsidRPr="000A52D5">
        <w:rPr>
          <w:rFonts w:ascii="Verdana" w:hAnsi="Verdana"/>
          <w:sz w:val="20"/>
          <w:szCs w:val="20"/>
        </w:rPr>
        <w:t>The view is based on:</w:t>
      </w:r>
      <w:r w:rsidR="000A52D5">
        <w:rPr>
          <w:rFonts w:ascii="Verdana" w:hAnsi="Verdana"/>
          <w:sz w:val="20"/>
          <w:szCs w:val="20"/>
        </w:rPr>
        <w:br/>
      </w:r>
    </w:p>
    <w:p w:rsidR="0098016F" w:rsidRDefault="0098016F" w:rsidP="00F63E1B">
      <w:pPr>
        <w:pStyle w:val="ListParagraph"/>
        <w:numPr>
          <w:ilvl w:val="0"/>
          <w:numId w:val="15"/>
        </w:numPr>
        <w:ind w:left="1560" w:hanging="426"/>
        <w:jc w:val="both"/>
        <w:rPr>
          <w:rFonts w:ascii="Verdana" w:hAnsi="Verdana"/>
          <w:sz w:val="20"/>
          <w:szCs w:val="20"/>
        </w:rPr>
      </w:pPr>
      <w:r w:rsidRPr="000A52D5">
        <w:rPr>
          <w:rFonts w:ascii="Verdana" w:hAnsi="Verdana"/>
          <w:sz w:val="20"/>
          <w:szCs w:val="20"/>
        </w:rPr>
        <w:t>The Tasmanian and National experience of significant wage restraint and limited</w:t>
      </w:r>
      <w:r w:rsidR="000A52D5" w:rsidRPr="000A52D5">
        <w:rPr>
          <w:rFonts w:ascii="Verdana" w:hAnsi="Verdana"/>
          <w:sz w:val="20"/>
          <w:szCs w:val="20"/>
        </w:rPr>
        <w:t xml:space="preserve"> growth over recent years;</w:t>
      </w:r>
    </w:p>
    <w:p w:rsidR="000A52D5" w:rsidRPr="000A52D5" w:rsidRDefault="000A52D5" w:rsidP="00F63E1B">
      <w:pPr>
        <w:pStyle w:val="ListParagraph"/>
        <w:ind w:left="1560"/>
        <w:jc w:val="both"/>
        <w:rPr>
          <w:rFonts w:ascii="Verdana" w:hAnsi="Verdana"/>
          <w:sz w:val="20"/>
          <w:szCs w:val="20"/>
        </w:rPr>
      </w:pPr>
    </w:p>
    <w:p w:rsidR="000A52D5" w:rsidRPr="000A52D5" w:rsidRDefault="0098016F" w:rsidP="00F63E1B">
      <w:pPr>
        <w:pStyle w:val="ListParagraph"/>
        <w:numPr>
          <w:ilvl w:val="0"/>
          <w:numId w:val="15"/>
        </w:numPr>
        <w:ind w:left="1560" w:hanging="426"/>
        <w:jc w:val="both"/>
        <w:rPr>
          <w:rFonts w:ascii="Verdana" w:hAnsi="Verdana"/>
          <w:sz w:val="20"/>
          <w:szCs w:val="20"/>
        </w:rPr>
      </w:pPr>
      <w:r w:rsidRPr="000A52D5">
        <w:rPr>
          <w:rFonts w:ascii="Verdana" w:hAnsi="Verdana"/>
          <w:sz w:val="20"/>
          <w:szCs w:val="20"/>
        </w:rPr>
        <w:t>The current policy of the State Government to increase salaries by t</w:t>
      </w:r>
      <w:r w:rsidR="001713CC" w:rsidRPr="000A52D5">
        <w:rPr>
          <w:rFonts w:ascii="Verdana" w:hAnsi="Verdana"/>
          <w:sz w:val="20"/>
          <w:szCs w:val="20"/>
        </w:rPr>
        <w:t>he cost of living</w:t>
      </w:r>
      <w:r w:rsidRPr="000A52D5">
        <w:rPr>
          <w:rFonts w:ascii="Verdana" w:hAnsi="Verdana"/>
          <w:sz w:val="20"/>
          <w:szCs w:val="20"/>
        </w:rPr>
        <w:t>. Wage increases for stat</w:t>
      </w:r>
      <w:r w:rsidR="000A52D5" w:rsidRPr="000A52D5">
        <w:rPr>
          <w:rFonts w:ascii="Verdana" w:hAnsi="Verdana"/>
          <w:sz w:val="20"/>
          <w:szCs w:val="20"/>
        </w:rPr>
        <w:t>e employees for 2017-18 was 2%;</w:t>
      </w:r>
      <w:r w:rsidR="000A52D5">
        <w:rPr>
          <w:rFonts w:ascii="Verdana" w:hAnsi="Verdana"/>
          <w:sz w:val="20"/>
          <w:szCs w:val="20"/>
        </w:rPr>
        <w:br/>
      </w:r>
    </w:p>
    <w:p w:rsidR="0098016F" w:rsidRDefault="0098016F" w:rsidP="00F63E1B">
      <w:pPr>
        <w:pStyle w:val="ListParagraph"/>
        <w:numPr>
          <w:ilvl w:val="0"/>
          <w:numId w:val="15"/>
        </w:numPr>
        <w:ind w:left="1560" w:hanging="426"/>
        <w:jc w:val="both"/>
        <w:rPr>
          <w:rFonts w:ascii="Verdana" w:hAnsi="Verdana"/>
          <w:sz w:val="20"/>
          <w:szCs w:val="20"/>
        </w:rPr>
      </w:pPr>
      <w:r w:rsidRPr="000A52D5">
        <w:rPr>
          <w:rFonts w:ascii="Verdana" w:hAnsi="Verdana"/>
          <w:sz w:val="20"/>
          <w:szCs w:val="20"/>
        </w:rPr>
        <w:t>The full review will be completed within 3 years of the extensive 2016 review which does not constitute a significant period (and salary and allowances have increased i</w:t>
      </w:r>
      <w:r w:rsidR="000A52D5" w:rsidRPr="000A52D5">
        <w:rPr>
          <w:rFonts w:ascii="Verdana" w:hAnsi="Verdana"/>
          <w:sz w:val="20"/>
          <w:szCs w:val="20"/>
        </w:rPr>
        <w:t>n the meantime by WPI and CPI);</w:t>
      </w:r>
    </w:p>
    <w:p w:rsidR="000A52D5" w:rsidRPr="000A52D5" w:rsidRDefault="000A52D5" w:rsidP="00F63E1B">
      <w:pPr>
        <w:pStyle w:val="ListParagraph"/>
        <w:ind w:left="1560"/>
        <w:jc w:val="both"/>
        <w:rPr>
          <w:rFonts w:ascii="Verdana" w:hAnsi="Verdana"/>
          <w:sz w:val="20"/>
          <w:szCs w:val="20"/>
        </w:rPr>
      </w:pPr>
    </w:p>
    <w:p w:rsidR="00FD66A6" w:rsidRPr="001262FE" w:rsidRDefault="0098016F" w:rsidP="001262FE">
      <w:pPr>
        <w:pStyle w:val="ListParagraph"/>
        <w:numPr>
          <w:ilvl w:val="0"/>
          <w:numId w:val="15"/>
        </w:numPr>
        <w:ind w:left="1560" w:hanging="426"/>
        <w:jc w:val="both"/>
        <w:rPr>
          <w:rFonts w:ascii="Verdana" w:hAnsi="Verdana"/>
          <w:sz w:val="20"/>
          <w:szCs w:val="20"/>
        </w:rPr>
      </w:pPr>
      <w:r w:rsidRPr="000A52D5">
        <w:rPr>
          <w:rFonts w:ascii="Verdana" w:hAnsi="Verdana"/>
          <w:sz w:val="20"/>
          <w:szCs w:val="20"/>
        </w:rPr>
        <w:t>A full and detailed review will be undertaken leading to a report in March 2019 which will deal with all issues including the consequences of redistributions.</w:t>
      </w:r>
    </w:p>
    <w:p w:rsidR="000A52D5" w:rsidRPr="000A52D5" w:rsidRDefault="000A52D5" w:rsidP="00F63E1B">
      <w:pPr>
        <w:pStyle w:val="ListParagraph"/>
        <w:jc w:val="both"/>
        <w:rPr>
          <w:rFonts w:ascii="Verdana" w:hAnsi="Verdana"/>
          <w:sz w:val="20"/>
          <w:szCs w:val="20"/>
        </w:rPr>
      </w:pPr>
    </w:p>
    <w:p w:rsidR="001713CC" w:rsidRDefault="001713CC" w:rsidP="00F63E1B">
      <w:pPr>
        <w:pStyle w:val="ListParagraph"/>
        <w:numPr>
          <w:ilvl w:val="0"/>
          <w:numId w:val="8"/>
        </w:numPr>
        <w:ind w:left="426" w:hanging="426"/>
        <w:jc w:val="both"/>
        <w:rPr>
          <w:rFonts w:ascii="Verdana" w:hAnsi="Verdana"/>
          <w:b/>
          <w:sz w:val="20"/>
          <w:szCs w:val="20"/>
        </w:rPr>
      </w:pPr>
      <w:r w:rsidRPr="000A52D5">
        <w:rPr>
          <w:rFonts w:ascii="Verdana" w:hAnsi="Verdana"/>
          <w:b/>
          <w:sz w:val="20"/>
          <w:szCs w:val="20"/>
        </w:rPr>
        <w:t>Submissions Sought</w:t>
      </w:r>
    </w:p>
    <w:p w:rsidR="000A52D5" w:rsidRPr="000A52D5" w:rsidRDefault="000A52D5" w:rsidP="00F63E1B">
      <w:pPr>
        <w:pStyle w:val="ListParagraph"/>
        <w:ind w:left="426"/>
        <w:jc w:val="both"/>
        <w:rPr>
          <w:rFonts w:ascii="Verdana" w:hAnsi="Verdana"/>
          <w:b/>
          <w:sz w:val="20"/>
          <w:szCs w:val="20"/>
        </w:rPr>
      </w:pPr>
    </w:p>
    <w:p w:rsidR="001713CC" w:rsidRDefault="001713CC" w:rsidP="001262FE">
      <w:pPr>
        <w:pStyle w:val="ListParagraph"/>
        <w:numPr>
          <w:ilvl w:val="1"/>
          <w:numId w:val="8"/>
        </w:numPr>
        <w:ind w:hanging="1080"/>
        <w:jc w:val="both"/>
        <w:rPr>
          <w:rFonts w:ascii="Verdana" w:hAnsi="Verdana"/>
          <w:sz w:val="20"/>
          <w:szCs w:val="20"/>
        </w:rPr>
      </w:pPr>
      <w:r w:rsidRPr="000A52D5">
        <w:rPr>
          <w:rFonts w:ascii="Verdana" w:hAnsi="Verdana"/>
          <w:sz w:val="20"/>
          <w:szCs w:val="20"/>
        </w:rPr>
        <w:t>Submissions are sought in relation to:</w:t>
      </w:r>
    </w:p>
    <w:p w:rsidR="000A52D5" w:rsidRPr="000A52D5" w:rsidRDefault="000A52D5" w:rsidP="00F63E1B">
      <w:pPr>
        <w:pStyle w:val="ListParagraph"/>
        <w:ind w:left="1080"/>
        <w:jc w:val="both"/>
        <w:rPr>
          <w:rFonts w:ascii="Verdana" w:hAnsi="Verdana"/>
          <w:sz w:val="20"/>
          <w:szCs w:val="20"/>
        </w:rPr>
      </w:pPr>
    </w:p>
    <w:p w:rsidR="001713CC" w:rsidRDefault="001713CC" w:rsidP="00F63E1B">
      <w:pPr>
        <w:pStyle w:val="ListParagraph"/>
        <w:numPr>
          <w:ilvl w:val="0"/>
          <w:numId w:val="16"/>
        </w:numPr>
        <w:ind w:left="1560" w:hanging="426"/>
        <w:jc w:val="both"/>
        <w:rPr>
          <w:rFonts w:ascii="Verdana" w:hAnsi="Verdana"/>
          <w:sz w:val="20"/>
          <w:szCs w:val="20"/>
        </w:rPr>
      </w:pPr>
      <w:r w:rsidRPr="000A52D5">
        <w:rPr>
          <w:rFonts w:ascii="Verdana" w:hAnsi="Verdana"/>
          <w:sz w:val="20"/>
          <w:szCs w:val="20"/>
        </w:rPr>
        <w:t>The fact that there is proposed to be an interim report and whether tha</w:t>
      </w:r>
      <w:r w:rsidR="000A52D5" w:rsidRPr="000A52D5">
        <w:rPr>
          <w:rFonts w:ascii="Verdana" w:hAnsi="Verdana"/>
          <w:sz w:val="20"/>
          <w:szCs w:val="20"/>
        </w:rPr>
        <w:t>t is thought to be appropriate;</w:t>
      </w:r>
    </w:p>
    <w:p w:rsidR="000A52D5" w:rsidRPr="000A52D5" w:rsidRDefault="000A52D5" w:rsidP="00F63E1B">
      <w:pPr>
        <w:pStyle w:val="ListParagraph"/>
        <w:ind w:left="1560"/>
        <w:jc w:val="both"/>
        <w:rPr>
          <w:rFonts w:ascii="Verdana" w:hAnsi="Verdana"/>
          <w:sz w:val="20"/>
          <w:szCs w:val="20"/>
        </w:rPr>
      </w:pPr>
    </w:p>
    <w:p w:rsidR="000A52D5" w:rsidRPr="000A52D5" w:rsidRDefault="001713CC" w:rsidP="00F63E1B">
      <w:pPr>
        <w:pStyle w:val="ListParagraph"/>
        <w:numPr>
          <w:ilvl w:val="0"/>
          <w:numId w:val="16"/>
        </w:numPr>
        <w:ind w:left="1560" w:hanging="426"/>
        <w:jc w:val="both"/>
        <w:rPr>
          <w:rFonts w:ascii="Verdana" w:hAnsi="Verdana"/>
          <w:sz w:val="20"/>
          <w:szCs w:val="20"/>
        </w:rPr>
      </w:pPr>
      <w:r w:rsidRPr="000A52D5">
        <w:rPr>
          <w:rFonts w:ascii="Verdana" w:hAnsi="Verdana"/>
          <w:sz w:val="20"/>
          <w:szCs w:val="20"/>
        </w:rPr>
        <w:t>The preliminary view that the current salaries and allowances should increase by WPI and CPI until the allowance (or disallowance) of the detai</w:t>
      </w:r>
      <w:r w:rsidR="000A52D5" w:rsidRPr="000A52D5">
        <w:rPr>
          <w:rFonts w:ascii="Verdana" w:hAnsi="Verdana"/>
          <w:sz w:val="20"/>
          <w:szCs w:val="20"/>
        </w:rPr>
        <w:t>led report due by 1 March 2019;</w:t>
      </w:r>
      <w:r w:rsidR="000A52D5">
        <w:rPr>
          <w:rFonts w:ascii="Verdana" w:hAnsi="Verdana"/>
          <w:sz w:val="20"/>
          <w:szCs w:val="20"/>
        </w:rPr>
        <w:br/>
      </w:r>
    </w:p>
    <w:p w:rsidR="001713CC" w:rsidRDefault="001713CC" w:rsidP="00F63E1B">
      <w:pPr>
        <w:pStyle w:val="ListParagraph"/>
        <w:numPr>
          <w:ilvl w:val="0"/>
          <w:numId w:val="16"/>
        </w:numPr>
        <w:ind w:left="1560" w:hanging="426"/>
        <w:jc w:val="both"/>
        <w:rPr>
          <w:rFonts w:ascii="Verdana" w:hAnsi="Verdana"/>
          <w:sz w:val="20"/>
          <w:szCs w:val="20"/>
        </w:rPr>
      </w:pPr>
      <w:r w:rsidRPr="000A52D5">
        <w:rPr>
          <w:rFonts w:ascii="Verdana" w:hAnsi="Verdana"/>
          <w:sz w:val="20"/>
          <w:szCs w:val="20"/>
        </w:rPr>
        <w:t>Any other matters relevant to the proposal for an interim report and interim increase.</w:t>
      </w:r>
    </w:p>
    <w:p w:rsidR="000A52D5" w:rsidRPr="000A52D5" w:rsidRDefault="000A52D5" w:rsidP="00F63E1B">
      <w:pPr>
        <w:pStyle w:val="ListParagraph"/>
        <w:ind w:left="1560"/>
        <w:jc w:val="both"/>
        <w:rPr>
          <w:rFonts w:ascii="Verdana" w:hAnsi="Verdana"/>
          <w:sz w:val="20"/>
          <w:szCs w:val="20"/>
        </w:rPr>
      </w:pPr>
    </w:p>
    <w:p w:rsidR="001713CC" w:rsidRDefault="001713CC" w:rsidP="00F63E1B">
      <w:pPr>
        <w:pStyle w:val="ListParagraph"/>
        <w:numPr>
          <w:ilvl w:val="0"/>
          <w:numId w:val="8"/>
        </w:numPr>
        <w:ind w:left="426" w:hanging="426"/>
        <w:jc w:val="both"/>
        <w:rPr>
          <w:rFonts w:ascii="Verdana" w:hAnsi="Verdana"/>
          <w:b/>
          <w:sz w:val="20"/>
          <w:szCs w:val="20"/>
        </w:rPr>
      </w:pPr>
      <w:r w:rsidRPr="000A52D5">
        <w:rPr>
          <w:rFonts w:ascii="Verdana" w:hAnsi="Verdana"/>
          <w:b/>
          <w:sz w:val="20"/>
          <w:szCs w:val="20"/>
        </w:rPr>
        <w:t>Lodging Submissions</w:t>
      </w:r>
    </w:p>
    <w:p w:rsidR="000A52D5" w:rsidRPr="000A52D5" w:rsidRDefault="000A52D5" w:rsidP="00F63E1B">
      <w:pPr>
        <w:pStyle w:val="ListParagraph"/>
        <w:ind w:left="426"/>
        <w:jc w:val="both"/>
        <w:rPr>
          <w:rFonts w:ascii="Verdana" w:hAnsi="Verdana"/>
          <w:b/>
          <w:sz w:val="20"/>
          <w:szCs w:val="20"/>
        </w:rPr>
      </w:pPr>
    </w:p>
    <w:p w:rsidR="001713CC" w:rsidRDefault="001713CC" w:rsidP="001262FE">
      <w:pPr>
        <w:pStyle w:val="ListParagraph"/>
        <w:numPr>
          <w:ilvl w:val="1"/>
          <w:numId w:val="8"/>
        </w:numPr>
        <w:ind w:hanging="1080"/>
        <w:jc w:val="both"/>
        <w:rPr>
          <w:rFonts w:ascii="Verdana" w:hAnsi="Verdana"/>
          <w:sz w:val="20"/>
          <w:szCs w:val="20"/>
        </w:rPr>
      </w:pPr>
      <w:r w:rsidRPr="000A52D5">
        <w:rPr>
          <w:rFonts w:ascii="Verdana" w:hAnsi="Verdana"/>
          <w:sz w:val="20"/>
          <w:szCs w:val="20"/>
        </w:rPr>
        <w:t xml:space="preserve">Submissions should be lodged in writing with the Tasmanian Industrial Commission by email </w:t>
      </w:r>
      <w:r w:rsidR="00CE71B1">
        <w:rPr>
          <w:rFonts w:ascii="Verdana" w:hAnsi="Verdana"/>
          <w:sz w:val="20"/>
          <w:szCs w:val="20"/>
        </w:rPr>
        <w:t>addressed to Mr Matthew Wilson (</w:t>
      </w:r>
      <w:r w:rsidR="00726CF8">
        <w:rPr>
          <w:rFonts w:ascii="Verdana" w:hAnsi="Verdana"/>
          <w:sz w:val="20"/>
          <w:szCs w:val="20"/>
        </w:rPr>
        <w:t>Secretariat</w:t>
      </w:r>
      <w:r w:rsidR="00CE71B1">
        <w:rPr>
          <w:rFonts w:ascii="Verdana" w:hAnsi="Verdana"/>
          <w:sz w:val="20"/>
          <w:szCs w:val="20"/>
        </w:rPr>
        <w:t xml:space="preserve">) at </w:t>
      </w:r>
      <w:hyperlink r:id="rId10" w:history="1">
        <w:r w:rsidR="00CE71B1" w:rsidRPr="00A060EC">
          <w:rPr>
            <w:rStyle w:val="Hyperlink"/>
            <w:rFonts w:ascii="Verdana" w:hAnsi="Verdana"/>
            <w:sz w:val="20"/>
            <w:szCs w:val="20"/>
          </w:rPr>
          <w:t>tic@justice.tas.gov.au</w:t>
        </w:r>
      </w:hyperlink>
      <w:r w:rsidR="00CE71B1">
        <w:rPr>
          <w:rFonts w:ascii="Verdana" w:hAnsi="Verdana"/>
          <w:sz w:val="20"/>
          <w:szCs w:val="20"/>
        </w:rPr>
        <w:t xml:space="preserve"> </w:t>
      </w:r>
      <w:r w:rsidRPr="000A52D5">
        <w:rPr>
          <w:rFonts w:ascii="Verdana" w:hAnsi="Verdana"/>
          <w:sz w:val="20"/>
          <w:szCs w:val="20"/>
        </w:rPr>
        <w:t xml:space="preserve">or post </w:t>
      </w:r>
      <w:r w:rsidR="00CE71B1">
        <w:rPr>
          <w:rFonts w:ascii="Verdana" w:hAnsi="Verdana"/>
          <w:sz w:val="20"/>
          <w:szCs w:val="20"/>
        </w:rPr>
        <w:t>GPO Box 1108, Hobart, Tasmania, 7001</w:t>
      </w:r>
      <w:r w:rsidRPr="000A52D5">
        <w:rPr>
          <w:rFonts w:ascii="Verdana" w:hAnsi="Verdana"/>
          <w:sz w:val="20"/>
          <w:szCs w:val="20"/>
        </w:rPr>
        <w:t xml:space="preserve"> by </w:t>
      </w:r>
      <w:r w:rsidR="000C38A0" w:rsidRPr="000A52D5">
        <w:rPr>
          <w:rFonts w:ascii="Verdana" w:hAnsi="Verdana"/>
          <w:sz w:val="20"/>
          <w:szCs w:val="20"/>
        </w:rPr>
        <w:t>4.00 p.m. on Monday 26 March 2018.</w:t>
      </w:r>
    </w:p>
    <w:p w:rsidR="000A52D5" w:rsidRPr="000A52D5" w:rsidRDefault="000A52D5" w:rsidP="001262FE">
      <w:pPr>
        <w:pStyle w:val="ListParagraph"/>
        <w:ind w:left="1080" w:hanging="1080"/>
        <w:jc w:val="both"/>
        <w:rPr>
          <w:rFonts w:ascii="Verdana" w:hAnsi="Verdana"/>
          <w:sz w:val="20"/>
          <w:szCs w:val="20"/>
        </w:rPr>
      </w:pPr>
    </w:p>
    <w:p w:rsidR="001713CC" w:rsidRDefault="001713CC" w:rsidP="001262FE">
      <w:pPr>
        <w:pStyle w:val="ListParagraph"/>
        <w:numPr>
          <w:ilvl w:val="1"/>
          <w:numId w:val="8"/>
        </w:numPr>
        <w:ind w:hanging="1080"/>
        <w:jc w:val="both"/>
        <w:rPr>
          <w:rFonts w:ascii="Verdana" w:hAnsi="Verdana"/>
          <w:sz w:val="20"/>
          <w:szCs w:val="20"/>
        </w:rPr>
      </w:pPr>
      <w:r w:rsidRPr="000A52D5">
        <w:rPr>
          <w:rFonts w:ascii="Verdana" w:hAnsi="Verdana"/>
          <w:sz w:val="20"/>
          <w:szCs w:val="20"/>
        </w:rPr>
        <w:t>If submissions are sought to be confidential and not made available to the public the request for confidentiality should be included in the submission.</w:t>
      </w:r>
    </w:p>
    <w:p w:rsidR="00E032B6" w:rsidRPr="00E032B6" w:rsidRDefault="00E032B6" w:rsidP="00E032B6">
      <w:pPr>
        <w:pStyle w:val="ListParagraph"/>
        <w:rPr>
          <w:rFonts w:ascii="Verdana" w:hAnsi="Verdana"/>
          <w:sz w:val="20"/>
          <w:szCs w:val="20"/>
        </w:rPr>
      </w:pPr>
    </w:p>
    <w:p w:rsidR="00E032B6" w:rsidRPr="000A52D5" w:rsidRDefault="00E032B6" w:rsidP="001262FE">
      <w:pPr>
        <w:pStyle w:val="ListParagraph"/>
        <w:numPr>
          <w:ilvl w:val="1"/>
          <w:numId w:val="8"/>
        </w:numPr>
        <w:ind w:hanging="1080"/>
        <w:jc w:val="both"/>
        <w:rPr>
          <w:rFonts w:ascii="Verdana" w:hAnsi="Verdana"/>
          <w:sz w:val="20"/>
          <w:szCs w:val="20"/>
        </w:rPr>
      </w:pPr>
      <w:r>
        <w:rPr>
          <w:rFonts w:ascii="Verdana" w:hAnsi="Verdana"/>
          <w:sz w:val="20"/>
          <w:szCs w:val="20"/>
        </w:rPr>
        <w:t>It is intended to publish a report on or before Friday 13 April 2018.</w:t>
      </w:r>
    </w:p>
    <w:sectPr w:rsidR="00E032B6" w:rsidRPr="000A52D5" w:rsidSect="000474B0">
      <w:headerReference w:type="default" r:id="rId11"/>
      <w:pgSz w:w="11906" w:h="16838"/>
      <w:pgMar w:top="1440" w:right="1797" w:bottom="1440" w:left="1797"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ED" w:rsidRDefault="006B66ED" w:rsidP="002136A6">
      <w:pPr>
        <w:spacing w:after="0" w:line="240" w:lineRule="auto"/>
      </w:pPr>
      <w:r>
        <w:separator/>
      </w:r>
    </w:p>
  </w:endnote>
  <w:endnote w:type="continuationSeparator" w:id="0">
    <w:p w:rsidR="006B66ED" w:rsidRDefault="006B66ED" w:rsidP="0021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ED" w:rsidRDefault="006B66ED" w:rsidP="002136A6">
      <w:pPr>
        <w:spacing w:after="0" w:line="240" w:lineRule="auto"/>
      </w:pPr>
      <w:r>
        <w:separator/>
      </w:r>
    </w:p>
  </w:footnote>
  <w:footnote w:type="continuationSeparator" w:id="0">
    <w:p w:rsidR="006B66ED" w:rsidRDefault="006B66ED" w:rsidP="00213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426806180"/>
      <w:docPartObj>
        <w:docPartGallery w:val="Page Numbers (Top of Page)"/>
        <w:docPartUnique/>
      </w:docPartObj>
    </w:sdtPr>
    <w:sdtEndPr>
      <w:rPr>
        <w:rFonts w:ascii="Verdana" w:hAnsi="Verdana"/>
        <w:sz w:val="20"/>
        <w:szCs w:val="20"/>
      </w:rPr>
    </w:sdtEndPr>
    <w:sdtContent>
      <w:p w:rsidR="000474B0" w:rsidRPr="000474B0" w:rsidRDefault="000474B0">
        <w:pPr>
          <w:pStyle w:val="Header"/>
          <w:jc w:val="center"/>
          <w:rPr>
            <w:rFonts w:ascii="Verdana" w:eastAsiaTheme="majorEastAsia" w:hAnsi="Verdana" w:cstheme="majorBidi"/>
            <w:sz w:val="20"/>
            <w:szCs w:val="20"/>
          </w:rPr>
        </w:pPr>
        <w:r>
          <w:rPr>
            <w:rFonts w:ascii="Verdana" w:eastAsiaTheme="majorEastAsia" w:hAnsi="Verdana" w:cstheme="majorBidi"/>
            <w:sz w:val="20"/>
            <w:szCs w:val="20"/>
          </w:rPr>
          <w:t>-</w:t>
        </w:r>
        <w:r w:rsidRPr="000474B0">
          <w:rPr>
            <w:rFonts w:ascii="Verdana" w:eastAsiaTheme="majorEastAsia" w:hAnsi="Verdana" w:cstheme="majorBidi"/>
            <w:sz w:val="20"/>
            <w:szCs w:val="20"/>
          </w:rPr>
          <w:t xml:space="preserve"> </w:t>
        </w:r>
        <w:r w:rsidRPr="000474B0">
          <w:rPr>
            <w:rFonts w:ascii="Verdana" w:eastAsiaTheme="minorEastAsia" w:hAnsi="Verdana" w:cs="Times New Roman"/>
            <w:sz w:val="20"/>
            <w:szCs w:val="20"/>
          </w:rPr>
          <w:fldChar w:fldCharType="begin"/>
        </w:r>
        <w:r w:rsidRPr="000474B0">
          <w:rPr>
            <w:rFonts w:ascii="Verdana" w:hAnsi="Verdana"/>
            <w:sz w:val="20"/>
            <w:szCs w:val="20"/>
          </w:rPr>
          <w:instrText xml:space="preserve"> PAGE    \* MERGEFORMAT </w:instrText>
        </w:r>
        <w:r w:rsidRPr="000474B0">
          <w:rPr>
            <w:rFonts w:ascii="Verdana" w:eastAsiaTheme="minorEastAsia" w:hAnsi="Verdana" w:cs="Times New Roman"/>
            <w:sz w:val="20"/>
            <w:szCs w:val="20"/>
          </w:rPr>
          <w:fldChar w:fldCharType="separate"/>
        </w:r>
        <w:r w:rsidR="00726CF8" w:rsidRPr="00726CF8">
          <w:rPr>
            <w:rFonts w:ascii="Verdana" w:eastAsiaTheme="majorEastAsia" w:hAnsi="Verdana" w:cstheme="majorBidi"/>
            <w:noProof/>
            <w:sz w:val="20"/>
            <w:szCs w:val="20"/>
          </w:rPr>
          <w:t>5</w:t>
        </w:r>
        <w:r w:rsidRPr="000474B0">
          <w:rPr>
            <w:rFonts w:ascii="Verdana" w:eastAsiaTheme="majorEastAsia" w:hAnsi="Verdana" w:cstheme="majorBidi"/>
            <w:noProof/>
            <w:sz w:val="20"/>
            <w:szCs w:val="20"/>
          </w:rPr>
          <w:fldChar w:fldCharType="end"/>
        </w:r>
        <w:r>
          <w:rPr>
            <w:rFonts w:ascii="Verdana" w:eastAsiaTheme="majorEastAsia" w:hAnsi="Verdana" w:cstheme="majorBidi"/>
            <w:sz w:val="20"/>
            <w:szCs w:val="20"/>
          </w:rPr>
          <w:t xml:space="preserve"> -</w:t>
        </w:r>
      </w:p>
    </w:sdtContent>
  </w:sdt>
  <w:p w:rsidR="000474B0" w:rsidRDefault="000474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4085"/>
    <w:multiLevelType w:val="hybridMultilevel"/>
    <w:tmpl w:val="C076FF24"/>
    <w:lvl w:ilvl="0" w:tplc="94A4C1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531DFE"/>
    <w:multiLevelType w:val="hybridMultilevel"/>
    <w:tmpl w:val="1B8A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67DD"/>
    <w:multiLevelType w:val="hybridMultilevel"/>
    <w:tmpl w:val="AF4A4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E346AB"/>
    <w:multiLevelType w:val="multilevel"/>
    <w:tmpl w:val="A6CA2B5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0">
    <w:nsid w:val="2B242FDB"/>
    <w:multiLevelType w:val="hybridMultilevel"/>
    <w:tmpl w:val="19AE6B96"/>
    <w:lvl w:ilvl="0" w:tplc="66D473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644289"/>
    <w:multiLevelType w:val="hybridMultilevel"/>
    <w:tmpl w:val="0B60D4AA"/>
    <w:lvl w:ilvl="0" w:tplc="1EAE5B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8F7BD6"/>
    <w:multiLevelType w:val="hybridMultilevel"/>
    <w:tmpl w:val="3DA89F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D2568E"/>
    <w:multiLevelType w:val="hybridMultilevel"/>
    <w:tmpl w:val="02A00AD0"/>
    <w:lvl w:ilvl="0" w:tplc="FA5A04D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8FD47E6"/>
    <w:multiLevelType w:val="hybridMultilevel"/>
    <w:tmpl w:val="CDC6E3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D91666"/>
    <w:multiLevelType w:val="multilevel"/>
    <w:tmpl w:val="6AE43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15:restartNumberingAfterBreak="0">
    <w:nsid w:val="56C46099"/>
    <w:multiLevelType w:val="hybridMultilevel"/>
    <w:tmpl w:val="A6CA2B54"/>
    <w:lvl w:ilvl="0" w:tplc="8F78747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7ED67D3"/>
    <w:multiLevelType w:val="multilevel"/>
    <w:tmpl w:val="6AE43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5EA11441"/>
    <w:multiLevelType w:val="multilevel"/>
    <w:tmpl w:val="6AE43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7B0421E1"/>
    <w:multiLevelType w:val="multilevel"/>
    <w:tmpl w:val="6AE43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7D0D1ED3"/>
    <w:multiLevelType w:val="multilevel"/>
    <w:tmpl w:val="6AE432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7FD138B2"/>
    <w:multiLevelType w:val="hybridMultilevel"/>
    <w:tmpl w:val="9F7AA51C"/>
    <w:lvl w:ilvl="0" w:tplc="94A4C1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6"/>
  </w:num>
  <w:num w:numId="5">
    <w:abstractNumId w:val="1"/>
  </w:num>
  <w:num w:numId="6">
    <w:abstractNumId w:val="2"/>
  </w:num>
  <w:num w:numId="7">
    <w:abstractNumId w:val="14"/>
  </w:num>
  <w:num w:numId="8">
    <w:abstractNumId w:val="13"/>
  </w:num>
  <w:num w:numId="9">
    <w:abstractNumId w:val="9"/>
  </w:num>
  <w:num w:numId="10">
    <w:abstractNumId w:val="12"/>
  </w:num>
  <w:num w:numId="11">
    <w:abstractNumId w:val="11"/>
  </w:num>
  <w:num w:numId="12">
    <w:abstractNumId w:val="10"/>
  </w:num>
  <w:num w:numId="13">
    <w:abstractNumId w:val="3"/>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62"/>
    <w:rsid w:val="000474B0"/>
    <w:rsid w:val="000A0609"/>
    <w:rsid w:val="000A52D5"/>
    <w:rsid w:val="000C38A0"/>
    <w:rsid w:val="001262FE"/>
    <w:rsid w:val="00134E04"/>
    <w:rsid w:val="001713CC"/>
    <w:rsid w:val="001B2DD3"/>
    <w:rsid w:val="00202AF2"/>
    <w:rsid w:val="002136A6"/>
    <w:rsid w:val="00230EB6"/>
    <w:rsid w:val="00277E02"/>
    <w:rsid w:val="00281F82"/>
    <w:rsid w:val="002C39D5"/>
    <w:rsid w:val="004D14AF"/>
    <w:rsid w:val="004D778D"/>
    <w:rsid w:val="004E73B7"/>
    <w:rsid w:val="005555FF"/>
    <w:rsid w:val="005A5AEF"/>
    <w:rsid w:val="005C5406"/>
    <w:rsid w:val="005D22F1"/>
    <w:rsid w:val="005E24CB"/>
    <w:rsid w:val="00616B31"/>
    <w:rsid w:val="00691107"/>
    <w:rsid w:val="00697CD8"/>
    <w:rsid w:val="006B66ED"/>
    <w:rsid w:val="00726CF8"/>
    <w:rsid w:val="007449A4"/>
    <w:rsid w:val="007554F5"/>
    <w:rsid w:val="00856B45"/>
    <w:rsid w:val="0098016F"/>
    <w:rsid w:val="00A11A47"/>
    <w:rsid w:val="00AA202E"/>
    <w:rsid w:val="00AD4462"/>
    <w:rsid w:val="00AE44C6"/>
    <w:rsid w:val="00BB5311"/>
    <w:rsid w:val="00BF597E"/>
    <w:rsid w:val="00C30DDD"/>
    <w:rsid w:val="00C55FB4"/>
    <w:rsid w:val="00CE71B1"/>
    <w:rsid w:val="00E032B6"/>
    <w:rsid w:val="00E13408"/>
    <w:rsid w:val="00E82A4A"/>
    <w:rsid w:val="00EA299E"/>
    <w:rsid w:val="00F63E1B"/>
    <w:rsid w:val="00F95BEB"/>
    <w:rsid w:val="00FD6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60F99"/>
  <w15:chartTrackingRefBased/>
  <w15:docId w15:val="{20728845-6C3E-46AE-ABDD-DC6D2BE2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EB"/>
    <w:pPr>
      <w:ind w:left="720"/>
      <w:contextualSpacing/>
    </w:pPr>
  </w:style>
  <w:style w:type="paragraph" w:styleId="BalloonText">
    <w:name w:val="Balloon Text"/>
    <w:basedOn w:val="Normal"/>
    <w:link w:val="BalloonTextChar"/>
    <w:uiPriority w:val="99"/>
    <w:semiHidden/>
    <w:unhideWhenUsed/>
    <w:rsid w:val="000A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609"/>
    <w:rPr>
      <w:rFonts w:ascii="Segoe UI" w:hAnsi="Segoe UI" w:cs="Segoe UI"/>
      <w:sz w:val="18"/>
      <w:szCs w:val="18"/>
    </w:rPr>
  </w:style>
  <w:style w:type="paragraph" w:styleId="Revision">
    <w:name w:val="Revision"/>
    <w:hidden/>
    <w:uiPriority w:val="99"/>
    <w:semiHidden/>
    <w:rsid w:val="004D778D"/>
    <w:pPr>
      <w:spacing w:after="0" w:line="240" w:lineRule="auto"/>
    </w:pPr>
  </w:style>
  <w:style w:type="character" w:styleId="Hyperlink">
    <w:name w:val="Hyperlink"/>
    <w:basedOn w:val="DefaultParagraphFont"/>
    <w:uiPriority w:val="99"/>
    <w:unhideWhenUsed/>
    <w:rsid w:val="00856B45"/>
    <w:rPr>
      <w:color w:val="0563C1" w:themeColor="hyperlink"/>
      <w:u w:val="single"/>
    </w:rPr>
  </w:style>
  <w:style w:type="paragraph" w:styleId="FootnoteText">
    <w:name w:val="footnote text"/>
    <w:basedOn w:val="Normal"/>
    <w:link w:val="FootnoteTextChar"/>
    <w:uiPriority w:val="99"/>
    <w:semiHidden/>
    <w:unhideWhenUsed/>
    <w:rsid w:val="002136A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2136A6"/>
    <w:rPr>
      <w:rFonts w:asciiTheme="minorHAnsi" w:hAnsiTheme="minorHAnsi"/>
      <w:sz w:val="20"/>
      <w:szCs w:val="20"/>
    </w:rPr>
  </w:style>
  <w:style w:type="character" w:styleId="FootnoteReference">
    <w:name w:val="footnote reference"/>
    <w:basedOn w:val="DefaultParagraphFont"/>
    <w:uiPriority w:val="99"/>
    <w:semiHidden/>
    <w:unhideWhenUsed/>
    <w:rsid w:val="002136A6"/>
    <w:rPr>
      <w:vertAlign w:val="superscript"/>
    </w:rPr>
  </w:style>
  <w:style w:type="paragraph" w:styleId="Header">
    <w:name w:val="header"/>
    <w:basedOn w:val="Normal"/>
    <w:link w:val="HeaderChar"/>
    <w:uiPriority w:val="99"/>
    <w:unhideWhenUsed/>
    <w:rsid w:val="00047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4B0"/>
  </w:style>
  <w:style w:type="paragraph" w:styleId="Footer">
    <w:name w:val="footer"/>
    <w:basedOn w:val="Normal"/>
    <w:link w:val="FooterChar"/>
    <w:uiPriority w:val="99"/>
    <w:unhideWhenUsed/>
    <w:rsid w:val="00047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979254">
      <w:bodyDiv w:val="1"/>
      <w:marLeft w:val="0"/>
      <w:marRight w:val="0"/>
      <w:marTop w:val="0"/>
      <w:marBottom w:val="0"/>
      <w:divBdr>
        <w:top w:val="none" w:sz="0" w:space="0" w:color="auto"/>
        <w:left w:val="none" w:sz="0" w:space="0" w:color="auto"/>
        <w:bottom w:val="none" w:sz="0" w:space="0" w:color="auto"/>
        <w:right w:val="none" w:sz="0" w:space="0" w:color="auto"/>
      </w:divBdr>
    </w:div>
    <w:div w:id="19786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ic@justice.tas.gov.au" TargetMode="External"/><Relationship Id="rId4" Type="http://schemas.openxmlformats.org/officeDocument/2006/relationships/settings" Target="settings.xml"/><Relationship Id="rId9" Type="http://schemas.openxmlformats.org/officeDocument/2006/relationships/hyperlink" Target="http://www.tic.tas.gov.au/__data/assets/pdf_file/0019/340561/Final_Report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8AD2-81A7-4612-A5F7-C0F9FCE2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5DBCA3AA.dotm</Template>
  <TotalTime>4</TotalTime>
  <Pages>6</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Barclay</dc:creator>
  <cp:keywords/>
  <dc:description/>
  <cp:lastModifiedBy>Wilson, Matthew</cp:lastModifiedBy>
  <cp:revision>4</cp:revision>
  <cp:lastPrinted>2018-03-02T00:05:00Z</cp:lastPrinted>
  <dcterms:created xsi:type="dcterms:W3CDTF">2018-03-02T00:07:00Z</dcterms:created>
  <dcterms:modified xsi:type="dcterms:W3CDTF">2018-03-02T00:53:00Z</dcterms:modified>
</cp:coreProperties>
</file>