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430" w:rsidRDefault="007E4430" w:rsidP="006A11FD">
      <w:pPr>
        <w:jc w:val="center"/>
        <w:rPr>
          <w:b/>
          <w:lang w:val="en-US"/>
        </w:rPr>
      </w:pPr>
      <w:bookmarkStart w:id="0" w:name="_GoBack"/>
      <w:bookmarkEnd w:id="0"/>
    </w:p>
    <w:p w:rsidR="007E4430" w:rsidRDefault="003D5D53" w:rsidP="006A11FD">
      <w:pPr>
        <w:jc w:val="center"/>
        <w:rPr>
          <w:b/>
          <w:lang w:val="en-US"/>
        </w:rPr>
      </w:pPr>
      <w:r>
        <w:rPr>
          <w:b/>
          <w:noProof/>
          <w:lang w:eastAsia="en-AU"/>
        </w:rPr>
        <w:drawing>
          <wp:inline distT="0" distB="0" distL="0" distR="0">
            <wp:extent cx="1117600" cy="8940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600" cy="894080"/>
                    </a:xfrm>
                    <a:prstGeom prst="rect">
                      <a:avLst/>
                    </a:prstGeom>
                    <a:noFill/>
                  </pic:spPr>
                </pic:pic>
              </a:graphicData>
            </a:graphic>
          </wp:inline>
        </w:drawing>
      </w:r>
    </w:p>
    <w:p w:rsidR="0011298A" w:rsidRPr="00353DC4" w:rsidRDefault="0011298A" w:rsidP="0011298A">
      <w:pPr>
        <w:jc w:val="center"/>
        <w:rPr>
          <w:rFonts w:ascii="Times New Roman" w:hAnsi="Times New Roman"/>
          <w:b/>
        </w:rPr>
      </w:pPr>
      <w:r w:rsidRPr="00353DC4">
        <w:rPr>
          <w:rFonts w:ascii="Times New Roman" w:hAnsi="Times New Roman"/>
          <w:b/>
        </w:rPr>
        <w:t>TASMANIA</w:t>
      </w:r>
    </w:p>
    <w:p w:rsidR="007E4430" w:rsidRDefault="007E4430" w:rsidP="006A11FD">
      <w:pPr>
        <w:jc w:val="center"/>
        <w:rPr>
          <w:b/>
          <w:lang w:val="en-US"/>
        </w:rPr>
      </w:pPr>
    </w:p>
    <w:p w:rsidR="007E4430" w:rsidRDefault="007E4430" w:rsidP="006A11FD">
      <w:pPr>
        <w:jc w:val="center"/>
        <w:rPr>
          <w:b/>
          <w:lang w:val="en-US"/>
        </w:rPr>
      </w:pPr>
    </w:p>
    <w:p w:rsidR="00274421" w:rsidRDefault="0016388C" w:rsidP="006A11FD">
      <w:pPr>
        <w:jc w:val="center"/>
        <w:rPr>
          <w:b/>
          <w:lang w:val="en-US"/>
        </w:rPr>
      </w:pPr>
      <w:r>
        <w:rPr>
          <w:b/>
          <w:lang w:val="en-US"/>
        </w:rPr>
        <w:t>Report</w:t>
      </w:r>
      <w:r w:rsidR="006A11FD">
        <w:rPr>
          <w:b/>
          <w:lang w:val="en-US"/>
        </w:rPr>
        <w:t xml:space="preserve"> into Parliamentary Salaries and Allowances </w:t>
      </w:r>
    </w:p>
    <w:p w:rsidR="0016388C" w:rsidRDefault="00A16519" w:rsidP="006A11FD">
      <w:pPr>
        <w:jc w:val="center"/>
        <w:rPr>
          <w:b/>
          <w:lang w:val="en-US"/>
        </w:rPr>
      </w:pPr>
      <w:r>
        <w:rPr>
          <w:b/>
          <w:lang w:val="en-US"/>
        </w:rPr>
        <w:t>including a</w:t>
      </w:r>
      <w:r w:rsidR="0016388C">
        <w:rPr>
          <w:b/>
          <w:lang w:val="en-US"/>
        </w:rPr>
        <w:t xml:space="preserve"> Determination</w:t>
      </w:r>
    </w:p>
    <w:p w:rsidR="007E4430" w:rsidRDefault="00A16519" w:rsidP="006A11FD">
      <w:pPr>
        <w:jc w:val="center"/>
        <w:rPr>
          <w:b/>
          <w:lang w:val="en-US"/>
        </w:rPr>
      </w:pPr>
      <w:r>
        <w:rPr>
          <w:b/>
          <w:lang w:val="en-US"/>
        </w:rPr>
        <w:t>by</w:t>
      </w:r>
    </w:p>
    <w:p w:rsidR="0016388C" w:rsidRDefault="00274421" w:rsidP="006A11FD">
      <w:pPr>
        <w:jc w:val="center"/>
        <w:rPr>
          <w:b/>
          <w:lang w:val="en-US"/>
        </w:rPr>
      </w:pPr>
      <w:r>
        <w:rPr>
          <w:b/>
          <w:lang w:val="en-US"/>
        </w:rPr>
        <w:t xml:space="preserve">The </w:t>
      </w:r>
      <w:r w:rsidR="006A11FD">
        <w:rPr>
          <w:b/>
          <w:lang w:val="en-US"/>
        </w:rPr>
        <w:t>Full Bench of the Tasmanian Industrial Commission</w:t>
      </w:r>
    </w:p>
    <w:p w:rsidR="0016388C" w:rsidRDefault="0016388C" w:rsidP="006A11FD">
      <w:pPr>
        <w:jc w:val="center"/>
        <w:rPr>
          <w:b/>
          <w:lang w:val="en-US"/>
        </w:rPr>
      </w:pPr>
      <w:r>
        <w:rPr>
          <w:b/>
          <w:lang w:val="en-US"/>
        </w:rPr>
        <w:t>under</w:t>
      </w:r>
    </w:p>
    <w:p w:rsidR="0016388C" w:rsidRDefault="0016388C" w:rsidP="006A11FD">
      <w:pPr>
        <w:jc w:val="center"/>
        <w:rPr>
          <w:b/>
          <w:lang w:val="en-US"/>
        </w:rPr>
      </w:pPr>
      <w:r>
        <w:rPr>
          <w:b/>
          <w:lang w:val="en-US"/>
        </w:rPr>
        <w:t xml:space="preserve">Part 3 of the </w:t>
      </w:r>
      <w:r w:rsidRPr="0016388C">
        <w:rPr>
          <w:b/>
          <w:i/>
          <w:lang w:val="en-US"/>
        </w:rPr>
        <w:t>Parliamentary Salaries, Superannuation and Allowances Act 2012</w:t>
      </w:r>
    </w:p>
    <w:p w:rsidR="006A11FD" w:rsidRDefault="006A11FD" w:rsidP="006A11FD">
      <w:pPr>
        <w:jc w:val="center"/>
        <w:rPr>
          <w:b/>
          <w:lang w:val="en-US"/>
        </w:rPr>
      </w:pPr>
      <w:r>
        <w:rPr>
          <w:b/>
          <w:lang w:val="en-US"/>
        </w:rPr>
        <w:t xml:space="preserve"> </w:t>
      </w:r>
    </w:p>
    <w:p w:rsidR="007E4430" w:rsidRDefault="007E4430" w:rsidP="006A11FD">
      <w:pPr>
        <w:jc w:val="center"/>
        <w:rPr>
          <w:b/>
          <w:lang w:val="en-US"/>
        </w:rPr>
      </w:pPr>
    </w:p>
    <w:p w:rsidR="007E4430" w:rsidRDefault="007E4430" w:rsidP="006A11FD">
      <w:pPr>
        <w:jc w:val="center"/>
        <w:rPr>
          <w:b/>
          <w:lang w:val="en-US"/>
        </w:rPr>
      </w:pPr>
    </w:p>
    <w:p w:rsidR="007E4430" w:rsidRDefault="007E4430" w:rsidP="00D5167E">
      <w:pPr>
        <w:jc w:val="center"/>
        <w:rPr>
          <w:b/>
          <w:lang w:val="en-US"/>
        </w:rPr>
      </w:pPr>
    </w:p>
    <w:p w:rsidR="007E4430" w:rsidRDefault="007E4430" w:rsidP="00D5167E">
      <w:pPr>
        <w:jc w:val="center"/>
        <w:rPr>
          <w:b/>
          <w:lang w:val="en-US"/>
        </w:rPr>
      </w:pPr>
    </w:p>
    <w:p w:rsidR="007E4430" w:rsidRDefault="007E4430" w:rsidP="00D5167E">
      <w:pPr>
        <w:jc w:val="center"/>
        <w:rPr>
          <w:b/>
          <w:lang w:val="en-US"/>
        </w:rPr>
      </w:pPr>
    </w:p>
    <w:p w:rsidR="007E4430" w:rsidRDefault="007E4430" w:rsidP="00D5167E">
      <w:pPr>
        <w:jc w:val="center"/>
        <w:rPr>
          <w:b/>
          <w:lang w:val="en-US"/>
        </w:rPr>
      </w:pPr>
      <w:r>
        <w:rPr>
          <w:b/>
          <w:lang w:val="en-US"/>
        </w:rPr>
        <w:t>Members</w:t>
      </w:r>
    </w:p>
    <w:p w:rsidR="007E4430" w:rsidRPr="007E4430" w:rsidRDefault="007E4430" w:rsidP="00712653">
      <w:pPr>
        <w:jc w:val="center"/>
        <w:rPr>
          <w:lang w:val="en-US"/>
        </w:rPr>
      </w:pPr>
      <w:r w:rsidRPr="007E4430">
        <w:rPr>
          <w:lang w:val="en-US"/>
        </w:rPr>
        <w:t>Tim Abey (President)</w:t>
      </w:r>
    </w:p>
    <w:p w:rsidR="007E4430" w:rsidRPr="007E4430" w:rsidRDefault="007E4430" w:rsidP="00712653">
      <w:pPr>
        <w:jc w:val="center"/>
        <w:rPr>
          <w:lang w:val="en-US"/>
        </w:rPr>
      </w:pPr>
      <w:r w:rsidRPr="007E4430">
        <w:rPr>
          <w:lang w:val="en-US"/>
        </w:rPr>
        <w:t>Nicole Wells (Deputy President)</w:t>
      </w:r>
    </w:p>
    <w:p w:rsidR="007E4430" w:rsidRPr="007E4430" w:rsidRDefault="007E4430" w:rsidP="00712653">
      <w:pPr>
        <w:jc w:val="center"/>
        <w:rPr>
          <w:lang w:val="en-US"/>
        </w:rPr>
      </w:pPr>
      <w:r w:rsidRPr="007E4430">
        <w:rPr>
          <w:lang w:val="en-US"/>
        </w:rPr>
        <w:t>Michael Roberts (</w:t>
      </w:r>
      <w:r w:rsidR="00FD0609">
        <w:rPr>
          <w:lang w:val="en-US"/>
        </w:rPr>
        <w:t>Commissioner</w:t>
      </w:r>
      <w:r w:rsidRPr="007E4430">
        <w:rPr>
          <w:lang w:val="en-US"/>
        </w:rPr>
        <w:t>)</w:t>
      </w:r>
    </w:p>
    <w:p w:rsidR="007E4430" w:rsidRDefault="007E4430" w:rsidP="00D5167E">
      <w:pPr>
        <w:jc w:val="center"/>
        <w:rPr>
          <w:b/>
          <w:lang w:val="en-US"/>
        </w:rPr>
      </w:pPr>
    </w:p>
    <w:p w:rsidR="007E4430" w:rsidRDefault="007E4430" w:rsidP="00D5167E">
      <w:pPr>
        <w:jc w:val="center"/>
        <w:rPr>
          <w:b/>
          <w:lang w:val="en-US"/>
        </w:rPr>
      </w:pPr>
    </w:p>
    <w:p w:rsidR="006A11FD" w:rsidRDefault="0016388C" w:rsidP="00D5167E">
      <w:pPr>
        <w:jc w:val="center"/>
        <w:rPr>
          <w:b/>
          <w:lang w:val="en-US"/>
        </w:rPr>
      </w:pPr>
      <w:r>
        <w:rPr>
          <w:b/>
          <w:lang w:val="en-US"/>
        </w:rPr>
        <w:t>February</w:t>
      </w:r>
      <w:r w:rsidR="007E4430">
        <w:rPr>
          <w:b/>
          <w:lang w:val="en-US"/>
        </w:rPr>
        <w:t xml:space="preserve"> 201</w:t>
      </w:r>
      <w:r>
        <w:rPr>
          <w:b/>
          <w:lang w:val="en-US"/>
        </w:rPr>
        <w:t>6</w:t>
      </w:r>
    </w:p>
    <w:p w:rsidR="006A11FD" w:rsidRDefault="006A11FD" w:rsidP="00D5167E">
      <w:pPr>
        <w:jc w:val="center"/>
        <w:rPr>
          <w:b/>
          <w:lang w:val="en-US"/>
        </w:rPr>
      </w:pPr>
    </w:p>
    <w:p w:rsidR="006A11FD" w:rsidRDefault="006A11FD" w:rsidP="00D5167E">
      <w:pPr>
        <w:jc w:val="center"/>
        <w:rPr>
          <w:b/>
          <w:lang w:val="en-US"/>
        </w:rPr>
      </w:pPr>
      <w:r>
        <w:rPr>
          <w:b/>
          <w:lang w:val="en-US"/>
        </w:rPr>
        <w:br w:type="page"/>
      </w:r>
    </w:p>
    <w:p w:rsidR="006A11FD" w:rsidRDefault="006A11FD" w:rsidP="00D5167E">
      <w:pPr>
        <w:jc w:val="center"/>
        <w:rPr>
          <w:b/>
          <w:lang w:val="en-US"/>
        </w:rPr>
      </w:pPr>
    </w:p>
    <w:p w:rsidR="006A11FD" w:rsidRDefault="006A11FD" w:rsidP="00D5167E">
      <w:pPr>
        <w:jc w:val="center"/>
        <w:rPr>
          <w:b/>
          <w:lang w:val="en-US"/>
        </w:rPr>
        <w:sectPr w:rsidR="006A11FD">
          <w:pgSz w:w="11906" w:h="16838"/>
          <w:pgMar w:top="1440" w:right="1440" w:bottom="1440" w:left="1440" w:header="708" w:footer="708" w:gutter="0"/>
          <w:cols w:space="708"/>
          <w:docGrid w:linePitch="360"/>
        </w:sectPr>
      </w:pPr>
    </w:p>
    <w:p w:rsidR="00CA4682" w:rsidRPr="00975ECD" w:rsidRDefault="0016388C" w:rsidP="00D5167E">
      <w:pPr>
        <w:jc w:val="center"/>
        <w:rPr>
          <w:color w:val="7F7F7F" w:themeColor="text1" w:themeTint="80"/>
          <w:lang w:val="en-US"/>
        </w:rPr>
      </w:pPr>
      <w:r w:rsidRPr="00975ECD">
        <w:rPr>
          <w:color w:val="7F7F7F" w:themeColor="text1" w:themeTint="80"/>
          <w:lang w:val="en-US"/>
        </w:rPr>
        <w:lastRenderedPageBreak/>
        <w:t>Report</w:t>
      </w:r>
      <w:r w:rsidR="00032E21" w:rsidRPr="00975ECD">
        <w:rPr>
          <w:color w:val="7F7F7F" w:themeColor="text1" w:themeTint="80"/>
          <w:lang w:val="en-US"/>
        </w:rPr>
        <w:t xml:space="preserve"> into </w:t>
      </w:r>
      <w:r w:rsidR="00D5167E" w:rsidRPr="00975ECD">
        <w:rPr>
          <w:color w:val="7F7F7F" w:themeColor="text1" w:themeTint="80"/>
          <w:lang w:val="en-US"/>
        </w:rPr>
        <w:t xml:space="preserve">Parliamentary Salaries and Allowances </w:t>
      </w:r>
      <w:r w:rsidR="00A16519" w:rsidRPr="00975ECD">
        <w:rPr>
          <w:color w:val="7F7F7F" w:themeColor="text1" w:themeTint="80"/>
          <w:lang w:val="en-US"/>
        </w:rPr>
        <w:t>including a</w:t>
      </w:r>
      <w:r w:rsidRPr="00975ECD">
        <w:rPr>
          <w:color w:val="7F7F7F" w:themeColor="text1" w:themeTint="80"/>
          <w:lang w:val="en-US"/>
        </w:rPr>
        <w:t xml:space="preserve"> Determination </w:t>
      </w:r>
      <w:r w:rsidR="00032E21" w:rsidRPr="00975ECD">
        <w:rPr>
          <w:color w:val="7F7F7F" w:themeColor="text1" w:themeTint="80"/>
          <w:lang w:val="en-US"/>
        </w:rPr>
        <w:t xml:space="preserve">by the Full Bench of the Tasmanian Industrial Commission </w:t>
      </w:r>
      <w:r w:rsidRPr="00975ECD">
        <w:rPr>
          <w:color w:val="7F7F7F" w:themeColor="text1" w:themeTint="80"/>
          <w:lang w:val="en-US"/>
        </w:rPr>
        <w:t xml:space="preserve">under Part 3 of the </w:t>
      </w:r>
      <w:r w:rsidRPr="00975ECD">
        <w:rPr>
          <w:i/>
          <w:color w:val="7F7F7F" w:themeColor="text1" w:themeTint="80"/>
          <w:lang w:val="en-US"/>
        </w:rPr>
        <w:t>Parliamentary Salaries, Superannuation and Allowances Act 2012</w:t>
      </w:r>
      <w:r w:rsidR="00FA52C9" w:rsidRPr="00975ECD">
        <w:rPr>
          <w:i/>
          <w:color w:val="7F7F7F" w:themeColor="text1" w:themeTint="80"/>
          <w:lang w:val="en-US"/>
        </w:rPr>
        <w:t xml:space="preserve"> </w:t>
      </w:r>
      <w:r w:rsidR="00032E21" w:rsidRPr="00975ECD">
        <w:rPr>
          <w:color w:val="7F7F7F" w:themeColor="text1" w:themeTint="80"/>
          <w:lang w:val="en-US"/>
        </w:rPr>
        <w:t xml:space="preserve">– </w:t>
      </w:r>
      <w:r w:rsidRPr="00975ECD">
        <w:rPr>
          <w:color w:val="7F7F7F" w:themeColor="text1" w:themeTint="80"/>
          <w:lang w:val="en-US"/>
        </w:rPr>
        <w:t>February 2016</w:t>
      </w:r>
    </w:p>
    <w:p w:rsidR="009A616D" w:rsidRPr="006A11FD" w:rsidRDefault="009A616D" w:rsidP="00814386">
      <w:pPr>
        <w:pStyle w:val="TableTitlemain"/>
      </w:pPr>
      <w:r w:rsidRPr="006A11FD">
        <w:t>Contents</w:t>
      </w:r>
    </w:p>
    <w:p w:rsidR="006E4257" w:rsidRPr="006E4257" w:rsidRDefault="009A616D">
      <w:pPr>
        <w:pStyle w:val="TOC1"/>
        <w:rPr>
          <w:rFonts w:asciiTheme="minorHAnsi" w:eastAsiaTheme="minorEastAsia" w:hAnsiTheme="minorHAnsi" w:cstheme="minorBidi"/>
          <w:b w:val="0"/>
          <w:lang w:eastAsia="en-AU"/>
        </w:rPr>
      </w:pPr>
      <w:r w:rsidRPr="0006046E">
        <w:rPr>
          <w:b w:val="0"/>
        </w:rPr>
        <w:fldChar w:fldCharType="begin"/>
      </w:r>
      <w:r w:rsidRPr="0006046E">
        <w:rPr>
          <w:b w:val="0"/>
        </w:rPr>
        <w:instrText xml:space="preserve"> TOC \o "1-3" \h \z \u </w:instrText>
      </w:r>
      <w:r w:rsidRPr="0006046E">
        <w:rPr>
          <w:b w:val="0"/>
        </w:rPr>
        <w:fldChar w:fldCharType="separate"/>
      </w:r>
      <w:hyperlink w:anchor="_Toc443486895" w:history="1">
        <w:r w:rsidR="006E4257" w:rsidRPr="006E4257">
          <w:rPr>
            <w:rStyle w:val="Hyperlink"/>
          </w:rPr>
          <w:t>Preamble</w:t>
        </w:r>
        <w:r w:rsidR="006E4257" w:rsidRPr="0061154A">
          <w:rPr>
            <w:b w:val="0"/>
            <w:webHidden/>
          </w:rPr>
          <w:tab/>
        </w:r>
        <w:r w:rsidR="006E4257" w:rsidRPr="0061154A">
          <w:rPr>
            <w:b w:val="0"/>
            <w:webHidden/>
          </w:rPr>
          <w:fldChar w:fldCharType="begin"/>
        </w:r>
        <w:r w:rsidR="006E4257" w:rsidRPr="0061154A">
          <w:rPr>
            <w:b w:val="0"/>
            <w:webHidden/>
          </w:rPr>
          <w:instrText xml:space="preserve"> PAGEREF _Toc443486895 \h </w:instrText>
        </w:r>
        <w:r w:rsidR="006E4257" w:rsidRPr="0061154A">
          <w:rPr>
            <w:b w:val="0"/>
            <w:webHidden/>
          </w:rPr>
        </w:r>
        <w:r w:rsidR="006E4257" w:rsidRPr="0061154A">
          <w:rPr>
            <w:b w:val="0"/>
            <w:webHidden/>
          </w:rPr>
          <w:fldChar w:fldCharType="separate"/>
        </w:r>
        <w:r w:rsidR="006C0DC0">
          <w:rPr>
            <w:b w:val="0"/>
            <w:webHidden/>
          </w:rPr>
          <w:t>iv</w:t>
        </w:r>
        <w:r w:rsidR="006E4257" w:rsidRPr="0061154A">
          <w:rPr>
            <w:b w:val="0"/>
            <w:webHidden/>
          </w:rPr>
          <w:fldChar w:fldCharType="end"/>
        </w:r>
      </w:hyperlink>
    </w:p>
    <w:p w:rsidR="006E4257" w:rsidRPr="006E4257" w:rsidRDefault="00FD0D54">
      <w:pPr>
        <w:pStyle w:val="TOC1"/>
        <w:rPr>
          <w:rFonts w:asciiTheme="minorHAnsi" w:eastAsiaTheme="minorEastAsia" w:hAnsiTheme="minorHAnsi" w:cstheme="minorBidi"/>
          <w:b w:val="0"/>
          <w:lang w:eastAsia="en-AU"/>
        </w:rPr>
      </w:pPr>
      <w:hyperlink w:anchor="_Toc443486896" w:history="1">
        <w:r w:rsidR="006E4257" w:rsidRPr="006E4257">
          <w:rPr>
            <w:rStyle w:val="Hyperlink"/>
            <w:b w:val="0"/>
          </w:rPr>
          <w:t>Glossary of Frequently Used Terms</w:t>
        </w:r>
        <w:r w:rsidR="006E4257" w:rsidRPr="006E4257">
          <w:rPr>
            <w:b w:val="0"/>
            <w:webHidden/>
          </w:rPr>
          <w:tab/>
        </w:r>
        <w:r w:rsidR="006E4257" w:rsidRPr="006E4257">
          <w:rPr>
            <w:b w:val="0"/>
            <w:webHidden/>
          </w:rPr>
          <w:fldChar w:fldCharType="begin"/>
        </w:r>
        <w:r w:rsidR="006E4257" w:rsidRPr="006E4257">
          <w:rPr>
            <w:b w:val="0"/>
            <w:webHidden/>
          </w:rPr>
          <w:instrText xml:space="preserve"> PAGEREF _Toc443486896 \h </w:instrText>
        </w:r>
        <w:r w:rsidR="006E4257" w:rsidRPr="006E4257">
          <w:rPr>
            <w:b w:val="0"/>
            <w:webHidden/>
          </w:rPr>
        </w:r>
        <w:r w:rsidR="006E4257" w:rsidRPr="006E4257">
          <w:rPr>
            <w:b w:val="0"/>
            <w:webHidden/>
          </w:rPr>
          <w:fldChar w:fldCharType="separate"/>
        </w:r>
        <w:r w:rsidR="006C0DC0">
          <w:rPr>
            <w:b w:val="0"/>
            <w:webHidden/>
          </w:rPr>
          <w:t>v</w:t>
        </w:r>
        <w:r w:rsidR="006E4257" w:rsidRPr="006E4257">
          <w:rPr>
            <w:b w:val="0"/>
            <w:webHidden/>
          </w:rPr>
          <w:fldChar w:fldCharType="end"/>
        </w:r>
      </w:hyperlink>
    </w:p>
    <w:p w:rsidR="006E4257" w:rsidRPr="006E4257" w:rsidRDefault="00FD0D54">
      <w:pPr>
        <w:pStyle w:val="TOC1"/>
        <w:rPr>
          <w:rFonts w:asciiTheme="minorHAnsi" w:eastAsiaTheme="minorEastAsia" w:hAnsiTheme="minorHAnsi" w:cstheme="minorBidi"/>
          <w:b w:val="0"/>
          <w:lang w:eastAsia="en-AU"/>
        </w:rPr>
      </w:pPr>
      <w:hyperlink w:anchor="_Toc443486897" w:history="1">
        <w:r w:rsidR="006E4257" w:rsidRPr="006E4257">
          <w:rPr>
            <w:rStyle w:val="Hyperlink"/>
          </w:rPr>
          <w:t>Determination</w:t>
        </w:r>
        <w:r w:rsidR="006E4257" w:rsidRPr="0061154A">
          <w:rPr>
            <w:b w:val="0"/>
            <w:webHidden/>
          </w:rPr>
          <w:tab/>
        </w:r>
        <w:r w:rsidR="006E4257" w:rsidRPr="0061154A">
          <w:rPr>
            <w:b w:val="0"/>
            <w:webHidden/>
          </w:rPr>
          <w:fldChar w:fldCharType="begin"/>
        </w:r>
        <w:r w:rsidR="006E4257" w:rsidRPr="0061154A">
          <w:rPr>
            <w:b w:val="0"/>
            <w:webHidden/>
          </w:rPr>
          <w:instrText xml:space="preserve"> PAGEREF _Toc443486897 \h </w:instrText>
        </w:r>
        <w:r w:rsidR="006E4257" w:rsidRPr="0061154A">
          <w:rPr>
            <w:b w:val="0"/>
            <w:webHidden/>
          </w:rPr>
        </w:r>
        <w:r w:rsidR="006E4257" w:rsidRPr="0061154A">
          <w:rPr>
            <w:b w:val="0"/>
            <w:webHidden/>
          </w:rPr>
          <w:fldChar w:fldCharType="separate"/>
        </w:r>
        <w:r w:rsidR="006C0DC0">
          <w:rPr>
            <w:b w:val="0"/>
            <w:webHidden/>
          </w:rPr>
          <w:t>A</w:t>
        </w:r>
        <w:r w:rsidR="006E4257" w:rsidRPr="0061154A">
          <w:rPr>
            <w:b w:val="0"/>
            <w:webHidden/>
          </w:rPr>
          <w:fldChar w:fldCharType="end"/>
        </w:r>
      </w:hyperlink>
    </w:p>
    <w:p w:rsidR="006E4257" w:rsidRPr="006E4257" w:rsidRDefault="00FD0D54" w:rsidP="006E4257">
      <w:pPr>
        <w:pStyle w:val="TOC2"/>
        <w:rPr>
          <w:rFonts w:asciiTheme="minorHAnsi" w:eastAsiaTheme="minorEastAsia" w:hAnsiTheme="minorHAnsi" w:cstheme="minorBidi"/>
          <w:lang w:eastAsia="en-AU"/>
        </w:rPr>
      </w:pPr>
      <w:hyperlink w:anchor="_Toc443486898" w:history="1">
        <w:r w:rsidR="006E4257" w:rsidRPr="006E4257">
          <w:rPr>
            <w:rStyle w:val="Hyperlink"/>
          </w:rPr>
          <w:t>1</w:t>
        </w:r>
        <w:r w:rsidR="006E4257" w:rsidRPr="006E4257">
          <w:rPr>
            <w:rFonts w:asciiTheme="minorHAnsi" w:eastAsiaTheme="minorEastAsia" w:hAnsiTheme="minorHAnsi" w:cstheme="minorBidi"/>
            <w:lang w:eastAsia="en-AU"/>
          </w:rPr>
          <w:tab/>
        </w:r>
        <w:r w:rsidR="006E4257" w:rsidRPr="006E4257">
          <w:rPr>
            <w:rStyle w:val="Hyperlink"/>
          </w:rPr>
          <w:t>Basic Salary</w:t>
        </w:r>
        <w:r w:rsidR="006E4257" w:rsidRPr="006E4257">
          <w:rPr>
            <w:webHidden/>
          </w:rPr>
          <w:tab/>
        </w:r>
        <w:r w:rsidR="006E4257" w:rsidRPr="006E4257">
          <w:rPr>
            <w:webHidden/>
          </w:rPr>
          <w:fldChar w:fldCharType="begin"/>
        </w:r>
        <w:r w:rsidR="006E4257" w:rsidRPr="006E4257">
          <w:rPr>
            <w:webHidden/>
          </w:rPr>
          <w:instrText xml:space="preserve"> PAGEREF _Toc443486898 \h </w:instrText>
        </w:r>
        <w:r w:rsidR="006E4257" w:rsidRPr="006E4257">
          <w:rPr>
            <w:webHidden/>
          </w:rPr>
        </w:r>
        <w:r w:rsidR="006E4257" w:rsidRPr="006E4257">
          <w:rPr>
            <w:webHidden/>
          </w:rPr>
          <w:fldChar w:fldCharType="separate"/>
        </w:r>
        <w:r w:rsidR="006C0DC0">
          <w:rPr>
            <w:webHidden/>
          </w:rPr>
          <w:t>A</w:t>
        </w:r>
        <w:r w:rsidR="006E4257" w:rsidRPr="006E4257">
          <w:rPr>
            <w:webHidden/>
          </w:rPr>
          <w:fldChar w:fldCharType="end"/>
        </w:r>
      </w:hyperlink>
    </w:p>
    <w:p w:rsidR="006E4257" w:rsidRPr="006E4257" w:rsidRDefault="00FD0D54" w:rsidP="006E4257">
      <w:pPr>
        <w:pStyle w:val="TOC2"/>
        <w:rPr>
          <w:rFonts w:asciiTheme="minorHAnsi" w:eastAsiaTheme="minorEastAsia" w:hAnsiTheme="minorHAnsi" w:cstheme="minorBidi"/>
          <w:lang w:eastAsia="en-AU"/>
        </w:rPr>
      </w:pPr>
      <w:hyperlink w:anchor="_Toc443486899" w:history="1">
        <w:r w:rsidR="006E4257" w:rsidRPr="006E4257">
          <w:rPr>
            <w:rStyle w:val="Hyperlink"/>
          </w:rPr>
          <w:t>2</w:t>
        </w:r>
        <w:r w:rsidR="006E4257" w:rsidRPr="006E4257">
          <w:rPr>
            <w:rFonts w:asciiTheme="minorHAnsi" w:eastAsiaTheme="minorEastAsia" w:hAnsiTheme="minorHAnsi" w:cstheme="minorBidi"/>
            <w:lang w:eastAsia="en-AU"/>
          </w:rPr>
          <w:tab/>
        </w:r>
        <w:r w:rsidR="006E4257" w:rsidRPr="006E4257">
          <w:rPr>
            <w:rStyle w:val="Hyperlink"/>
          </w:rPr>
          <w:t>Additional Salary</w:t>
        </w:r>
        <w:r w:rsidR="006E4257" w:rsidRPr="006E4257">
          <w:rPr>
            <w:webHidden/>
          </w:rPr>
          <w:tab/>
        </w:r>
        <w:r w:rsidR="006E4257" w:rsidRPr="006E4257">
          <w:rPr>
            <w:webHidden/>
          </w:rPr>
          <w:fldChar w:fldCharType="begin"/>
        </w:r>
        <w:r w:rsidR="006E4257" w:rsidRPr="006E4257">
          <w:rPr>
            <w:webHidden/>
          </w:rPr>
          <w:instrText xml:space="preserve"> PAGEREF _Toc443486899 \h </w:instrText>
        </w:r>
        <w:r w:rsidR="006E4257" w:rsidRPr="006E4257">
          <w:rPr>
            <w:webHidden/>
          </w:rPr>
        </w:r>
        <w:r w:rsidR="006E4257" w:rsidRPr="006E4257">
          <w:rPr>
            <w:webHidden/>
          </w:rPr>
          <w:fldChar w:fldCharType="separate"/>
        </w:r>
        <w:r w:rsidR="006C0DC0">
          <w:rPr>
            <w:webHidden/>
          </w:rPr>
          <w:t>A</w:t>
        </w:r>
        <w:r w:rsidR="006E4257" w:rsidRPr="006E4257">
          <w:rPr>
            <w:webHidden/>
          </w:rPr>
          <w:fldChar w:fldCharType="end"/>
        </w:r>
      </w:hyperlink>
    </w:p>
    <w:p w:rsidR="006E4257" w:rsidRPr="006E4257" w:rsidRDefault="00FD0D54" w:rsidP="006E4257">
      <w:pPr>
        <w:pStyle w:val="TOC2"/>
        <w:rPr>
          <w:rFonts w:asciiTheme="minorHAnsi" w:eastAsiaTheme="minorEastAsia" w:hAnsiTheme="minorHAnsi" w:cstheme="minorBidi"/>
          <w:lang w:eastAsia="en-AU"/>
        </w:rPr>
      </w:pPr>
      <w:hyperlink w:anchor="_Toc443486900" w:history="1">
        <w:r w:rsidR="006E4257" w:rsidRPr="006E4257">
          <w:rPr>
            <w:rStyle w:val="Hyperlink"/>
          </w:rPr>
          <w:t>3</w:t>
        </w:r>
        <w:r w:rsidR="006E4257" w:rsidRPr="006E4257">
          <w:rPr>
            <w:rFonts w:asciiTheme="minorHAnsi" w:eastAsiaTheme="minorEastAsia" w:hAnsiTheme="minorHAnsi" w:cstheme="minorBidi"/>
            <w:lang w:eastAsia="en-AU"/>
          </w:rPr>
          <w:tab/>
        </w:r>
        <w:r w:rsidR="006E4257" w:rsidRPr="006E4257">
          <w:rPr>
            <w:rStyle w:val="Hyperlink"/>
          </w:rPr>
          <w:t>Allowances</w:t>
        </w:r>
        <w:r w:rsidR="006E4257" w:rsidRPr="006E4257">
          <w:rPr>
            <w:webHidden/>
          </w:rPr>
          <w:tab/>
        </w:r>
        <w:r w:rsidR="006E4257" w:rsidRPr="006E4257">
          <w:rPr>
            <w:webHidden/>
          </w:rPr>
          <w:fldChar w:fldCharType="begin"/>
        </w:r>
        <w:r w:rsidR="006E4257" w:rsidRPr="006E4257">
          <w:rPr>
            <w:webHidden/>
          </w:rPr>
          <w:instrText xml:space="preserve"> PAGEREF _Toc443486900 \h </w:instrText>
        </w:r>
        <w:r w:rsidR="006E4257" w:rsidRPr="006E4257">
          <w:rPr>
            <w:webHidden/>
          </w:rPr>
        </w:r>
        <w:r w:rsidR="006E4257" w:rsidRPr="006E4257">
          <w:rPr>
            <w:webHidden/>
          </w:rPr>
          <w:fldChar w:fldCharType="separate"/>
        </w:r>
        <w:r w:rsidR="006C0DC0">
          <w:rPr>
            <w:webHidden/>
          </w:rPr>
          <w:t>C</w:t>
        </w:r>
        <w:r w:rsidR="006E4257" w:rsidRPr="006E4257">
          <w:rPr>
            <w:webHidden/>
          </w:rPr>
          <w:fldChar w:fldCharType="end"/>
        </w:r>
      </w:hyperlink>
    </w:p>
    <w:p w:rsidR="006E4257" w:rsidRPr="006E4257" w:rsidRDefault="00FD0D54" w:rsidP="006E4257">
      <w:pPr>
        <w:pStyle w:val="TOC2"/>
        <w:rPr>
          <w:rFonts w:asciiTheme="minorHAnsi" w:eastAsiaTheme="minorEastAsia" w:hAnsiTheme="minorHAnsi" w:cstheme="minorBidi"/>
          <w:lang w:eastAsia="en-AU"/>
        </w:rPr>
      </w:pPr>
      <w:hyperlink w:anchor="_Toc443486901" w:history="1">
        <w:r w:rsidR="006E4257" w:rsidRPr="006E4257">
          <w:rPr>
            <w:rStyle w:val="Hyperlink"/>
          </w:rPr>
          <w:t>4</w:t>
        </w:r>
        <w:r w:rsidR="006E4257" w:rsidRPr="006E4257">
          <w:rPr>
            <w:rFonts w:asciiTheme="minorHAnsi" w:eastAsiaTheme="minorEastAsia" w:hAnsiTheme="minorHAnsi" w:cstheme="minorBidi"/>
            <w:lang w:eastAsia="en-AU"/>
          </w:rPr>
          <w:tab/>
        </w:r>
        <w:r w:rsidR="006E4257" w:rsidRPr="006E4257">
          <w:rPr>
            <w:rStyle w:val="Hyperlink"/>
          </w:rPr>
          <w:t>Date of Effect</w:t>
        </w:r>
        <w:r w:rsidR="006E4257" w:rsidRPr="006E4257">
          <w:rPr>
            <w:webHidden/>
          </w:rPr>
          <w:tab/>
        </w:r>
        <w:r w:rsidR="006E4257" w:rsidRPr="006E4257">
          <w:rPr>
            <w:webHidden/>
          </w:rPr>
          <w:fldChar w:fldCharType="begin"/>
        </w:r>
        <w:r w:rsidR="006E4257" w:rsidRPr="006E4257">
          <w:rPr>
            <w:webHidden/>
          </w:rPr>
          <w:instrText xml:space="preserve"> PAGEREF _Toc443486901 \h </w:instrText>
        </w:r>
        <w:r w:rsidR="006E4257" w:rsidRPr="006E4257">
          <w:rPr>
            <w:webHidden/>
          </w:rPr>
        </w:r>
        <w:r w:rsidR="006E4257" w:rsidRPr="006E4257">
          <w:rPr>
            <w:webHidden/>
          </w:rPr>
          <w:fldChar w:fldCharType="separate"/>
        </w:r>
        <w:r w:rsidR="006C0DC0">
          <w:rPr>
            <w:webHidden/>
          </w:rPr>
          <w:t>E</w:t>
        </w:r>
        <w:r w:rsidR="006E4257" w:rsidRPr="006E4257">
          <w:rPr>
            <w:webHidden/>
          </w:rPr>
          <w:fldChar w:fldCharType="end"/>
        </w:r>
      </w:hyperlink>
    </w:p>
    <w:p w:rsidR="006E4257" w:rsidRPr="006E4257" w:rsidRDefault="00FD0D54" w:rsidP="006E4257">
      <w:pPr>
        <w:pStyle w:val="TOC2"/>
        <w:rPr>
          <w:rFonts w:asciiTheme="minorHAnsi" w:eastAsiaTheme="minorEastAsia" w:hAnsiTheme="minorHAnsi" w:cstheme="minorBidi"/>
          <w:lang w:eastAsia="en-AU"/>
        </w:rPr>
      </w:pPr>
      <w:hyperlink w:anchor="_Toc443486902" w:history="1">
        <w:r w:rsidR="006E4257" w:rsidRPr="006E4257">
          <w:rPr>
            <w:rStyle w:val="Hyperlink"/>
          </w:rPr>
          <w:t>5</w:t>
        </w:r>
        <w:r w:rsidR="006E4257" w:rsidRPr="006E4257">
          <w:rPr>
            <w:rFonts w:asciiTheme="minorHAnsi" w:eastAsiaTheme="minorEastAsia" w:hAnsiTheme="minorHAnsi" w:cstheme="minorBidi"/>
            <w:lang w:eastAsia="en-AU"/>
          </w:rPr>
          <w:tab/>
        </w:r>
        <w:r w:rsidR="006E4257" w:rsidRPr="006E4257">
          <w:rPr>
            <w:rStyle w:val="Hyperlink"/>
          </w:rPr>
          <w:t>Date of Ceasing to have Effect</w:t>
        </w:r>
        <w:r w:rsidR="006E4257" w:rsidRPr="006E4257">
          <w:rPr>
            <w:webHidden/>
          </w:rPr>
          <w:tab/>
        </w:r>
        <w:r w:rsidR="006E4257" w:rsidRPr="006E4257">
          <w:rPr>
            <w:webHidden/>
          </w:rPr>
          <w:fldChar w:fldCharType="begin"/>
        </w:r>
        <w:r w:rsidR="006E4257" w:rsidRPr="006E4257">
          <w:rPr>
            <w:webHidden/>
          </w:rPr>
          <w:instrText xml:space="preserve"> PAGEREF _Toc443486902 \h </w:instrText>
        </w:r>
        <w:r w:rsidR="006E4257" w:rsidRPr="006E4257">
          <w:rPr>
            <w:webHidden/>
          </w:rPr>
        </w:r>
        <w:r w:rsidR="006E4257" w:rsidRPr="006E4257">
          <w:rPr>
            <w:webHidden/>
          </w:rPr>
          <w:fldChar w:fldCharType="separate"/>
        </w:r>
        <w:r w:rsidR="006C0DC0">
          <w:rPr>
            <w:webHidden/>
          </w:rPr>
          <w:t>E</w:t>
        </w:r>
        <w:r w:rsidR="006E4257" w:rsidRPr="006E4257">
          <w:rPr>
            <w:webHidden/>
          </w:rPr>
          <w:fldChar w:fldCharType="end"/>
        </w:r>
      </w:hyperlink>
    </w:p>
    <w:p w:rsidR="006E4257" w:rsidRPr="006E4257" w:rsidRDefault="00FD0D54" w:rsidP="006E4257">
      <w:pPr>
        <w:pStyle w:val="TOC2"/>
        <w:rPr>
          <w:rFonts w:asciiTheme="minorHAnsi" w:eastAsiaTheme="minorEastAsia" w:hAnsiTheme="minorHAnsi" w:cstheme="minorBidi"/>
          <w:lang w:eastAsia="en-AU"/>
        </w:rPr>
      </w:pPr>
      <w:hyperlink w:anchor="_Toc443486903" w:history="1">
        <w:r w:rsidR="006E4257" w:rsidRPr="006E4257">
          <w:rPr>
            <w:rStyle w:val="Hyperlink"/>
          </w:rPr>
          <w:t xml:space="preserve">6 </w:t>
        </w:r>
        <w:r w:rsidR="006E4257" w:rsidRPr="006E4257">
          <w:rPr>
            <w:rFonts w:asciiTheme="minorHAnsi" w:eastAsiaTheme="minorEastAsia" w:hAnsiTheme="minorHAnsi" w:cstheme="minorBidi"/>
            <w:lang w:eastAsia="en-AU"/>
          </w:rPr>
          <w:tab/>
        </w:r>
        <w:r w:rsidR="006E4257" w:rsidRPr="006E4257">
          <w:rPr>
            <w:rStyle w:val="Hyperlink"/>
          </w:rPr>
          <w:t>Date of Next Inquiry and Report</w:t>
        </w:r>
        <w:r w:rsidR="006E4257" w:rsidRPr="006E4257">
          <w:rPr>
            <w:webHidden/>
          </w:rPr>
          <w:tab/>
        </w:r>
        <w:r w:rsidR="006E4257" w:rsidRPr="006E4257">
          <w:rPr>
            <w:webHidden/>
          </w:rPr>
          <w:fldChar w:fldCharType="begin"/>
        </w:r>
        <w:r w:rsidR="006E4257" w:rsidRPr="006E4257">
          <w:rPr>
            <w:webHidden/>
          </w:rPr>
          <w:instrText xml:space="preserve"> PAGEREF _Toc443486903 \h </w:instrText>
        </w:r>
        <w:r w:rsidR="006E4257" w:rsidRPr="006E4257">
          <w:rPr>
            <w:webHidden/>
          </w:rPr>
        </w:r>
        <w:r w:rsidR="006E4257" w:rsidRPr="006E4257">
          <w:rPr>
            <w:webHidden/>
          </w:rPr>
          <w:fldChar w:fldCharType="separate"/>
        </w:r>
        <w:r w:rsidR="006C0DC0">
          <w:rPr>
            <w:webHidden/>
          </w:rPr>
          <w:t>E</w:t>
        </w:r>
        <w:r w:rsidR="006E4257" w:rsidRPr="006E4257">
          <w:rPr>
            <w:webHidden/>
          </w:rPr>
          <w:fldChar w:fldCharType="end"/>
        </w:r>
      </w:hyperlink>
    </w:p>
    <w:p w:rsidR="006E4257" w:rsidRPr="006E4257" w:rsidRDefault="00FD0D54">
      <w:pPr>
        <w:pStyle w:val="TOC1"/>
        <w:rPr>
          <w:rFonts w:asciiTheme="minorHAnsi" w:eastAsiaTheme="minorEastAsia" w:hAnsiTheme="minorHAnsi" w:cstheme="minorBidi"/>
          <w:b w:val="0"/>
          <w:lang w:eastAsia="en-AU"/>
        </w:rPr>
      </w:pPr>
      <w:hyperlink w:anchor="_Toc443486904" w:history="1">
        <w:r w:rsidR="006E4257" w:rsidRPr="006E4257">
          <w:rPr>
            <w:rStyle w:val="Hyperlink"/>
          </w:rPr>
          <w:t>Information and Recommendations</w:t>
        </w:r>
        <w:r w:rsidR="006E4257" w:rsidRPr="0061154A">
          <w:rPr>
            <w:b w:val="0"/>
            <w:webHidden/>
          </w:rPr>
          <w:tab/>
        </w:r>
        <w:r w:rsidR="006E4257" w:rsidRPr="0061154A">
          <w:rPr>
            <w:b w:val="0"/>
            <w:webHidden/>
          </w:rPr>
          <w:fldChar w:fldCharType="begin"/>
        </w:r>
        <w:r w:rsidR="006E4257" w:rsidRPr="0061154A">
          <w:rPr>
            <w:b w:val="0"/>
            <w:webHidden/>
          </w:rPr>
          <w:instrText xml:space="preserve"> PAGEREF _Toc443486904 \h </w:instrText>
        </w:r>
        <w:r w:rsidR="006E4257" w:rsidRPr="0061154A">
          <w:rPr>
            <w:b w:val="0"/>
            <w:webHidden/>
          </w:rPr>
        </w:r>
        <w:r w:rsidR="006E4257" w:rsidRPr="0061154A">
          <w:rPr>
            <w:b w:val="0"/>
            <w:webHidden/>
          </w:rPr>
          <w:fldChar w:fldCharType="separate"/>
        </w:r>
        <w:r w:rsidR="006C0DC0">
          <w:rPr>
            <w:b w:val="0"/>
            <w:webHidden/>
          </w:rPr>
          <w:t>1</w:t>
        </w:r>
        <w:r w:rsidR="006E4257" w:rsidRPr="0061154A">
          <w:rPr>
            <w:b w:val="0"/>
            <w:webHidden/>
          </w:rPr>
          <w:fldChar w:fldCharType="end"/>
        </w:r>
      </w:hyperlink>
    </w:p>
    <w:p w:rsidR="006E4257" w:rsidRPr="006E4257" w:rsidRDefault="00FD0D54">
      <w:pPr>
        <w:pStyle w:val="TOC1"/>
        <w:rPr>
          <w:rFonts w:asciiTheme="minorHAnsi" w:eastAsiaTheme="minorEastAsia" w:hAnsiTheme="minorHAnsi" w:cstheme="minorBidi"/>
          <w:b w:val="0"/>
          <w:lang w:eastAsia="en-AU"/>
        </w:rPr>
      </w:pPr>
      <w:hyperlink w:anchor="_Toc443486905" w:history="1">
        <w:r w:rsidR="006E4257" w:rsidRPr="006E4257">
          <w:rPr>
            <w:rStyle w:val="Hyperlink"/>
          </w:rPr>
          <w:t>1</w:t>
        </w:r>
        <w:r w:rsidR="006E4257" w:rsidRPr="006E4257">
          <w:rPr>
            <w:rFonts w:asciiTheme="minorHAnsi" w:eastAsiaTheme="minorEastAsia" w:hAnsiTheme="minorHAnsi" w:cstheme="minorBidi"/>
            <w:b w:val="0"/>
            <w:lang w:eastAsia="en-AU"/>
          </w:rPr>
          <w:tab/>
        </w:r>
        <w:r w:rsidR="006E4257" w:rsidRPr="006E4257">
          <w:rPr>
            <w:rStyle w:val="Hyperlink"/>
          </w:rPr>
          <w:t>Introduction</w:t>
        </w:r>
        <w:r w:rsidR="006E4257" w:rsidRPr="0061154A">
          <w:rPr>
            <w:b w:val="0"/>
            <w:webHidden/>
          </w:rPr>
          <w:tab/>
        </w:r>
        <w:r w:rsidR="006E4257" w:rsidRPr="0061154A">
          <w:rPr>
            <w:b w:val="0"/>
            <w:webHidden/>
          </w:rPr>
          <w:fldChar w:fldCharType="begin"/>
        </w:r>
        <w:r w:rsidR="006E4257" w:rsidRPr="0061154A">
          <w:rPr>
            <w:b w:val="0"/>
            <w:webHidden/>
          </w:rPr>
          <w:instrText xml:space="preserve"> PAGEREF _Toc443486905 \h </w:instrText>
        </w:r>
        <w:r w:rsidR="006E4257" w:rsidRPr="0061154A">
          <w:rPr>
            <w:b w:val="0"/>
            <w:webHidden/>
          </w:rPr>
        </w:r>
        <w:r w:rsidR="006E4257" w:rsidRPr="0061154A">
          <w:rPr>
            <w:b w:val="0"/>
            <w:webHidden/>
          </w:rPr>
          <w:fldChar w:fldCharType="separate"/>
        </w:r>
        <w:r w:rsidR="006C0DC0">
          <w:rPr>
            <w:b w:val="0"/>
            <w:webHidden/>
          </w:rPr>
          <w:t>1</w:t>
        </w:r>
        <w:r w:rsidR="006E4257" w:rsidRPr="0061154A">
          <w:rPr>
            <w:b w:val="0"/>
            <w:webHidden/>
          </w:rPr>
          <w:fldChar w:fldCharType="end"/>
        </w:r>
      </w:hyperlink>
    </w:p>
    <w:p w:rsidR="006E4257" w:rsidRPr="006E4257" w:rsidRDefault="00FD0D54">
      <w:pPr>
        <w:pStyle w:val="TOC1"/>
        <w:rPr>
          <w:rFonts w:asciiTheme="minorHAnsi" w:eastAsiaTheme="minorEastAsia" w:hAnsiTheme="minorHAnsi" w:cstheme="minorBidi"/>
          <w:b w:val="0"/>
          <w:lang w:eastAsia="en-AU"/>
        </w:rPr>
      </w:pPr>
      <w:hyperlink w:anchor="_Toc443486906" w:history="1">
        <w:r w:rsidR="006E4257" w:rsidRPr="006E4257">
          <w:rPr>
            <w:rStyle w:val="Hyperlink"/>
          </w:rPr>
          <w:t>2</w:t>
        </w:r>
        <w:r w:rsidR="006E4257" w:rsidRPr="006E4257">
          <w:rPr>
            <w:rFonts w:asciiTheme="minorHAnsi" w:eastAsiaTheme="minorEastAsia" w:hAnsiTheme="minorHAnsi" w:cstheme="minorBidi"/>
            <w:b w:val="0"/>
            <w:lang w:eastAsia="en-AU"/>
          </w:rPr>
          <w:tab/>
        </w:r>
        <w:r w:rsidR="006E4257" w:rsidRPr="006E4257">
          <w:rPr>
            <w:rStyle w:val="Hyperlink"/>
          </w:rPr>
          <w:t>Matters to be Determined</w:t>
        </w:r>
        <w:r w:rsidR="006E4257" w:rsidRPr="0061154A">
          <w:rPr>
            <w:b w:val="0"/>
            <w:webHidden/>
          </w:rPr>
          <w:tab/>
        </w:r>
        <w:r w:rsidR="006E4257" w:rsidRPr="0061154A">
          <w:rPr>
            <w:b w:val="0"/>
            <w:webHidden/>
          </w:rPr>
          <w:fldChar w:fldCharType="begin"/>
        </w:r>
        <w:r w:rsidR="006E4257" w:rsidRPr="0061154A">
          <w:rPr>
            <w:b w:val="0"/>
            <w:webHidden/>
          </w:rPr>
          <w:instrText xml:space="preserve"> PAGEREF _Toc443486906 \h </w:instrText>
        </w:r>
        <w:r w:rsidR="006E4257" w:rsidRPr="0061154A">
          <w:rPr>
            <w:b w:val="0"/>
            <w:webHidden/>
          </w:rPr>
        </w:r>
        <w:r w:rsidR="006E4257" w:rsidRPr="0061154A">
          <w:rPr>
            <w:b w:val="0"/>
            <w:webHidden/>
          </w:rPr>
          <w:fldChar w:fldCharType="separate"/>
        </w:r>
        <w:r w:rsidR="006C0DC0">
          <w:rPr>
            <w:b w:val="0"/>
            <w:webHidden/>
          </w:rPr>
          <w:t>2</w:t>
        </w:r>
        <w:r w:rsidR="006E4257" w:rsidRPr="0061154A">
          <w:rPr>
            <w:b w:val="0"/>
            <w:webHidden/>
          </w:rPr>
          <w:fldChar w:fldCharType="end"/>
        </w:r>
      </w:hyperlink>
    </w:p>
    <w:p w:rsidR="006E4257" w:rsidRPr="006E4257" w:rsidRDefault="00FD0D54">
      <w:pPr>
        <w:pStyle w:val="TOC1"/>
        <w:rPr>
          <w:rFonts w:asciiTheme="minorHAnsi" w:eastAsiaTheme="minorEastAsia" w:hAnsiTheme="minorHAnsi" w:cstheme="minorBidi"/>
          <w:b w:val="0"/>
          <w:lang w:eastAsia="en-AU"/>
        </w:rPr>
      </w:pPr>
      <w:hyperlink w:anchor="_Toc443486907" w:history="1">
        <w:r w:rsidR="006E4257" w:rsidRPr="006E4257">
          <w:rPr>
            <w:rStyle w:val="Hyperlink"/>
          </w:rPr>
          <w:t>3</w:t>
        </w:r>
        <w:r w:rsidR="006E4257" w:rsidRPr="006E4257">
          <w:rPr>
            <w:rFonts w:asciiTheme="minorHAnsi" w:eastAsiaTheme="minorEastAsia" w:hAnsiTheme="minorHAnsi" w:cstheme="minorBidi"/>
            <w:b w:val="0"/>
            <w:lang w:eastAsia="en-AU"/>
          </w:rPr>
          <w:tab/>
        </w:r>
        <w:r w:rsidR="006E4257" w:rsidRPr="006E4257">
          <w:rPr>
            <w:rStyle w:val="Hyperlink"/>
          </w:rPr>
          <w:t>The 2014 Report</w:t>
        </w:r>
        <w:r w:rsidR="006E4257" w:rsidRPr="0061154A">
          <w:rPr>
            <w:b w:val="0"/>
            <w:webHidden/>
          </w:rPr>
          <w:tab/>
        </w:r>
        <w:r w:rsidR="006E4257" w:rsidRPr="0061154A">
          <w:rPr>
            <w:b w:val="0"/>
            <w:webHidden/>
          </w:rPr>
          <w:fldChar w:fldCharType="begin"/>
        </w:r>
        <w:r w:rsidR="006E4257" w:rsidRPr="0061154A">
          <w:rPr>
            <w:b w:val="0"/>
            <w:webHidden/>
          </w:rPr>
          <w:instrText xml:space="preserve"> PAGEREF _Toc443486907 \h </w:instrText>
        </w:r>
        <w:r w:rsidR="006E4257" w:rsidRPr="0061154A">
          <w:rPr>
            <w:b w:val="0"/>
            <w:webHidden/>
          </w:rPr>
        </w:r>
        <w:r w:rsidR="006E4257" w:rsidRPr="0061154A">
          <w:rPr>
            <w:b w:val="0"/>
            <w:webHidden/>
          </w:rPr>
          <w:fldChar w:fldCharType="separate"/>
        </w:r>
        <w:r w:rsidR="006C0DC0">
          <w:rPr>
            <w:b w:val="0"/>
            <w:webHidden/>
          </w:rPr>
          <w:t>3</w:t>
        </w:r>
        <w:r w:rsidR="006E4257" w:rsidRPr="0061154A">
          <w:rPr>
            <w:b w:val="0"/>
            <w:webHidden/>
          </w:rPr>
          <w:fldChar w:fldCharType="end"/>
        </w:r>
      </w:hyperlink>
    </w:p>
    <w:p w:rsidR="006E4257" w:rsidRPr="006E4257" w:rsidRDefault="00FD0D54">
      <w:pPr>
        <w:pStyle w:val="TOC1"/>
        <w:rPr>
          <w:rFonts w:asciiTheme="minorHAnsi" w:eastAsiaTheme="minorEastAsia" w:hAnsiTheme="minorHAnsi" w:cstheme="minorBidi"/>
          <w:b w:val="0"/>
          <w:lang w:eastAsia="en-AU"/>
        </w:rPr>
      </w:pPr>
      <w:hyperlink w:anchor="_Toc443486908" w:history="1">
        <w:r w:rsidR="006E4257" w:rsidRPr="006E4257">
          <w:rPr>
            <w:rStyle w:val="Hyperlink"/>
          </w:rPr>
          <w:t>4</w:t>
        </w:r>
        <w:r w:rsidR="006E4257" w:rsidRPr="006E4257">
          <w:rPr>
            <w:rFonts w:asciiTheme="minorHAnsi" w:eastAsiaTheme="minorEastAsia" w:hAnsiTheme="minorHAnsi" w:cstheme="minorBidi"/>
            <w:b w:val="0"/>
            <w:lang w:eastAsia="en-AU"/>
          </w:rPr>
          <w:tab/>
        </w:r>
        <w:r w:rsidR="006E4257" w:rsidRPr="006E4257">
          <w:rPr>
            <w:rStyle w:val="Hyperlink"/>
          </w:rPr>
          <w:t>Process and Methodology</w:t>
        </w:r>
        <w:r w:rsidR="006E4257" w:rsidRPr="0061154A">
          <w:rPr>
            <w:b w:val="0"/>
            <w:webHidden/>
          </w:rPr>
          <w:tab/>
        </w:r>
        <w:r w:rsidR="006E4257" w:rsidRPr="0061154A">
          <w:rPr>
            <w:b w:val="0"/>
            <w:webHidden/>
          </w:rPr>
          <w:fldChar w:fldCharType="begin"/>
        </w:r>
        <w:r w:rsidR="006E4257" w:rsidRPr="0061154A">
          <w:rPr>
            <w:b w:val="0"/>
            <w:webHidden/>
          </w:rPr>
          <w:instrText xml:space="preserve"> PAGEREF _Toc443486908 \h </w:instrText>
        </w:r>
        <w:r w:rsidR="006E4257" w:rsidRPr="0061154A">
          <w:rPr>
            <w:b w:val="0"/>
            <w:webHidden/>
          </w:rPr>
        </w:r>
        <w:r w:rsidR="006E4257" w:rsidRPr="0061154A">
          <w:rPr>
            <w:b w:val="0"/>
            <w:webHidden/>
          </w:rPr>
          <w:fldChar w:fldCharType="separate"/>
        </w:r>
        <w:r w:rsidR="006C0DC0">
          <w:rPr>
            <w:b w:val="0"/>
            <w:webHidden/>
          </w:rPr>
          <w:t>4</w:t>
        </w:r>
        <w:r w:rsidR="006E4257" w:rsidRPr="0061154A">
          <w:rPr>
            <w:b w:val="0"/>
            <w:webHidden/>
          </w:rPr>
          <w:fldChar w:fldCharType="end"/>
        </w:r>
      </w:hyperlink>
    </w:p>
    <w:p w:rsidR="006E4257" w:rsidRPr="006E4257" w:rsidRDefault="00FD0D54">
      <w:pPr>
        <w:pStyle w:val="TOC1"/>
        <w:rPr>
          <w:rFonts w:asciiTheme="minorHAnsi" w:eastAsiaTheme="minorEastAsia" w:hAnsiTheme="minorHAnsi" w:cstheme="minorBidi"/>
          <w:b w:val="0"/>
          <w:lang w:eastAsia="en-AU"/>
        </w:rPr>
      </w:pPr>
      <w:hyperlink w:anchor="_Toc443486909" w:history="1">
        <w:r w:rsidR="006E4257" w:rsidRPr="006E4257">
          <w:rPr>
            <w:rStyle w:val="Hyperlink"/>
          </w:rPr>
          <w:t>5</w:t>
        </w:r>
        <w:r w:rsidR="006E4257" w:rsidRPr="006E4257">
          <w:rPr>
            <w:rFonts w:asciiTheme="minorHAnsi" w:eastAsiaTheme="minorEastAsia" w:hAnsiTheme="minorHAnsi" w:cstheme="minorBidi"/>
            <w:b w:val="0"/>
            <w:lang w:eastAsia="en-AU"/>
          </w:rPr>
          <w:tab/>
        </w:r>
        <w:r w:rsidR="006E4257" w:rsidRPr="006E4257">
          <w:rPr>
            <w:rStyle w:val="Hyperlink"/>
          </w:rPr>
          <w:t>The Basic Salary</w:t>
        </w:r>
        <w:r w:rsidR="006E4257" w:rsidRPr="0061154A">
          <w:rPr>
            <w:b w:val="0"/>
            <w:webHidden/>
          </w:rPr>
          <w:tab/>
        </w:r>
        <w:r w:rsidR="006E4257" w:rsidRPr="0061154A">
          <w:rPr>
            <w:b w:val="0"/>
            <w:webHidden/>
          </w:rPr>
          <w:fldChar w:fldCharType="begin"/>
        </w:r>
        <w:r w:rsidR="006E4257" w:rsidRPr="0061154A">
          <w:rPr>
            <w:b w:val="0"/>
            <w:webHidden/>
          </w:rPr>
          <w:instrText xml:space="preserve"> PAGEREF _Toc443486909 \h </w:instrText>
        </w:r>
        <w:r w:rsidR="006E4257" w:rsidRPr="0061154A">
          <w:rPr>
            <w:b w:val="0"/>
            <w:webHidden/>
          </w:rPr>
        </w:r>
        <w:r w:rsidR="006E4257" w:rsidRPr="0061154A">
          <w:rPr>
            <w:b w:val="0"/>
            <w:webHidden/>
          </w:rPr>
          <w:fldChar w:fldCharType="separate"/>
        </w:r>
        <w:r w:rsidR="006C0DC0">
          <w:rPr>
            <w:b w:val="0"/>
            <w:webHidden/>
          </w:rPr>
          <w:t>5</w:t>
        </w:r>
        <w:r w:rsidR="006E4257" w:rsidRPr="0061154A">
          <w:rPr>
            <w:b w:val="0"/>
            <w:webHidden/>
          </w:rPr>
          <w:fldChar w:fldCharType="end"/>
        </w:r>
      </w:hyperlink>
    </w:p>
    <w:p w:rsidR="006E4257" w:rsidRPr="006E4257" w:rsidRDefault="00FD0D54" w:rsidP="006E4257">
      <w:pPr>
        <w:pStyle w:val="TOC2"/>
        <w:rPr>
          <w:rFonts w:asciiTheme="minorHAnsi" w:eastAsiaTheme="minorEastAsia" w:hAnsiTheme="minorHAnsi" w:cstheme="minorBidi"/>
          <w:lang w:eastAsia="en-AU"/>
        </w:rPr>
      </w:pPr>
      <w:hyperlink w:anchor="_Toc443486910" w:history="1">
        <w:r w:rsidR="006E4257" w:rsidRPr="006E4257">
          <w:rPr>
            <w:rStyle w:val="Hyperlink"/>
          </w:rPr>
          <w:t xml:space="preserve">5.1 </w:t>
        </w:r>
        <w:r w:rsidR="006E4257" w:rsidRPr="006E4257">
          <w:rPr>
            <w:rFonts w:asciiTheme="minorHAnsi" w:eastAsiaTheme="minorEastAsia" w:hAnsiTheme="minorHAnsi" w:cstheme="minorBidi"/>
            <w:lang w:eastAsia="en-AU"/>
          </w:rPr>
          <w:tab/>
        </w:r>
        <w:r w:rsidR="006E4257" w:rsidRPr="006E4257">
          <w:rPr>
            <w:rStyle w:val="Hyperlink"/>
          </w:rPr>
          <w:t>Information</w:t>
        </w:r>
        <w:r w:rsidR="006E4257" w:rsidRPr="006E4257">
          <w:rPr>
            <w:webHidden/>
          </w:rPr>
          <w:tab/>
        </w:r>
        <w:r w:rsidR="006E4257" w:rsidRPr="006E4257">
          <w:rPr>
            <w:webHidden/>
          </w:rPr>
          <w:fldChar w:fldCharType="begin"/>
        </w:r>
        <w:r w:rsidR="006E4257" w:rsidRPr="006E4257">
          <w:rPr>
            <w:webHidden/>
          </w:rPr>
          <w:instrText xml:space="preserve"> PAGEREF _Toc443486910 \h </w:instrText>
        </w:r>
        <w:r w:rsidR="006E4257" w:rsidRPr="006E4257">
          <w:rPr>
            <w:webHidden/>
          </w:rPr>
        </w:r>
        <w:r w:rsidR="006E4257" w:rsidRPr="006E4257">
          <w:rPr>
            <w:webHidden/>
          </w:rPr>
          <w:fldChar w:fldCharType="separate"/>
        </w:r>
        <w:r w:rsidR="006C0DC0">
          <w:rPr>
            <w:webHidden/>
          </w:rPr>
          <w:t>5</w:t>
        </w:r>
        <w:r w:rsidR="006E4257" w:rsidRPr="006E4257">
          <w:rPr>
            <w:webHidden/>
          </w:rPr>
          <w:fldChar w:fldCharType="end"/>
        </w:r>
      </w:hyperlink>
    </w:p>
    <w:p w:rsidR="006E4257" w:rsidRPr="006E4257" w:rsidRDefault="00FD0D54">
      <w:pPr>
        <w:pStyle w:val="TOC3"/>
        <w:tabs>
          <w:tab w:val="left" w:pos="1320"/>
          <w:tab w:val="right" w:leader="dot" w:pos="9016"/>
        </w:tabs>
        <w:rPr>
          <w:rFonts w:asciiTheme="minorHAnsi" w:eastAsiaTheme="minorEastAsia" w:hAnsiTheme="minorHAnsi" w:cstheme="minorBidi"/>
          <w:noProof/>
          <w:sz w:val="16"/>
          <w:szCs w:val="16"/>
          <w:lang w:eastAsia="en-AU"/>
        </w:rPr>
      </w:pPr>
      <w:hyperlink w:anchor="_Toc443486911" w:history="1">
        <w:r w:rsidR="006E4257" w:rsidRPr="006E4257">
          <w:rPr>
            <w:rStyle w:val="Hyperlink"/>
            <w:noProof/>
            <w:sz w:val="16"/>
            <w:szCs w:val="16"/>
          </w:rPr>
          <w:t>5.1.1</w:t>
        </w:r>
        <w:r w:rsidR="006E4257" w:rsidRPr="006E4257">
          <w:rPr>
            <w:rFonts w:asciiTheme="minorHAnsi" w:eastAsiaTheme="minorEastAsia" w:hAnsiTheme="minorHAnsi" w:cstheme="minorBidi"/>
            <w:noProof/>
            <w:sz w:val="16"/>
            <w:szCs w:val="16"/>
            <w:lang w:eastAsia="en-AU"/>
          </w:rPr>
          <w:tab/>
        </w:r>
        <w:r w:rsidR="006E4257" w:rsidRPr="006E4257">
          <w:rPr>
            <w:rStyle w:val="Hyperlink"/>
            <w:noProof/>
            <w:sz w:val="16"/>
            <w:szCs w:val="16"/>
          </w:rPr>
          <w:t>Role of an MP</w:t>
        </w:r>
        <w:r w:rsidR="006E4257" w:rsidRPr="006E4257">
          <w:rPr>
            <w:noProof/>
            <w:webHidden/>
            <w:sz w:val="16"/>
            <w:szCs w:val="16"/>
          </w:rPr>
          <w:tab/>
        </w:r>
        <w:r w:rsidR="006E4257" w:rsidRPr="006E4257">
          <w:rPr>
            <w:noProof/>
            <w:webHidden/>
            <w:sz w:val="16"/>
            <w:szCs w:val="16"/>
          </w:rPr>
          <w:fldChar w:fldCharType="begin"/>
        </w:r>
        <w:r w:rsidR="006E4257" w:rsidRPr="006E4257">
          <w:rPr>
            <w:noProof/>
            <w:webHidden/>
            <w:sz w:val="16"/>
            <w:szCs w:val="16"/>
          </w:rPr>
          <w:instrText xml:space="preserve"> PAGEREF _Toc443486911 \h </w:instrText>
        </w:r>
        <w:r w:rsidR="006E4257" w:rsidRPr="006E4257">
          <w:rPr>
            <w:noProof/>
            <w:webHidden/>
            <w:sz w:val="16"/>
            <w:szCs w:val="16"/>
          </w:rPr>
        </w:r>
        <w:r w:rsidR="006E4257" w:rsidRPr="006E4257">
          <w:rPr>
            <w:noProof/>
            <w:webHidden/>
            <w:sz w:val="16"/>
            <w:szCs w:val="16"/>
          </w:rPr>
          <w:fldChar w:fldCharType="separate"/>
        </w:r>
        <w:r w:rsidR="006C0DC0">
          <w:rPr>
            <w:noProof/>
            <w:webHidden/>
            <w:sz w:val="16"/>
            <w:szCs w:val="16"/>
          </w:rPr>
          <w:t>6</w:t>
        </w:r>
        <w:r w:rsidR="006E4257" w:rsidRPr="006E4257">
          <w:rPr>
            <w:noProof/>
            <w:webHidden/>
            <w:sz w:val="16"/>
            <w:szCs w:val="16"/>
          </w:rPr>
          <w:fldChar w:fldCharType="end"/>
        </w:r>
      </w:hyperlink>
    </w:p>
    <w:p w:rsidR="006E4257" w:rsidRPr="006E4257" w:rsidRDefault="00FD0D54">
      <w:pPr>
        <w:pStyle w:val="TOC3"/>
        <w:tabs>
          <w:tab w:val="left" w:pos="1320"/>
          <w:tab w:val="right" w:leader="dot" w:pos="9016"/>
        </w:tabs>
        <w:rPr>
          <w:rFonts w:asciiTheme="minorHAnsi" w:eastAsiaTheme="minorEastAsia" w:hAnsiTheme="minorHAnsi" w:cstheme="minorBidi"/>
          <w:noProof/>
          <w:sz w:val="16"/>
          <w:szCs w:val="16"/>
          <w:lang w:eastAsia="en-AU"/>
        </w:rPr>
      </w:pPr>
      <w:hyperlink w:anchor="_Toc443486912" w:history="1">
        <w:r w:rsidR="006E4257" w:rsidRPr="006E4257">
          <w:rPr>
            <w:rStyle w:val="Hyperlink"/>
            <w:noProof/>
            <w:sz w:val="16"/>
            <w:szCs w:val="16"/>
          </w:rPr>
          <w:t>5.1.2</w:t>
        </w:r>
        <w:r w:rsidR="006E4257" w:rsidRPr="006E4257">
          <w:rPr>
            <w:rFonts w:asciiTheme="minorHAnsi" w:eastAsiaTheme="minorEastAsia" w:hAnsiTheme="minorHAnsi" w:cstheme="minorBidi"/>
            <w:noProof/>
            <w:sz w:val="16"/>
            <w:szCs w:val="16"/>
            <w:lang w:eastAsia="en-AU"/>
          </w:rPr>
          <w:tab/>
        </w:r>
        <w:r w:rsidR="006E4257" w:rsidRPr="006E4257">
          <w:rPr>
            <w:rStyle w:val="Hyperlink"/>
            <w:noProof/>
            <w:sz w:val="16"/>
            <w:szCs w:val="16"/>
          </w:rPr>
          <w:t>Salary Relativity with other State and Territory Parliaments</w:t>
        </w:r>
        <w:r w:rsidR="006E4257" w:rsidRPr="006E4257">
          <w:rPr>
            <w:noProof/>
            <w:webHidden/>
            <w:sz w:val="16"/>
            <w:szCs w:val="16"/>
          </w:rPr>
          <w:tab/>
        </w:r>
        <w:r w:rsidR="006E4257" w:rsidRPr="006E4257">
          <w:rPr>
            <w:noProof/>
            <w:webHidden/>
            <w:sz w:val="16"/>
            <w:szCs w:val="16"/>
          </w:rPr>
          <w:fldChar w:fldCharType="begin"/>
        </w:r>
        <w:r w:rsidR="006E4257" w:rsidRPr="006E4257">
          <w:rPr>
            <w:noProof/>
            <w:webHidden/>
            <w:sz w:val="16"/>
            <w:szCs w:val="16"/>
          </w:rPr>
          <w:instrText xml:space="preserve"> PAGEREF _Toc443486912 \h </w:instrText>
        </w:r>
        <w:r w:rsidR="006E4257" w:rsidRPr="006E4257">
          <w:rPr>
            <w:noProof/>
            <w:webHidden/>
            <w:sz w:val="16"/>
            <w:szCs w:val="16"/>
          </w:rPr>
        </w:r>
        <w:r w:rsidR="006E4257" w:rsidRPr="006E4257">
          <w:rPr>
            <w:noProof/>
            <w:webHidden/>
            <w:sz w:val="16"/>
            <w:szCs w:val="16"/>
          </w:rPr>
          <w:fldChar w:fldCharType="separate"/>
        </w:r>
        <w:r w:rsidR="006C0DC0">
          <w:rPr>
            <w:noProof/>
            <w:webHidden/>
            <w:sz w:val="16"/>
            <w:szCs w:val="16"/>
          </w:rPr>
          <w:t>8</w:t>
        </w:r>
        <w:r w:rsidR="006E4257" w:rsidRPr="006E4257">
          <w:rPr>
            <w:noProof/>
            <w:webHidden/>
            <w:sz w:val="16"/>
            <w:szCs w:val="16"/>
          </w:rPr>
          <w:fldChar w:fldCharType="end"/>
        </w:r>
      </w:hyperlink>
    </w:p>
    <w:p w:rsidR="006E4257" w:rsidRPr="006E4257" w:rsidRDefault="00FD0D54">
      <w:pPr>
        <w:pStyle w:val="TOC3"/>
        <w:tabs>
          <w:tab w:val="left" w:pos="1320"/>
          <w:tab w:val="right" w:leader="dot" w:pos="9016"/>
        </w:tabs>
        <w:rPr>
          <w:rFonts w:asciiTheme="minorHAnsi" w:eastAsiaTheme="minorEastAsia" w:hAnsiTheme="minorHAnsi" w:cstheme="minorBidi"/>
          <w:noProof/>
          <w:sz w:val="16"/>
          <w:szCs w:val="16"/>
          <w:lang w:eastAsia="en-AU"/>
        </w:rPr>
      </w:pPr>
      <w:hyperlink w:anchor="_Toc443486913" w:history="1">
        <w:r w:rsidR="006E4257" w:rsidRPr="006E4257">
          <w:rPr>
            <w:rStyle w:val="Hyperlink"/>
            <w:noProof/>
            <w:sz w:val="16"/>
            <w:szCs w:val="16"/>
          </w:rPr>
          <w:t>5.1.3</w:t>
        </w:r>
        <w:r w:rsidR="006E4257" w:rsidRPr="006E4257">
          <w:rPr>
            <w:rFonts w:asciiTheme="minorHAnsi" w:eastAsiaTheme="minorEastAsia" w:hAnsiTheme="minorHAnsi" w:cstheme="minorBidi"/>
            <w:noProof/>
            <w:sz w:val="16"/>
            <w:szCs w:val="16"/>
            <w:lang w:eastAsia="en-AU"/>
          </w:rPr>
          <w:tab/>
        </w:r>
        <w:r w:rsidR="006E4257" w:rsidRPr="006E4257">
          <w:rPr>
            <w:rStyle w:val="Hyperlink"/>
            <w:noProof/>
            <w:sz w:val="16"/>
            <w:szCs w:val="16"/>
          </w:rPr>
          <w:t>Other Statistical Measures</w:t>
        </w:r>
        <w:r w:rsidR="006E4257" w:rsidRPr="006E4257">
          <w:rPr>
            <w:noProof/>
            <w:webHidden/>
            <w:sz w:val="16"/>
            <w:szCs w:val="16"/>
          </w:rPr>
          <w:tab/>
        </w:r>
        <w:r w:rsidR="006E4257" w:rsidRPr="006E4257">
          <w:rPr>
            <w:noProof/>
            <w:webHidden/>
            <w:sz w:val="16"/>
            <w:szCs w:val="16"/>
          </w:rPr>
          <w:fldChar w:fldCharType="begin"/>
        </w:r>
        <w:r w:rsidR="006E4257" w:rsidRPr="006E4257">
          <w:rPr>
            <w:noProof/>
            <w:webHidden/>
            <w:sz w:val="16"/>
            <w:szCs w:val="16"/>
          </w:rPr>
          <w:instrText xml:space="preserve"> PAGEREF _Toc443486913 \h </w:instrText>
        </w:r>
        <w:r w:rsidR="006E4257" w:rsidRPr="006E4257">
          <w:rPr>
            <w:noProof/>
            <w:webHidden/>
            <w:sz w:val="16"/>
            <w:szCs w:val="16"/>
          </w:rPr>
        </w:r>
        <w:r w:rsidR="006E4257" w:rsidRPr="006E4257">
          <w:rPr>
            <w:noProof/>
            <w:webHidden/>
            <w:sz w:val="16"/>
            <w:szCs w:val="16"/>
          </w:rPr>
          <w:fldChar w:fldCharType="separate"/>
        </w:r>
        <w:r w:rsidR="006C0DC0">
          <w:rPr>
            <w:noProof/>
            <w:webHidden/>
            <w:sz w:val="16"/>
            <w:szCs w:val="16"/>
          </w:rPr>
          <w:t>12</w:t>
        </w:r>
        <w:r w:rsidR="006E4257" w:rsidRPr="006E4257">
          <w:rPr>
            <w:noProof/>
            <w:webHidden/>
            <w:sz w:val="16"/>
            <w:szCs w:val="16"/>
          </w:rPr>
          <w:fldChar w:fldCharType="end"/>
        </w:r>
      </w:hyperlink>
    </w:p>
    <w:p w:rsidR="006E4257" w:rsidRPr="006E4257" w:rsidRDefault="00FD0D54">
      <w:pPr>
        <w:pStyle w:val="TOC3"/>
        <w:tabs>
          <w:tab w:val="left" w:pos="1320"/>
          <w:tab w:val="right" w:leader="dot" w:pos="9016"/>
        </w:tabs>
        <w:rPr>
          <w:rFonts w:asciiTheme="minorHAnsi" w:eastAsiaTheme="minorEastAsia" w:hAnsiTheme="minorHAnsi" w:cstheme="minorBidi"/>
          <w:noProof/>
          <w:sz w:val="16"/>
          <w:szCs w:val="16"/>
          <w:lang w:eastAsia="en-AU"/>
        </w:rPr>
      </w:pPr>
      <w:hyperlink w:anchor="_Toc443486914" w:history="1">
        <w:r w:rsidR="006E4257" w:rsidRPr="006E4257">
          <w:rPr>
            <w:rStyle w:val="Hyperlink"/>
            <w:noProof/>
            <w:sz w:val="16"/>
            <w:szCs w:val="16"/>
          </w:rPr>
          <w:t>5.1.4</w:t>
        </w:r>
        <w:r w:rsidR="006E4257" w:rsidRPr="006E4257">
          <w:rPr>
            <w:rFonts w:asciiTheme="minorHAnsi" w:eastAsiaTheme="minorEastAsia" w:hAnsiTheme="minorHAnsi" w:cstheme="minorBidi"/>
            <w:noProof/>
            <w:sz w:val="16"/>
            <w:szCs w:val="16"/>
            <w:lang w:eastAsia="en-AU"/>
          </w:rPr>
          <w:tab/>
        </w:r>
        <w:r w:rsidR="006E4257" w:rsidRPr="006E4257">
          <w:rPr>
            <w:rStyle w:val="Hyperlink"/>
            <w:noProof/>
            <w:sz w:val="16"/>
            <w:szCs w:val="16"/>
          </w:rPr>
          <w:t>Comparison between Basic Salary and Representative Public Service Positions</w:t>
        </w:r>
        <w:r w:rsidR="006E4257" w:rsidRPr="006E4257">
          <w:rPr>
            <w:noProof/>
            <w:webHidden/>
            <w:sz w:val="16"/>
            <w:szCs w:val="16"/>
          </w:rPr>
          <w:tab/>
        </w:r>
        <w:r w:rsidR="006E4257" w:rsidRPr="006E4257">
          <w:rPr>
            <w:noProof/>
            <w:webHidden/>
            <w:sz w:val="16"/>
            <w:szCs w:val="16"/>
          </w:rPr>
          <w:fldChar w:fldCharType="begin"/>
        </w:r>
        <w:r w:rsidR="006E4257" w:rsidRPr="006E4257">
          <w:rPr>
            <w:noProof/>
            <w:webHidden/>
            <w:sz w:val="16"/>
            <w:szCs w:val="16"/>
          </w:rPr>
          <w:instrText xml:space="preserve"> PAGEREF _Toc443486914 \h </w:instrText>
        </w:r>
        <w:r w:rsidR="006E4257" w:rsidRPr="006E4257">
          <w:rPr>
            <w:noProof/>
            <w:webHidden/>
            <w:sz w:val="16"/>
            <w:szCs w:val="16"/>
          </w:rPr>
        </w:r>
        <w:r w:rsidR="006E4257" w:rsidRPr="006E4257">
          <w:rPr>
            <w:noProof/>
            <w:webHidden/>
            <w:sz w:val="16"/>
            <w:szCs w:val="16"/>
          </w:rPr>
          <w:fldChar w:fldCharType="separate"/>
        </w:r>
        <w:r w:rsidR="006C0DC0">
          <w:rPr>
            <w:noProof/>
            <w:webHidden/>
            <w:sz w:val="16"/>
            <w:szCs w:val="16"/>
          </w:rPr>
          <w:t>13</w:t>
        </w:r>
        <w:r w:rsidR="006E4257" w:rsidRPr="006E4257">
          <w:rPr>
            <w:noProof/>
            <w:webHidden/>
            <w:sz w:val="16"/>
            <w:szCs w:val="16"/>
          </w:rPr>
          <w:fldChar w:fldCharType="end"/>
        </w:r>
      </w:hyperlink>
    </w:p>
    <w:p w:rsidR="006E4257" w:rsidRPr="006E4257" w:rsidRDefault="00FD0D54">
      <w:pPr>
        <w:pStyle w:val="TOC3"/>
        <w:tabs>
          <w:tab w:val="left" w:pos="1320"/>
          <w:tab w:val="right" w:leader="dot" w:pos="9016"/>
        </w:tabs>
        <w:rPr>
          <w:rFonts w:asciiTheme="minorHAnsi" w:eastAsiaTheme="minorEastAsia" w:hAnsiTheme="minorHAnsi" w:cstheme="minorBidi"/>
          <w:noProof/>
          <w:sz w:val="16"/>
          <w:szCs w:val="16"/>
          <w:lang w:eastAsia="en-AU"/>
        </w:rPr>
      </w:pPr>
      <w:hyperlink w:anchor="_Toc443486915" w:history="1">
        <w:r w:rsidR="006E4257" w:rsidRPr="006E4257">
          <w:rPr>
            <w:rStyle w:val="Hyperlink"/>
            <w:noProof/>
            <w:sz w:val="16"/>
            <w:szCs w:val="16"/>
          </w:rPr>
          <w:t>5.1.5</w:t>
        </w:r>
        <w:r w:rsidR="006E4257" w:rsidRPr="006E4257">
          <w:rPr>
            <w:rFonts w:asciiTheme="minorHAnsi" w:eastAsiaTheme="minorEastAsia" w:hAnsiTheme="minorHAnsi" w:cstheme="minorBidi"/>
            <w:noProof/>
            <w:sz w:val="16"/>
            <w:szCs w:val="16"/>
            <w:lang w:eastAsia="en-AU"/>
          </w:rPr>
          <w:tab/>
        </w:r>
        <w:r w:rsidR="006E4257" w:rsidRPr="006E4257">
          <w:rPr>
            <w:rStyle w:val="Hyperlink"/>
            <w:noProof/>
            <w:sz w:val="16"/>
            <w:szCs w:val="16"/>
          </w:rPr>
          <w:t>Demographics and Budget Outlays</w:t>
        </w:r>
        <w:r w:rsidR="006E4257" w:rsidRPr="006E4257">
          <w:rPr>
            <w:noProof/>
            <w:webHidden/>
            <w:sz w:val="16"/>
            <w:szCs w:val="16"/>
          </w:rPr>
          <w:tab/>
        </w:r>
        <w:r w:rsidR="006E4257" w:rsidRPr="006E4257">
          <w:rPr>
            <w:noProof/>
            <w:webHidden/>
            <w:sz w:val="16"/>
            <w:szCs w:val="16"/>
          </w:rPr>
          <w:fldChar w:fldCharType="begin"/>
        </w:r>
        <w:r w:rsidR="006E4257" w:rsidRPr="006E4257">
          <w:rPr>
            <w:noProof/>
            <w:webHidden/>
            <w:sz w:val="16"/>
            <w:szCs w:val="16"/>
          </w:rPr>
          <w:instrText xml:space="preserve"> PAGEREF _Toc443486915 \h </w:instrText>
        </w:r>
        <w:r w:rsidR="006E4257" w:rsidRPr="006E4257">
          <w:rPr>
            <w:noProof/>
            <w:webHidden/>
            <w:sz w:val="16"/>
            <w:szCs w:val="16"/>
          </w:rPr>
        </w:r>
        <w:r w:rsidR="006E4257" w:rsidRPr="006E4257">
          <w:rPr>
            <w:noProof/>
            <w:webHidden/>
            <w:sz w:val="16"/>
            <w:szCs w:val="16"/>
          </w:rPr>
          <w:fldChar w:fldCharType="separate"/>
        </w:r>
        <w:r w:rsidR="006C0DC0">
          <w:rPr>
            <w:noProof/>
            <w:webHidden/>
            <w:sz w:val="16"/>
            <w:szCs w:val="16"/>
          </w:rPr>
          <w:t>16</w:t>
        </w:r>
        <w:r w:rsidR="006E4257" w:rsidRPr="006E4257">
          <w:rPr>
            <w:noProof/>
            <w:webHidden/>
            <w:sz w:val="16"/>
            <w:szCs w:val="16"/>
          </w:rPr>
          <w:fldChar w:fldCharType="end"/>
        </w:r>
      </w:hyperlink>
    </w:p>
    <w:p w:rsidR="006E4257" w:rsidRPr="006E4257" w:rsidRDefault="00FD0D54">
      <w:pPr>
        <w:pStyle w:val="TOC3"/>
        <w:tabs>
          <w:tab w:val="left" w:pos="1320"/>
          <w:tab w:val="right" w:leader="dot" w:pos="9016"/>
        </w:tabs>
        <w:rPr>
          <w:rFonts w:asciiTheme="minorHAnsi" w:eastAsiaTheme="minorEastAsia" w:hAnsiTheme="minorHAnsi" w:cstheme="minorBidi"/>
          <w:noProof/>
          <w:sz w:val="16"/>
          <w:szCs w:val="16"/>
          <w:lang w:eastAsia="en-AU"/>
        </w:rPr>
      </w:pPr>
      <w:hyperlink w:anchor="_Toc443486916" w:history="1">
        <w:r w:rsidR="006E4257" w:rsidRPr="006E4257">
          <w:rPr>
            <w:rStyle w:val="Hyperlink"/>
            <w:noProof/>
            <w:sz w:val="16"/>
            <w:szCs w:val="16"/>
          </w:rPr>
          <w:t>5.1.6</w:t>
        </w:r>
        <w:r w:rsidR="006E4257" w:rsidRPr="006E4257">
          <w:rPr>
            <w:rFonts w:asciiTheme="minorHAnsi" w:eastAsiaTheme="minorEastAsia" w:hAnsiTheme="minorHAnsi" w:cstheme="minorBidi"/>
            <w:noProof/>
            <w:sz w:val="16"/>
            <w:szCs w:val="16"/>
            <w:lang w:eastAsia="en-AU"/>
          </w:rPr>
          <w:tab/>
        </w:r>
        <w:r w:rsidR="006E4257" w:rsidRPr="006E4257">
          <w:rPr>
            <w:rStyle w:val="Hyperlink"/>
            <w:noProof/>
            <w:sz w:val="16"/>
            <w:szCs w:val="16"/>
          </w:rPr>
          <w:t>Activity Indicators</w:t>
        </w:r>
        <w:r w:rsidR="006E4257" w:rsidRPr="006E4257">
          <w:rPr>
            <w:noProof/>
            <w:webHidden/>
            <w:sz w:val="16"/>
            <w:szCs w:val="16"/>
          </w:rPr>
          <w:tab/>
        </w:r>
        <w:r w:rsidR="006E4257" w:rsidRPr="006E4257">
          <w:rPr>
            <w:noProof/>
            <w:webHidden/>
            <w:sz w:val="16"/>
            <w:szCs w:val="16"/>
          </w:rPr>
          <w:fldChar w:fldCharType="begin"/>
        </w:r>
        <w:r w:rsidR="006E4257" w:rsidRPr="006E4257">
          <w:rPr>
            <w:noProof/>
            <w:webHidden/>
            <w:sz w:val="16"/>
            <w:szCs w:val="16"/>
          </w:rPr>
          <w:instrText xml:space="preserve"> PAGEREF _Toc443486916 \h </w:instrText>
        </w:r>
        <w:r w:rsidR="006E4257" w:rsidRPr="006E4257">
          <w:rPr>
            <w:noProof/>
            <w:webHidden/>
            <w:sz w:val="16"/>
            <w:szCs w:val="16"/>
          </w:rPr>
        </w:r>
        <w:r w:rsidR="006E4257" w:rsidRPr="006E4257">
          <w:rPr>
            <w:noProof/>
            <w:webHidden/>
            <w:sz w:val="16"/>
            <w:szCs w:val="16"/>
          </w:rPr>
          <w:fldChar w:fldCharType="separate"/>
        </w:r>
        <w:r w:rsidR="006C0DC0">
          <w:rPr>
            <w:noProof/>
            <w:webHidden/>
            <w:sz w:val="16"/>
            <w:szCs w:val="16"/>
          </w:rPr>
          <w:t>18</w:t>
        </w:r>
        <w:r w:rsidR="006E4257" w:rsidRPr="006E4257">
          <w:rPr>
            <w:noProof/>
            <w:webHidden/>
            <w:sz w:val="16"/>
            <w:szCs w:val="16"/>
          </w:rPr>
          <w:fldChar w:fldCharType="end"/>
        </w:r>
      </w:hyperlink>
    </w:p>
    <w:p w:rsidR="006E4257" w:rsidRPr="006E4257" w:rsidRDefault="00FD0D54">
      <w:pPr>
        <w:pStyle w:val="TOC3"/>
        <w:tabs>
          <w:tab w:val="left" w:pos="1320"/>
          <w:tab w:val="right" w:leader="dot" w:pos="9016"/>
        </w:tabs>
        <w:rPr>
          <w:rFonts w:asciiTheme="minorHAnsi" w:eastAsiaTheme="minorEastAsia" w:hAnsiTheme="minorHAnsi" w:cstheme="minorBidi"/>
          <w:noProof/>
          <w:sz w:val="16"/>
          <w:szCs w:val="16"/>
          <w:lang w:eastAsia="en-AU"/>
        </w:rPr>
      </w:pPr>
      <w:hyperlink w:anchor="_Toc443486917" w:history="1">
        <w:r w:rsidR="006E4257" w:rsidRPr="006E4257">
          <w:rPr>
            <w:rStyle w:val="Hyperlink"/>
            <w:noProof/>
            <w:sz w:val="16"/>
            <w:szCs w:val="16"/>
          </w:rPr>
          <w:t>5.1.7</w:t>
        </w:r>
        <w:r w:rsidR="006E4257" w:rsidRPr="006E4257">
          <w:rPr>
            <w:rFonts w:asciiTheme="minorHAnsi" w:eastAsiaTheme="minorEastAsia" w:hAnsiTheme="minorHAnsi" w:cstheme="minorBidi"/>
            <w:noProof/>
            <w:sz w:val="16"/>
            <w:szCs w:val="16"/>
            <w:lang w:eastAsia="en-AU"/>
          </w:rPr>
          <w:tab/>
        </w:r>
        <w:r w:rsidR="006E4257" w:rsidRPr="006E4257">
          <w:rPr>
            <w:rStyle w:val="Hyperlink"/>
            <w:noProof/>
            <w:sz w:val="16"/>
            <w:szCs w:val="16"/>
          </w:rPr>
          <w:t>Conclusion as to Basic Salary</w:t>
        </w:r>
        <w:r w:rsidR="006E4257" w:rsidRPr="006E4257">
          <w:rPr>
            <w:noProof/>
            <w:webHidden/>
            <w:sz w:val="16"/>
            <w:szCs w:val="16"/>
          </w:rPr>
          <w:tab/>
        </w:r>
        <w:r w:rsidR="006E4257" w:rsidRPr="006E4257">
          <w:rPr>
            <w:noProof/>
            <w:webHidden/>
            <w:sz w:val="16"/>
            <w:szCs w:val="16"/>
          </w:rPr>
          <w:fldChar w:fldCharType="begin"/>
        </w:r>
        <w:r w:rsidR="006E4257" w:rsidRPr="006E4257">
          <w:rPr>
            <w:noProof/>
            <w:webHidden/>
            <w:sz w:val="16"/>
            <w:szCs w:val="16"/>
          </w:rPr>
          <w:instrText xml:space="preserve"> PAGEREF _Toc443486917 \h </w:instrText>
        </w:r>
        <w:r w:rsidR="006E4257" w:rsidRPr="006E4257">
          <w:rPr>
            <w:noProof/>
            <w:webHidden/>
            <w:sz w:val="16"/>
            <w:szCs w:val="16"/>
          </w:rPr>
        </w:r>
        <w:r w:rsidR="006E4257" w:rsidRPr="006E4257">
          <w:rPr>
            <w:noProof/>
            <w:webHidden/>
            <w:sz w:val="16"/>
            <w:szCs w:val="16"/>
          </w:rPr>
          <w:fldChar w:fldCharType="separate"/>
        </w:r>
        <w:r w:rsidR="006C0DC0">
          <w:rPr>
            <w:noProof/>
            <w:webHidden/>
            <w:sz w:val="16"/>
            <w:szCs w:val="16"/>
          </w:rPr>
          <w:t>19</w:t>
        </w:r>
        <w:r w:rsidR="006E4257" w:rsidRPr="006E4257">
          <w:rPr>
            <w:noProof/>
            <w:webHidden/>
            <w:sz w:val="16"/>
            <w:szCs w:val="16"/>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18" w:history="1">
        <w:r w:rsidR="006E4257" w:rsidRPr="00D644B5">
          <w:rPr>
            <w:rStyle w:val="Hyperlink"/>
          </w:rPr>
          <w:t>5.2</w:t>
        </w:r>
        <w:r w:rsidR="006E4257">
          <w:rPr>
            <w:rFonts w:asciiTheme="minorHAnsi" w:eastAsiaTheme="minorEastAsia" w:hAnsiTheme="minorHAnsi" w:cstheme="minorBidi"/>
            <w:sz w:val="22"/>
            <w:szCs w:val="22"/>
            <w:lang w:eastAsia="en-AU"/>
          </w:rPr>
          <w:tab/>
        </w:r>
        <w:r w:rsidR="006E4257" w:rsidRPr="00D644B5">
          <w:rPr>
            <w:rStyle w:val="Hyperlink"/>
          </w:rPr>
          <w:t>Recommendation</w:t>
        </w:r>
        <w:r w:rsidR="006E4257">
          <w:rPr>
            <w:webHidden/>
          </w:rPr>
          <w:tab/>
        </w:r>
        <w:r w:rsidR="006E4257">
          <w:rPr>
            <w:webHidden/>
          </w:rPr>
          <w:fldChar w:fldCharType="begin"/>
        </w:r>
        <w:r w:rsidR="006E4257">
          <w:rPr>
            <w:webHidden/>
          </w:rPr>
          <w:instrText xml:space="preserve"> PAGEREF _Toc443486918 \h </w:instrText>
        </w:r>
        <w:r w:rsidR="006E4257">
          <w:rPr>
            <w:webHidden/>
          </w:rPr>
        </w:r>
        <w:r w:rsidR="006E4257">
          <w:rPr>
            <w:webHidden/>
          </w:rPr>
          <w:fldChar w:fldCharType="separate"/>
        </w:r>
        <w:r w:rsidR="006C0DC0">
          <w:rPr>
            <w:webHidden/>
          </w:rPr>
          <w:t>21</w:t>
        </w:r>
        <w:r w:rsidR="006E4257">
          <w:rPr>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19" w:history="1">
        <w:r w:rsidR="006E4257" w:rsidRPr="00D644B5">
          <w:rPr>
            <w:rStyle w:val="Hyperlink"/>
          </w:rPr>
          <w:t>5.3</w:t>
        </w:r>
        <w:r w:rsidR="006E4257">
          <w:rPr>
            <w:rFonts w:asciiTheme="minorHAnsi" w:eastAsiaTheme="minorEastAsia" w:hAnsiTheme="minorHAnsi" w:cstheme="minorBidi"/>
            <w:sz w:val="22"/>
            <w:szCs w:val="22"/>
            <w:lang w:eastAsia="en-AU"/>
          </w:rPr>
          <w:tab/>
        </w:r>
        <w:r w:rsidR="006E4257" w:rsidRPr="00D644B5">
          <w:rPr>
            <w:rStyle w:val="Hyperlink"/>
          </w:rPr>
          <w:t>Observation</w:t>
        </w:r>
        <w:r w:rsidR="006E4257">
          <w:rPr>
            <w:webHidden/>
          </w:rPr>
          <w:tab/>
        </w:r>
        <w:r w:rsidR="006E4257">
          <w:rPr>
            <w:webHidden/>
          </w:rPr>
          <w:fldChar w:fldCharType="begin"/>
        </w:r>
        <w:r w:rsidR="006E4257">
          <w:rPr>
            <w:webHidden/>
          </w:rPr>
          <w:instrText xml:space="preserve"> PAGEREF _Toc443486919 \h </w:instrText>
        </w:r>
        <w:r w:rsidR="006E4257">
          <w:rPr>
            <w:webHidden/>
          </w:rPr>
        </w:r>
        <w:r w:rsidR="006E4257">
          <w:rPr>
            <w:webHidden/>
          </w:rPr>
          <w:fldChar w:fldCharType="separate"/>
        </w:r>
        <w:r w:rsidR="006C0DC0">
          <w:rPr>
            <w:webHidden/>
          </w:rPr>
          <w:t>21</w:t>
        </w:r>
        <w:r w:rsidR="006E4257">
          <w:rPr>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20" w:history="1">
        <w:r w:rsidR="006E4257" w:rsidRPr="00D644B5">
          <w:rPr>
            <w:rStyle w:val="Hyperlink"/>
          </w:rPr>
          <w:t>5.4</w:t>
        </w:r>
        <w:r w:rsidR="006E4257">
          <w:rPr>
            <w:rFonts w:asciiTheme="minorHAnsi" w:eastAsiaTheme="minorEastAsia" w:hAnsiTheme="minorHAnsi" w:cstheme="minorBidi"/>
            <w:sz w:val="22"/>
            <w:szCs w:val="22"/>
            <w:lang w:eastAsia="en-AU"/>
          </w:rPr>
          <w:tab/>
        </w:r>
        <w:r w:rsidR="006E4257" w:rsidRPr="00D644B5">
          <w:rPr>
            <w:rStyle w:val="Hyperlink"/>
          </w:rPr>
          <w:t>Flow-on Implications</w:t>
        </w:r>
        <w:r w:rsidR="006E4257">
          <w:rPr>
            <w:webHidden/>
          </w:rPr>
          <w:tab/>
        </w:r>
        <w:r w:rsidR="006E4257">
          <w:rPr>
            <w:webHidden/>
          </w:rPr>
          <w:fldChar w:fldCharType="begin"/>
        </w:r>
        <w:r w:rsidR="006E4257">
          <w:rPr>
            <w:webHidden/>
          </w:rPr>
          <w:instrText xml:space="preserve"> PAGEREF _Toc443486920 \h </w:instrText>
        </w:r>
        <w:r w:rsidR="006E4257">
          <w:rPr>
            <w:webHidden/>
          </w:rPr>
        </w:r>
        <w:r w:rsidR="006E4257">
          <w:rPr>
            <w:webHidden/>
          </w:rPr>
          <w:fldChar w:fldCharType="separate"/>
        </w:r>
        <w:r w:rsidR="006C0DC0">
          <w:rPr>
            <w:webHidden/>
          </w:rPr>
          <w:t>21</w:t>
        </w:r>
        <w:r w:rsidR="006E4257">
          <w:rPr>
            <w:webHidden/>
          </w:rPr>
          <w:fldChar w:fldCharType="end"/>
        </w:r>
      </w:hyperlink>
    </w:p>
    <w:p w:rsidR="006E4257" w:rsidRDefault="00FD0D54">
      <w:pPr>
        <w:pStyle w:val="TOC1"/>
        <w:rPr>
          <w:rFonts w:asciiTheme="minorHAnsi" w:eastAsiaTheme="minorEastAsia" w:hAnsiTheme="minorHAnsi" w:cstheme="minorBidi"/>
          <w:b w:val="0"/>
          <w:sz w:val="22"/>
          <w:szCs w:val="22"/>
          <w:lang w:eastAsia="en-AU"/>
        </w:rPr>
      </w:pPr>
      <w:hyperlink w:anchor="_Toc443486921" w:history="1">
        <w:r w:rsidR="006E4257" w:rsidRPr="00D644B5">
          <w:rPr>
            <w:rStyle w:val="Hyperlink"/>
          </w:rPr>
          <w:t>6</w:t>
        </w:r>
        <w:r w:rsidR="006E4257">
          <w:rPr>
            <w:rFonts w:asciiTheme="minorHAnsi" w:eastAsiaTheme="minorEastAsia" w:hAnsiTheme="minorHAnsi" w:cstheme="minorBidi"/>
            <w:b w:val="0"/>
            <w:sz w:val="22"/>
            <w:szCs w:val="22"/>
            <w:lang w:eastAsia="en-AU"/>
          </w:rPr>
          <w:tab/>
        </w:r>
        <w:r w:rsidR="006E4257" w:rsidRPr="00D644B5">
          <w:rPr>
            <w:rStyle w:val="Hyperlink"/>
          </w:rPr>
          <w:t>Mechanism for the Future Adjustment of Salary</w:t>
        </w:r>
        <w:r w:rsidR="006E4257" w:rsidRPr="0061154A">
          <w:rPr>
            <w:b w:val="0"/>
            <w:webHidden/>
          </w:rPr>
          <w:tab/>
        </w:r>
        <w:r w:rsidR="006E4257" w:rsidRPr="0061154A">
          <w:rPr>
            <w:b w:val="0"/>
            <w:webHidden/>
          </w:rPr>
          <w:fldChar w:fldCharType="begin"/>
        </w:r>
        <w:r w:rsidR="006E4257" w:rsidRPr="0061154A">
          <w:rPr>
            <w:b w:val="0"/>
            <w:webHidden/>
          </w:rPr>
          <w:instrText xml:space="preserve"> PAGEREF _Toc443486921 \h </w:instrText>
        </w:r>
        <w:r w:rsidR="006E4257" w:rsidRPr="0061154A">
          <w:rPr>
            <w:b w:val="0"/>
            <w:webHidden/>
          </w:rPr>
        </w:r>
        <w:r w:rsidR="006E4257" w:rsidRPr="0061154A">
          <w:rPr>
            <w:b w:val="0"/>
            <w:webHidden/>
          </w:rPr>
          <w:fldChar w:fldCharType="separate"/>
        </w:r>
        <w:r w:rsidR="006C0DC0">
          <w:rPr>
            <w:b w:val="0"/>
            <w:webHidden/>
          </w:rPr>
          <w:t>21</w:t>
        </w:r>
        <w:r w:rsidR="006E4257" w:rsidRPr="0061154A">
          <w:rPr>
            <w:b w:val="0"/>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22" w:history="1">
        <w:r w:rsidR="006E4257" w:rsidRPr="00D644B5">
          <w:rPr>
            <w:rStyle w:val="Hyperlink"/>
          </w:rPr>
          <w:t>6.1</w:t>
        </w:r>
        <w:r w:rsidR="006E4257">
          <w:rPr>
            <w:rFonts w:asciiTheme="minorHAnsi" w:eastAsiaTheme="minorEastAsia" w:hAnsiTheme="minorHAnsi" w:cstheme="minorBidi"/>
            <w:sz w:val="22"/>
            <w:szCs w:val="22"/>
            <w:lang w:eastAsia="en-AU"/>
          </w:rPr>
          <w:tab/>
        </w:r>
        <w:r w:rsidR="006E4257" w:rsidRPr="00D644B5">
          <w:rPr>
            <w:rStyle w:val="Hyperlink"/>
          </w:rPr>
          <w:t>Information</w:t>
        </w:r>
        <w:r w:rsidR="006E4257">
          <w:rPr>
            <w:webHidden/>
          </w:rPr>
          <w:tab/>
        </w:r>
        <w:r w:rsidR="006E4257">
          <w:rPr>
            <w:webHidden/>
          </w:rPr>
          <w:fldChar w:fldCharType="begin"/>
        </w:r>
        <w:r w:rsidR="006E4257">
          <w:rPr>
            <w:webHidden/>
          </w:rPr>
          <w:instrText xml:space="preserve"> PAGEREF _Toc443486922 \h </w:instrText>
        </w:r>
        <w:r w:rsidR="006E4257">
          <w:rPr>
            <w:webHidden/>
          </w:rPr>
        </w:r>
        <w:r w:rsidR="006E4257">
          <w:rPr>
            <w:webHidden/>
          </w:rPr>
          <w:fldChar w:fldCharType="separate"/>
        </w:r>
        <w:r w:rsidR="006C0DC0">
          <w:rPr>
            <w:webHidden/>
          </w:rPr>
          <w:t>21</w:t>
        </w:r>
        <w:r w:rsidR="006E4257">
          <w:rPr>
            <w:webHidden/>
          </w:rPr>
          <w:fldChar w:fldCharType="end"/>
        </w:r>
      </w:hyperlink>
    </w:p>
    <w:p w:rsidR="006E4257" w:rsidRPr="0061154A" w:rsidRDefault="00FD0D54">
      <w:pPr>
        <w:pStyle w:val="TOC3"/>
        <w:tabs>
          <w:tab w:val="left" w:pos="1320"/>
          <w:tab w:val="right" w:leader="dot" w:pos="9016"/>
        </w:tabs>
        <w:rPr>
          <w:rFonts w:asciiTheme="minorHAnsi" w:eastAsiaTheme="minorEastAsia" w:hAnsiTheme="minorHAnsi" w:cstheme="minorBidi"/>
          <w:noProof/>
          <w:sz w:val="16"/>
          <w:szCs w:val="16"/>
          <w:lang w:eastAsia="en-AU"/>
        </w:rPr>
      </w:pPr>
      <w:hyperlink w:anchor="_Toc443486923" w:history="1">
        <w:r w:rsidR="006E4257" w:rsidRPr="0061154A">
          <w:rPr>
            <w:rStyle w:val="Hyperlink"/>
            <w:noProof/>
            <w:sz w:val="16"/>
            <w:szCs w:val="16"/>
          </w:rPr>
          <w:t>6.1.1</w:t>
        </w:r>
        <w:r w:rsidR="006E4257" w:rsidRPr="0061154A">
          <w:rPr>
            <w:rFonts w:asciiTheme="minorHAnsi" w:eastAsiaTheme="minorEastAsia" w:hAnsiTheme="minorHAnsi" w:cstheme="minorBidi"/>
            <w:noProof/>
            <w:sz w:val="16"/>
            <w:szCs w:val="16"/>
            <w:lang w:eastAsia="en-AU"/>
          </w:rPr>
          <w:tab/>
        </w:r>
        <w:r w:rsidR="006E4257" w:rsidRPr="0061154A">
          <w:rPr>
            <w:rStyle w:val="Hyperlink"/>
            <w:noProof/>
            <w:sz w:val="16"/>
            <w:szCs w:val="16"/>
          </w:rPr>
          <w:t>Linkage with State and Territory Parliaments</w:t>
        </w:r>
        <w:r w:rsidR="006E4257" w:rsidRPr="0061154A">
          <w:rPr>
            <w:noProof/>
            <w:webHidden/>
            <w:sz w:val="16"/>
            <w:szCs w:val="16"/>
          </w:rPr>
          <w:tab/>
        </w:r>
        <w:r w:rsidR="006E4257" w:rsidRPr="0061154A">
          <w:rPr>
            <w:noProof/>
            <w:webHidden/>
            <w:sz w:val="16"/>
            <w:szCs w:val="16"/>
          </w:rPr>
          <w:fldChar w:fldCharType="begin"/>
        </w:r>
        <w:r w:rsidR="006E4257" w:rsidRPr="0061154A">
          <w:rPr>
            <w:noProof/>
            <w:webHidden/>
            <w:sz w:val="16"/>
            <w:szCs w:val="16"/>
          </w:rPr>
          <w:instrText xml:space="preserve"> PAGEREF _Toc443486923 \h </w:instrText>
        </w:r>
        <w:r w:rsidR="006E4257" w:rsidRPr="0061154A">
          <w:rPr>
            <w:noProof/>
            <w:webHidden/>
            <w:sz w:val="16"/>
            <w:szCs w:val="16"/>
          </w:rPr>
        </w:r>
        <w:r w:rsidR="006E4257" w:rsidRPr="0061154A">
          <w:rPr>
            <w:noProof/>
            <w:webHidden/>
            <w:sz w:val="16"/>
            <w:szCs w:val="16"/>
          </w:rPr>
          <w:fldChar w:fldCharType="separate"/>
        </w:r>
        <w:r w:rsidR="006C0DC0">
          <w:rPr>
            <w:noProof/>
            <w:webHidden/>
            <w:sz w:val="16"/>
            <w:szCs w:val="16"/>
          </w:rPr>
          <w:t>22</w:t>
        </w:r>
        <w:r w:rsidR="006E4257" w:rsidRPr="0061154A">
          <w:rPr>
            <w:noProof/>
            <w:webHidden/>
            <w:sz w:val="16"/>
            <w:szCs w:val="16"/>
          </w:rPr>
          <w:fldChar w:fldCharType="end"/>
        </w:r>
      </w:hyperlink>
    </w:p>
    <w:p w:rsidR="006E4257" w:rsidRPr="0061154A" w:rsidRDefault="00FD0D54">
      <w:pPr>
        <w:pStyle w:val="TOC3"/>
        <w:tabs>
          <w:tab w:val="left" w:pos="1320"/>
          <w:tab w:val="right" w:leader="dot" w:pos="9016"/>
        </w:tabs>
        <w:rPr>
          <w:rFonts w:asciiTheme="minorHAnsi" w:eastAsiaTheme="minorEastAsia" w:hAnsiTheme="minorHAnsi" w:cstheme="minorBidi"/>
          <w:noProof/>
          <w:sz w:val="16"/>
          <w:szCs w:val="16"/>
          <w:lang w:eastAsia="en-AU"/>
        </w:rPr>
      </w:pPr>
      <w:hyperlink w:anchor="_Toc443486924" w:history="1">
        <w:r w:rsidR="006E4257" w:rsidRPr="0061154A">
          <w:rPr>
            <w:rStyle w:val="Hyperlink"/>
            <w:noProof/>
            <w:sz w:val="16"/>
            <w:szCs w:val="16"/>
          </w:rPr>
          <w:t>6.1.2</w:t>
        </w:r>
        <w:r w:rsidR="006E4257" w:rsidRPr="0061154A">
          <w:rPr>
            <w:rFonts w:asciiTheme="minorHAnsi" w:eastAsiaTheme="minorEastAsia" w:hAnsiTheme="minorHAnsi" w:cstheme="minorBidi"/>
            <w:noProof/>
            <w:sz w:val="16"/>
            <w:szCs w:val="16"/>
            <w:lang w:eastAsia="en-AU"/>
          </w:rPr>
          <w:tab/>
        </w:r>
        <w:r w:rsidR="006E4257" w:rsidRPr="0061154A">
          <w:rPr>
            <w:rStyle w:val="Hyperlink"/>
            <w:noProof/>
            <w:sz w:val="16"/>
            <w:szCs w:val="16"/>
          </w:rPr>
          <w:t>Linkage with the State Service</w:t>
        </w:r>
        <w:r w:rsidR="006E4257" w:rsidRPr="0061154A">
          <w:rPr>
            <w:noProof/>
            <w:webHidden/>
            <w:sz w:val="16"/>
            <w:szCs w:val="16"/>
          </w:rPr>
          <w:tab/>
        </w:r>
        <w:r w:rsidR="006E4257" w:rsidRPr="0061154A">
          <w:rPr>
            <w:noProof/>
            <w:webHidden/>
            <w:sz w:val="16"/>
            <w:szCs w:val="16"/>
          </w:rPr>
          <w:fldChar w:fldCharType="begin"/>
        </w:r>
        <w:r w:rsidR="006E4257" w:rsidRPr="0061154A">
          <w:rPr>
            <w:noProof/>
            <w:webHidden/>
            <w:sz w:val="16"/>
            <w:szCs w:val="16"/>
          </w:rPr>
          <w:instrText xml:space="preserve"> PAGEREF _Toc443486924 \h </w:instrText>
        </w:r>
        <w:r w:rsidR="006E4257" w:rsidRPr="0061154A">
          <w:rPr>
            <w:noProof/>
            <w:webHidden/>
            <w:sz w:val="16"/>
            <w:szCs w:val="16"/>
          </w:rPr>
        </w:r>
        <w:r w:rsidR="006E4257" w:rsidRPr="0061154A">
          <w:rPr>
            <w:noProof/>
            <w:webHidden/>
            <w:sz w:val="16"/>
            <w:szCs w:val="16"/>
          </w:rPr>
          <w:fldChar w:fldCharType="separate"/>
        </w:r>
        <w:r w:rsidR="006C0DC0">
          <w:rPr>
            <w:noProof/>
            <w:webHidden/>
            <w:sz w:val="16"/>
            <w:szCs w:val="16"/>
          </w:rPr>
          <w:t>22</w:t>
        </w:r>
        <w:r w:rsidR="006E4257" w:rsidRPr="0061154A">
          <w:rPr>
            <w:noProof/>
            <w:webHidden/>
            <w:sz w:val="16"/>
            <w:szCs w:val="16"/>
          </w:rPr>
          <w:fldChar w:fldCharType="end"/>
        </w:r>
      </w:hyperlink>
    </w:p>
    <w:p w:rsidR="006E4257" w:rsidRPr="0061154A" w:rsidRDefault="00FD0D54">
      <w:pPr>
        <w:pStyle w:val="TOC3"/>
        <w:tabs>
          <w:tab w:val="left" w:pos="1320"/>
          <w:tab w:val="right" w:leader="dot" w:pos="9016"/>
        </w:tabs>
        <w:rPr>
          <w:rFonts w:asciiTheme="minorHAnsi" w:eastAsiaTheme="minorEastAsia" w:hAnsiTheme="minorHAnsi" w:cstheme="minorBidi"/>
          <w:noProof/>
          <w:sz w:val="16"/>
          <w:szCs w:val="16"/>
          <w:lang w:eastAsia="en-AU"/>
        </w:rPr>
      </w:pPr>
      <w:hyperlink w:anchor="_Toc443486925" w:history="1">
        <w:r w:rsidR="006E4257" w:rsidRPr="0061154A">
          <w:rPr>
            <w:rStyle w:val="Hyperlink"/>
            <w:noProof/>
            <w:sz w:val="16"/>
            <w:szCs w:val="16"/>
          </w:rPr>
          <w:t>6.1.3</w:t>
        </w:r>
        <w:r w:rsidR="006E4257" w:rsidRPr="0061154A">
          <w:rPr>
            <w:rFonts w:asciiTheme="minorHAnsi" w:eastAsiaTheme="minorEastAsia" w:hAnsiTheme="minorHAnsi" w:cstheme="minorBidi"/>
            <w:noProof/>
            <w:sz w:val="16"/>
            <w:szCs w:val="16"/>
            <w:lang w:eastAsia="en-AU"/>
          </w:rPr>
          <w:tab/>
        </w:r>
        <w:r w:rsidR="006E4257" w:rsidRPr="0061154A">
          <w:rPr>
            <w:rStyle w:val="Hyperlink"/>
            <w:noProof/>
            <w:sz w:val="16"/>
            <w:szCs w:val="16"/>
          </w:rPr>
          <w:t>Linkage with a Relevant ABS Earnings Index</w:t>
        </w:r>
        <w:r w:rsidR="006E4257" w:rsidRPr="0061154A">
          <w:rPr>
            <w:noProof/>
            <w:webHidden/>
            <w:sz w:val="16"/>
            <w:szCs w:val="16"/>
          </w:rPr>
          <w:tab/>
        </w:r>
        <w:r w:rsidR="006E4257" w:rsidRPr="0061154A">
          <w:rPr>
            <w:noProof/>
            <w:webHidden/>
            <w:sz w:val="16"/>
            <w:szCs w:val="16"/>
          </w:rPr>
          <w:fldChar w:fldCharType="begin"/>
        </w:r>
        <w:r w:rsidR="006E4257" w:rsidRPr="0061154A">
          <w:rPr>
            <w:noProof/>
            <w:webHidden/>
            <w:sz w:val="16"/>
            <w:szCs w:val="16"/>
          </w:rPr>
          <w:instrText xml:space="preserve"> PAGEREF _Toc443486925 \h </w:instrText>
        </w:r>
        <w:r w:rsidR="006E4257" w:rsidRPr="0061154A">
          <w:rPr>
            <w:noProof/>
            <w:webHidden/>
            <w:sz w:val="16"/>
            <w:szCs w:val="16"/>
          </w:rPr>
        </w:r>
        <w:r w:rsidR="006E4257" w:rsidRPr="0061154A">
          <w:rPr>
            <w:noProof/>
            <w:webHidden/>
            <w:sz w:val="16"/>
            <w:szCs w:val="16"/>
          </w:rPr>
          <w:fldChar w:fldCharType="separate"/>
        </w:r>
        <w:r w:rsidR="006C0DC0">
          <w:rPr>
            <w:noProof/>
            <w:webHidden/>
            <w:sz w:val="16"/>
            <w:szCs w:val="16"/>
          </w:rPr>
          <w:t>23</w:t>
        </w:r>
        <w:r w:rsidR="006E4257" w:rsidRPr="0061154A">
          <w:rPr>
            <w:noProof/>
            <w:webHidden/>
            <w:sz w:val="16"/>
            <w:szCs w:val="16"/>
          </w:rPr>
          <w:fldChar w:fldCharType="end"/>
        </w:r>
      </w:hyperlink>
    </w:p>
    <w:p w:rsidR="006E4257" w:rsidRPr="0061154A" w:rsidRDefault="00FD0D54">
      <w:pPr>
        <w:pStyle w:val="TOC3"/>
        <w:tabs>
          <w:tab w:val="left" w:pos="1320"/>
          <w:tab w:val="right" w:leader="dot" w:pos="9016"/>
        </w:tabs>
        <w:rPr>
          <w:rFonts w:asciiTheme="minorHAnsi" w:eastAsiaTheme="minorEastAsia" w:hAnsiTheme="minorHAnsi" w:cstheme="minorBidi"/>
          <w:noProof/>
          <w:sz w:val="16"/>
          <w:szCs w:val="16"/>
          <w:lang w:eastAsia="en-AU"/>
        </w:rPr>
      </w:pPr>
      <w:hyperlink w:anchor="_Toc443486926" w:history="1">
        <w:r w:rsidR="006E4257" w:rsidRPr="0061154A">
          <w:rPr>
            <w:rStyle w:val="Hyperlink"/>
            <w:noProof/>
            <w:sz w:val="16"/>
            <w:szCs w:val="16"/>
          </w:rPr>
          <w:t>6.1.4</w:t>
        </w:r>
        <w:r w:rsidR="006E4257" w:rsidRPr="0061154A">
          <w:rPr>
            <w:rFonts w:asciiTheme="minorHAnsi" w:eastAsiaTheme="minorEastAsia" w:hAnsiTheme="minorHAnsi" w:cstheme="minorBidi"/>
            <w:noProof/>
            <w:sz w:val="16"/>
            <w:szCs w:val="16"/>
            <w:lang w:eastAsia="en-AU"/>
          </w:rPr>
          <w:tab/>
        </w:r>
        <w:r w:rsidR="006E4257" w:rsidRPr="0061154A">
          <w:rPr>
            <w:rStyle w:val="Hyperlink"/>
            <w:noProof/>
            <w:sz w:val="16"/>
            <w:szCs w:val="16"/>
          </w:rPr>
          <w:t>Periodic Reviews</w:t>
        </w:r>
        <w:r w:rsidR="006E4257" w:rsidRPr="0061154A">
          <w:rPr>
            <w:noProof/>
            <w:webHidden/>
            <w:sz w:val="16"/>
            <w:szCs w:val="16"/>
          </w:rPr>
          <w:tab/>
        </w:r>
        <w:r w:rsidR="006E4257" w:rsidRPr="0061154A">
          <w:rPr>
            <w:noProof/>
            <w:webHidden/>
            <w:sz w:val="16"/>
            <w:szCs w:val="16"/>
          </w:rPr>
          <w:fldChar w:fldCharType="begin"/>
        </w:r>
        <w:r w:rsidR="006E4257" w:rsidRPr="0061154A">
          <w:rPr>
            <w:noProof/>
            <w:webHidden/>
            <w:sz w:val="16"/>
            <w:szCs w:val="16"/>
          </w:rPr>
          <w:instrText xml:space="preserve"> PAGEREF _Toc443486926 \h </w:instrText>
        </w:r>
        <w:r w:rsidR="006E4257" w:rsidRPr="0061154A">
          <w:rPr>
            <w:noProof/>
            <w:webHidden/>
            <w:sz w:val="16"/>
            <w:szCs w:val="16"/>
          </w:rPr>
        </w:r>
        <w:r w:rsidR="006E4257" w:rsidRPr="0061154A">
          <w:rPr>
            <w:noProof/>
            <w:webHidden/>
            <w:sz w:val="16"/>
            <w:szCs w:val="16"/>
          </w:rPr>
          <w:fldChar w:fldCharType="separate"/>
        </w:r>
        <w:r w:rsidR="006C0DC0">
          <w:rPr>
            <w:noProof/>
            <w:webHidden/>
            <w:sz w:val="16"/>
            <w:szCs w:val="16"/>
          </w:rPr>
          <w:t>24</w:t>
        </w:r>
        <w:r w:rsidR="006E4257" w:rsidRPr="0061154A">
          <w:rPr>
            <w:noProof/>
            <w:webHidden/>
            <w:sz w:val="16"/>
            <w:szCs w:val="16"/>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27" w:history="1">
        <w:r w:rsidR="006E4257" w:rsidRPr="00D644B5">
          <w:rPr>
            <w:rStyle w:val="Hyperlink"/>
          </w:rPr>
          <w:t>6.2</w:t>
        </w:r>
        <w:r w:rsidR="006E4257">
          <w:rPr>
            <w:rFonts w:asciiTheme="minorHAnsi" w:eastAsiaTheme="minorEastAsia" w:hAnsiTheme="minorHAnsi" w:cstheme="minorBidi"/>
            <w:sz w:val="22"/>
            <w:szCs w:val="22"/>
            <w:lang w:eastAsia="en-AU"/>
          </w:rPr>
          <w:tab/>
        </w:r>
        <w:r w:rsidR="006E4257" w:rsidRPr="00D644B5">
          <w:rPr>
            <w:rStyle w:val="Hyperlink"/>
          </w:rPr>
          <w:t>Recommendation</w:t>
        </w:r>
        <w:r w:rsidR="006E4257">
          <w:rPr>
            <w:webHidden/>
          </w:rPr>
          <w:tab/>
        </w:r>
        <w:r w:rsidR="006E4257">
          <w:rPr>
            <w:webHidden/>
          </w:rPr>
          <w:fldChar w:fldCharType="begin"/>
        </w:r>
        <w:r w:rsidR="006E4257">
          <w:rPr>
            <w:webHidden/>
          </w:rPr>
          <w:instrText xml:space="preserve"> PAGEREF _Toc443486927 \h </w:instrText>
        </w:r>
        <w:r w:rsidR="006E4257">
          <w:rPr>
            <w:webHidden/>
          </w:rPr>
        </w:r>
        <w:r w:rsidR="006E4257">
          <w:rPr>
            <w:webHidden/>
          </w:rPr>
          <w:fldChar w:fldCharType="separate"/>
        </w:r>
        <w:r w:rsidR="006C0DC0">
          <w:rPr>
            <w:webHidden/>
          </w:rPr>
          <w:t>25</w:t>
        </w:r>
        <w:r w:rsidR="006E4257">
          <w:rPr>
            <w:webHidden/>
          </w:rPr>
          <w:fldChar w:fldCharType="end"/>
        </w:r>
      </w:hyperlink>
    </w:p>
    <w:p w:rsidR="006E4257" w:rsidRDefault="00FD0D54">
      <w:pPr>
        <w:pStyle w:val="TOC1"/>
        <w:rPr>
          <w:rFonts w:asciiTheme="minorHAnsi" w:eastAsiaTheme="minorEastAsia" w:hAnsiTheme="minorHAnsi" w:cstheme="minorBidi"/>
          <w:b w:val="0"/>
          <w:sz w:val="22"/>
          <w:szCs w:val="22"/>
          <w:lang w:eastAsia="en-AU"/>
        </w:rPr>
      </w:pPr>
      <w:hyperlink w:anchor="_Toc443486928" w:history="1">
        <w:r w:rsidR="006E4257" w:rsidRPr="00D644B5">
          <w:rPr>
            <w:rStyle w:val="Hyperlink"/>
          </w:rPr>
          <w:t>7</w:t>
        </w:r>
        <w:r w:rsidR="006E4257">
          <w:rPr>
            <w:rFonts w:asciiTheme="minorHAnsi" w:eastAsiaTheme="minorEastAsia" w:hAnsiTheme="minorHAnsi" w:cstheme="minorBidi"/>
            <w:b w:val="0"/>
            <w:sz w:val="22"/>
            <w:szCs w:val="22"/>
            <w:lang w:eastAsia="en-AU"/>
          </w:rPr>
          <w:tab/>
        </w:r>
        <w:r w:rsidR="006E4257" w:rsidRPr="00D644B5">
          <w:rPr>
            <w:rStyle w:val="Hyperlink"/>
          </w:rPr>
          <w:t>Additional Salary for Certain Office Holders</w:t>
        </w:r>
        <w:r w:rsidR="006E4257" w:rsidRPr="0061154A">
          <w:rPr>
            <w:b w:val="0"/>
            <w:webHidden/>
          </w:rPr>
          <w:tab/>
        </w:r>
        <w:r w:rsidR="006E4257" w:rsidRPr="0061154A">
          <w:rPr>
            <w:b w:val="0"/>
            <w:webHidden/>
          </w:rPr>
          <w:fldChar w:fldCharType="begin"/>
        </w:r>
        <w:r w:rsidR="006E4257" w:rsidRPr="0061154A">
          <w:rPr>
            <w:b w:val="0"/>
            <w:webHidden/>
          </w:rPr>
          <w:instrText xml:space="preserve"> PAGEREF _Toc443486928 \h </w:instrText>
        </w:r>
        <w:r w:rsidR="006E4257" w:rsidRPr="0061154A">
          <w:rPr>
            <w:b w:val="0"/>
            <w:webHidden/>
          </w:rPr>
        </w:r>
        <w:r w:rsidR="006E4257" w:rsidRPr="0061154A">
          <w:rPr>
            <w:b w:val="0"/>
            <w:webHidden/>
          </w:rPr>
          <w:fldChar w:fldCharType="separate"/>
        </w:r>
        <w:r w:rsidR="006C0DC0">
          <w:rPr>
            <w:b w:val="0"/>
            <w:webHidden/>
          </w:rPr>
          <w:t>25</w:t>
        </w:r>
        <w:r w:rsidR="006E4257" w:rsidRPr="0061154A">
          <w:rPr>
            <w:b w:val="0"/>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29" w:history="1">
        <w:r w:rsidR="006E4257" w:rsidRPr="00D644B5">
          <w:rPr>
            <w:rStyle w:val="Hyperlink"/>
          </w:rPr>
          <w:t>7.1</w:t>
        </w:r>
        <w:r w:rsidR="006E4257">
          <w:rPr>
            <w:rFonts w:asciiTheme="minorHAnsi" w:eastAsiaTheme="minorEastAsia" w:hAnsiTheme="minorHAnsi" w:cstheme="minorBidi"/>
            <w:sz w:val="22"/>
            <w:szCs w:val="22"/>
            <w:lang w:eastAsia="en-AU"/>
          </w:rPr>
          <w:tab/>
        </w:r>
        <w:r w:rsidR="006E4257" w:rsidRPr="00D644B5">
          <w:rPr>
            <w:rStyle w:val="Hyperlink"/>
          </w:rPr>
          <w:t>Information</w:t>
        </w:r>
        <w:r w:rsidR="006E4257">
          <w:rPr>
            <w:webHidden/>
          </w:rPr>
          <w:tab/>
        </w:r>
        <w:r w:rsidR="006E4257">
          <w:rPr>
            <w:webHidden/>
          </w:rPr>
          <w:fldChar w:fldCharType="begin"/>
        </w:r>
        <w:r w:rsidR="006E4257">
          <w:rPr>
            <w:webHidden/>
          </w:rPr>
          <w:instrText xml:space="preserve"> PAGEREF _Toc443486929 \h </w:instrText>
        </w:r>
        <w:r w:rsidR="006E4257">
          <w:rPr>
            <w:webHidden/>
          </w:rPr>
        </w:r>
        <w:r w:rsidR="006E4257">
          <w:rPr>
            <w:webHidden/>
          </w:rPr>
          <w:fldChar w:fldCharType="separate"/>
        </w:r>
        <w:r w:rsidR="006C0DC0">
          <w:rPr>
            <w:webHidden/>
          </w:rPr>
          <w:t>25</w:t>
        </w:r>
        <w:r w:rsidR="006E4257">
          <w:rPr>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30" w:history="1">
        <w:r w:rsidR="006E4257" w:rsidRPr="00D644B5">
          <w:rPr>
            <w:rStyle w:val="Hyperlink"/>
          </w:rPr>
          <w:t>7.2</w:t>
        </w:r>
        <w:r w:rsidR="006E4257">
          <w:rPr>
            <w:rFonts w:asciiTheme="minorHAnsi" w:eastAsiaTheme="minorEastAsia" w:hAnsiTheme="minorHAnsi" w:cstheme="minorBidi"/>
            <w:sz w:val="22"/>
            <w:szCs w:val="22"/>
            <w:lang w:eastAsia="en-AU"/>
          </w:rPr>
          <w:tab/>
        </w:r>
        <w:r w:rsidR="006E4257" w:rsidRPr="00D644B5">
          <w:rPr>
            <w:rStyle w:val="Hyperlink"/>
          </w:rPr>
          <w:t>Recommendation</w:t>
        </w:r>
        <w:r w:rsidR="006E4257">
          <w:rPr>
            <w:webHidden/>
          </w:rPr>
          <w:tab/>
        </w:r>
        <w:r w:rsidR="006E4257">
          <w:rPr>
            <w:webHidden/>
          </w:rPr>
          <w:fldChar w:fldCharType="begin"/>
        </w:r>
        <w:r w:rsidR="006E4257">
          <w:rPr>
            <w:webHidden/>
          </w:rPr>
          <w:instrText xml:space="preserve"> PAGEREF _Toc443486930 \h </w:instrText>
        </w:r>
        <w:r w:rsidR="006E4257">
          <w:rPr>
            <w:webHidden/>
          </w:rPr>
        </w:r>
        <w:r w:rsidR="006E4257">
          <w:rPr>
            <w:webHidden/>
          </w:rPr>
          <w:fldChar w:fldCharType="separate"/>
        </w:r>
        <w:r w:rsidR="006C0DC0">
          <w:rPr>
            <w:webHidden/>
          </w:rPr>
          <w:t>29</w:t>
        </w:r>
        <w:r w:rsidR="006E4257">
          <w:rPr>
            <w:webHidden/>
          </w:rPr>
          <w:fldChar w:fldCharType="end"/>
        </w:r>
      </w:hyperlink>
    </w:p>
    <w:p w:rsidR="006E4257" w:rsidRDefault="00FD0D54">
      <w:pPr>
        <w:pStyle w:val="TOC1"/>
        <w:rPr>
          <w:rFonts w:asciiTheme="minorHAnsi" w:eastAsiaTheme="minorEastAsia" w:hAnsiTheme="minorHAnsi" w:cstheme="minorBidi"/>
          <w:b w:val="0"/>
          <w:sz w:val="22"/>
          <w:szCs w:val="22"/>
          <w:lang w:eastAsia="en-AU"/>
        </w:rPr>
      </w:pPr>
      <w:hyperlink w:anchor="_Toc443486931" w:history="1">
        <w:r w:rsidR="006E4257" w:rsidRPr="00D644B5">
          <w:rPr>
            <w:rStyle w:val="Hyperlink"/>
          </w:rPr>
          <w:t>8</w:t>
        </w:r>
        <w:r w:rsidR="006E4257">
          <w:rPr>
            <w:rFonts w:asciiTheme="minorHAnsi" w:eastAsiaTheme="minorEastAsia" w:hAnsiTheme="minorHAnsi" w:cstheme="minorBidi"/>
            <w:b w:val="0"/>
            <w:sz w:val="22"/>
            <w:szCs w:val="22"/>
            <w:lang w:eastAsia="en-AU"/>
          </w:rPr>
          <w:tab/>
        </w:r>
        <w:r w:rsidR="006E4257" w:rsidRPr="00D644B5">
          <w:rPr>
            <w:rStyle w:val="Hyperlink"/>
          </w:rPr>
          <w:t>Motor Vehicle Allowance</w:t>
        </w:r>
        <w:r w:rsidR="006E4257" w:rsidRPr="0061154A">
          <w:rPr>
            <w:b w:val="0"/>
            <w:webHidden/>
          </w:rPr>
          <w:tab/>
        </w:r>
        <w:r w:rsidR="006E4257" w:rsidRPr="0061154A">
          <w:rPr>
            <w:b w:val="0"/>
            <w:webHidden/>
          </w:rPr>
          <w:fldChar w:fldCharType="begin"/>
        </w:r>
        <w:r w:rsidR="006E4257" w:rsidRPr="0061154A">
          <w:rPr>
            <w:b w:val="0"/>
            <w:webHidden/>
          </w:rPr>
          <w:instrText xml:space="preserve"> PAGEREF _Toc443486931 \h </w:instrText>
        </w:r>
        <w:r w:rsidR="006E4257" w:rsidRPr="0061154A">
          <w:rPr>
            <w:b w:val="0"/>
            <w:webHidden/>
          </w:rPr>
        </w:r>
        <w:r w:rsidR="006E4257" w:rsidRPr="0061154A">
          <w:rPr>
            <w:b w:val="0"/>
            <w:webHidden/>
          </w:rPr>
          <w:fldChar w:fldCharType="separate"/>
        </w:r>
        <w:r w:rsidR="006C0DC0">
          <w:rPr>
            <w:b w:val="0"/>
            <w:webHidden/>
          </w:rPr>
          <w:t>29</w:t>
        </w:r>
        <w:r w:rsidR="006E4257" w:rsidRPr="0061154A">
          <w:rPr>
            <w:b w:val="0"/>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32" w:history="1">
        <w:r w:rsidR="006E4257" w:rsidRPr="00D644B5">
          <w:rPr>
            <w:rStyle w:val="Hyperlink"/>
          </w:rPr>
          <w:t>8.1</w:t>
        </w:r>
        <w:r w:rsidR="006E4257">
          <w:rPr>
            <w:rFonts w:asciiTheme="minorHAnsi" w:eastAsiaTheme="minorEastAsia" w:hAnsiTheme="minorHAnsi" w:cstheme="minorBidi"/>
            <w:sz w:val="22"/>
            <w:szCs w:val="22"/>
            <w:lang w:eastAsia="en-AU"/>
          </w:rPr>
          <w:tab/>
        </w:r>
        <w:r w:rsidR="006E4257" w:rsidRPr="00D644B5">
          <w:rPr>
            <w:rStyle w:val="Hyperlink"/>
          </w:rPr>
          <w:t>Information</w:t>
        </w:r>
        <w:r w:rsidR="006E4257">
          <w:rPr>
            <w:webHidden/>
          </w:rPr>
          <w:tab/>
        </w:r>
        <w:r w:rsidR="006E4257">
          <w:rPr>
            <w:webHidden/>
          </w:rPr>
          <w:fldChar w:fldCharType="begin"/>
        </w:r>
        <w:r w:rsidR="006E4257">
          <w:rPr>
            <w:webHidden/>
          </w:rPr>
          <w:instrText xml:space="preserve"> PAGEREF _Toc443486932 \h </w:instrText>
        </w:r>
        <w:r w:rsidR="006E4257">
          <w:rPr>
            <w:webHidden/>
          </w:rPr>
        </w:r>
        <w:r w:rsidR="006E4257">
          <w:rPr>
            <w:webHidden/>
          </w:rPr>
          <w:fldChar w:fldCharType="separate"/>
        </w:r>
        <w:r w:rsidR="006C0DC0">
          <w:rPr>
            <w:webHidden/>
          </w:rPr>
          <w:t>29</w:t>
        </w:r>
        <w:r w:rsidR="006E4257">
          <w:rPr>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33" w:history="1">
        <w:r w:rsidR="006E4257" w:rsidRPr="00D644B5">
          <w:rPr>
            <w:rStyle w:val="Hyperlink"/>
          </w:rPr>
          <w:t>8.2</w:t>
        </w:r>
        <w:r w:rsidR="006E4257">
          <w:rPr>
            <w:rFonts w:asciiTheme="minorHAnsi" w:eastAsiaTheme="minorEastAsia" w:hAnsiTheme="minorHAnsi" w:cstheme="minorBidi"/>
            <w:sz w:val="22"/>
            <w:szCs w:val="22"/>
            <w:lang w:eastAsia="en-AU"/>
          </w:rPr>
          <w:tab/>
        </w:r>
        <w:r w:rsidR="006E4257" w:rsidRPr="00D644B5">
          <w:rPr>
            <w:rStyle w:val="Hyperlink"/>
          </w:rPr>
          <w:t>Recommendation</w:t>
        </w:r>
        <w:r w:rsidR="006E4257">
          <w:rPr>
            <w:webHidden/>
          </w:rPr>
          <w:tab/>
        </w:r>
        <w:r w:rsidR="006E4257">
          <w:rPr>
            <w:webHidden/>
          </w:rPr>
          <w:fldChar w:fldCharType="begin"/>
        </w:r>
        <w:r w:rsidR="006E4257">
          <w:rPr>
            <w:webHidden/>
          </w:rPr>
          <w:instrText xml:space="preserve"> PAGEREF _Toc443486933 \h </w:instrText>
        </w:r>
        <w:r w:rsidR="006E4257">
          <w:rPr>
            <w:webHidden/>
          </w:rPr>
        </w:r>
        <w:r w:rsidR="006E4257">
          <w:rPr>
            <w:webHidden/>
          </w:rPr>
          <w:fldChar w:fldCharType="separate"/>
        </w:r>
        <w:r w:rsidR="006C0DC0">
          <w:rPr>
            <w:webHidden/>
          </w:rPr>
          <w:t>30</w:t>
        </w:r>
        <w:r w:rsidR="006E4257">
          <w:rPr>
            <w:webHidden/>
          </w:rPr>
          <w:fldChar w:fldCharType="end"/>
        </w:r>
      </w:hyperlink>
    </w:p>
    <w:p w:rsidR="006E4257" w:rsidRDefault="00FD0D54">
      <w:pPr>
        <w:pStyle w:val="TOC1"/>
        <w:rPr>
          <w:rFonts w:asciiTheme="minorHAnsi" w:eastAsiaTheme="minorEastAsia" w:hAnsiTheme="minorHAnsi" w:cstheme="minorBidi"/>
          <w:b w:val="0"/>
          <w:sz w:val="22"/>
          <w:szCs w:val="22"/>
          <w:lang w:eastAsia="en-AU"/>
        </w:rPr>
      </w:pPr>
      <w:hyperlink w:anchor="_Toc443486934" w:history="1">
        <w:r w:rsidR="006E4257" w:rsidRPr="00D644B5">
          <w:rPr>
            <w:rStyle w:val="Hyperlink"/>
          </w:rPr>
          <w:t>9</w:t>
        </w:r>
        <w:r w:rsidR="006E4257">
          <w:rPr>
            <w:rFonts w:asciiTheme="minorHAnsi" w:eastAsiaTheme="minorEastAsia" w:hAnsiTheme="minorHAnsi" w:cstheme="minorBidi"/>
            <w:b w:val="0"/>
            <w:sz w:val="22"/>
            <w:szCs w:val="22"/>
            <w:lang w:eastAsia="en-AU"/>
          </w:rPr>
          <w:tab/>
        </w:r>
        <w:r w:rsidR="006E4257" w:rsidRPr="00D644B5">
          <w:rPr>
            <w:rStyle w:val="Hyperlink"/>
          </w:rPr>
          <w:t>Electorate Allowance</w:t>
        </w:r>
        <w:r w:rsidR="006E4257" w:rsidRPr="0061154A">
          <w:rPr>
            <w:b w:val="0"/>
            <w:webHidden/>
          </w:rPr>
          <w:tab/>
        </w:r>
        <w:r w:rsidR="006E4257" w:rsidRPr="0061154A">
          <w:rPr>
            <w:b w:val="0"/>
            <w:webHidden/>
          </w:rPr>
          <w:fldChar w:fldCharType="begin"/>
        </w:r>
        <w:r w:rsidR="006E4257" w:rsidRPr="0061154A">
          <w:rPr>
            <w:b w:val="0"/>
            <w:webHidden/>
          </w:rPr>
          <w:instrText xml:space="preserve"> PAGEREF _Toc443486934 \h </w:instrText>
        </w:r>
        <w:r w:rsidR="006E4257" w:rsidRPr="0061154A">
          <w:rPr>
            <w:b w:val="0"/>
            <w:webHidden/>
          </w:rPr>
        </w:r>
        <w:r w:rsidR="006E4257" w:rsidRPr="0061154A">
          <w:rPr>
            <w:b w:val="0"/>
            <w:webHidden/>
          </w:rPr>
          <w:fldChar w:fldCharType="separate"/>
        </w:r>
        <w:r w:rsidR="006C0DC0">
          <w:rPr>
            <w:b w:val="0"/>
            <w:webHidden/>
          </w:rPr>
          <w:t>31</w:t>
        </w:r>
        <w:r w:rsidR="006E4257" w:rsidRPr="0061154A">
          <w:rPr>
            <w:b w:val="0"/>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35" w:history="1">
        <w:r w:rsidR="006E4257" w:rsidRPr="00D644B5">
          <w:rPr>
            <w:rStyle w:val="Hyperlink"/>
          </w:rPr>
          <w:t>9.1</w:t>
        </w:r>
        <w:r w:rsidR="006E4257">
          <w:rPr>
            <w:rFonts w:asciiTheme="minorHAnsi" w:eastAsiaTheme="minorEastAsia" w:hAnsiTheme="minorHAnsi" w:cstheme="minorBidi"/>
            <w:sz w:val="22"/>
            <w:szCs w:val="22"/>
            <w:lang w:eastAsia="en-AU"/>
          </w:rPr>
          <w:tab/>
        </w:r>
        <w:r w:rsidR="006E4257" w:rsidRPr="00D644B5">
          <w:rPr>
            <w:rStyle w:val="Hyperlink"/>
          </w:rPr>
          <w:t>Information</w:t>
        </w:r>
        <w:r w:rsidR="006E4257">
          <w:rPr>
            <w:webHidden/>
          </w:rPr>
          <w:tab/>
        </w:r>
        <w:r w:rsidR="006E4257">
          <w:rPr>
            <w:webHidden/>
          </w:rPr>
          <w:fldChar w:fldCharType="begin"/>
        </w:r>
        <w:r w:rsidR="006E4257">
          <w:rPr>
            <w:webHidden/>
          </w:rPr>
          <w:instrText xml:space="preserve"> PAGEREF _Toc443486935 \h </w:instrText>
        </w:r>
        <w:r w:rsidR="006E4257">
          <w:rPr>
            <w:webHidden/>
          </w:rPr>
        </w:r>
        <w:r w:rsidR="006E4257">
          <w:rPr>
            <w:webHidden/>
          </w:rPr>
          <w:fldChar w:fldCharType="separate"/>
        </w:r>
        <w:r w:rsidR="006C0DC0">
          <w:rPr>
            <w:webHidden/>
          </w:rPr>
          <w:t>31</w:t>
        </w:r>
        <w:r w:rsidR="006E4257">
          <w:rPr>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36" w:history="1">
        <w:r w:rsidR="006E4257" w:rsidRPr="00D644B5">
          <w:rPr>
            <w:rStyle w:val="Hyperlink"/>
          </w:rPr>
          <w:t xml:space="preserve">9.2 </w:t>
        </w:r>
        <w:r w:rsidR="006E4257">
          <w:rPr>
            <w:rFonts w:asciiTheme="minorHAnsi" w:eastAsiaTheme="minorEastAsia" w:hAnsiTheme="minorHAnsi" w:cstheme="minorBidi"/>
            <w:sz w:val="22"/>
            <w:szCs w:val="22"/>
            <w:lang w:eastAsia="en-AU"/>
          </w:rPr>
          <w:tab/>
        </w:r>
        <w:r w:rsidR="006E4257" w:rsidRPr="00D644B5">
          <w:rPr>
            <w:rStyle w:val="Hyperlink"/>
          </w:rPr>
          <w:t>Recommendation</w:t>
        </w:r>
        <w:r w:rsidR="006E4257">
          <w:rPr>
            <w:webHidden/>
          </w:rPr>
          <w:tab/>
        </w:r>
        <w:r w:rsidR="006E4257">
          <w:rPr>
            <w:webHidden/>
          </w:rPr>
          <w:fldChar w:fldCharType="begin"/>
        </w:r>
        <w:r w:rsidR="006E4257">
          <w:rPr>
            <w:webHidden/>
          </w:rPr>
          <w:instrText xml:space="preserve"> PAGEREF _Toc443486936 \h </w:instrText>
        </w:r>
        <w:r w:rsidR="006E4257">
          <w:rPr>
            <w:webHidden/>
          </w:rPr>
        </w:r>
        <w:r w:rsidR="006E4257">
          <w:rPr>
            <w:webHidden/>
          </w:rPr>
          <w:fldChar w:fldCharType="separate"/>
        </w:r>
        <w:r w:rsidR="006C0DC0">
          <w:rPr>
            <w:webHidden/>
          </w:rPr>
          <w:t>34</w:t>
        </w:r>
        <w:r w:rsidR="006E4257">
          <w:rPr>
            <w:webHidden/>
          </w:rPr>
          <w:fldChar w:fldCharType="end"/>
        </w:r>
      </w:hyperlink>
    </w:p>
    <w:p w:rsidR="006E4257" w:rsidRDefault="00FD0D54">
      <w:pPr>
        <w:pStyle w:val="TOC1"/>
        <w:rPr>
          <w:rFonts w:asciiTheme="minorHAnsi" w:eastAsiaTheme="minorEastAsia" w:hAnsiTheme="minorHAnsi" w:cstheme="minorBidi"/>
          <w:b w:val="0"/>
          <w:sz w:val="22"/>
          <w:szCs w:val="22"/>
          <w:lang w:eastAsia="en-AU"/>
        </w:rPr>
      </w:pPr>
      <w:hyperlink w:anchor="_Toc443486937" w:history="1">
        <w:r w:rsidR="006E4257" w:rsidRPr="00D644B5">
          <w:rPr>
            <w:rStyle w:val="Hyperlink"/>
          </w:rPr>
          <w:t>10</w:t>
        </w:r>
        <w:r w:rsidR="006E4257">
          <w:rPr>
            <w:rFonts w:asciiTheme="minorHAnsi" w:eastAsiaTheme="minorEastAsia" w:hAnsiTheme="minorHAnsi" w:cstheme="minorBidi"/>
            <w:b w:val="0"/>
            <w:sz w:val="22"/>
            <w:szCs w:val="22"/>
            <w:lang w:eastAsia="en-AU"/>
          </w:rPr>
          <w:tab/>
        </w:r>
        <w:r w:rsidR="006E4257" w:rsidRPr="00D644B5">
          <w:rPr>
            <w:rStyle w:val="Hyperlink"/>
          </w:rPr>
          <w:t>Committee Sitting Fees</w:t>
        </w:r>
        <w:r w:rsidR="006E4257" w:rsidRPr="0061154A">
          <w:rPr>
            <w:b w:val="0"/>
            <w:webHidden/>
          </w:rPr>
          <w:tab/>
        </w:r>
        <w:r w:rsidR="006E4257" w:rsidRPr="0061154A">
          <w:rPr>
            <w:b w:val="0"/>
            <w:webHidden/>
          </w:rPr>
          <w:fldChar w:fldCharType="begin"/>
        </w:r>
        <w:r w:rsidR="006E4257" w:rsidRPr="0061154A">
          <w:rPr>
            <w:b w:val="0"/>
            <w:webHidden/>
          </w:rPr>
          <w:instrText xml:space="preserve"> PAGEREF _Toc443486937 \h </w:instrText>
        </w:r>
        <w:r w:rsidR="006E4257" w:rsidRPr="0061154A">
          <w:rPr>
            <w:b w:val="0"/>
            <w:webHidden/>
          </w:rPr>
        </w:r>
        <w:r w:rsidR="006E4257" w:rsidRPr="0061154A">
          <w:rPr>
            <w:b w:val="0"/>
            <w:webHidden/>
          </w:rPr>
          <w:fldChar w:fldCharType="separate"/>
        </w:r>
        <w:r w:rsidR="006C0DC0">
          <w:rPr>
            <w:b w:val="0"/>
            <w:webHidden/>
          </w:rPr>
          <w:t>34</w:t>
        </w:r>
        <w:r w:rsidR="006E4257" w:rsidRPr="0061154A">
          <w:rPr>
            <w:b w:val="0"/>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38" w:history="1">
        <w:r w:rsidR="006E4257" w:rsidRPr="00D644B5">
          <w:rPr>
            <w:rStyle w:val="Hyperlink"/>
          </w:rPr>
          <w:t>10.1</w:t>
        </w:r>
        <w:r w:rsidR="006E4257">
          <w:rPr>
            <w:rFonts w:asciiTheme="minorHAnsi" w:eastAsiaTheme="minorEastAsia" w:hAnsiTheme="minorHAnsi" w:cstheme="minorBidi"/>
            <w:sz w:val="22"/>
            <w:szCs w:val="22"/>
            <w:lang w:eastAsia="en-AU"/>
          </w:rPr>
          <w:tab/>
        </w:r>
        <w:r w:rsidR="006E4257" w:rsidRPr="00D644B5">
          <w:rPr>
            <w:rStyle w:val="Hyperlink"/>
          </w:rPr>
          <w:t>Information</w:t>
        </w:r>
        <w:r w:rsidR="006E4257">
          <w:rPr>
            <w:webHidden/>
          </w:rPr>
          <w:tab/>
        </w:r>
        <w:r w:rsidR="006E4257">
          <w:rPr>
            <w:webHidden/>
          </w:rPr>
          <w:fldChar w:fldCharType="begin"/>
        </w:r>
        <w:r w:rsidR="006E4257">
          <w:rPr>
            <w:webHidden/>
          </w:rPr>
          <w:instrText xml:space="preserve"> PAGEREF _Toc443486938 \h </w:instrText>
        </w:r>
        <w:r w:rsidR="006E4257">
          <w:rPr>
            <w:webHidden/>
          </w:rPr>
        </w:r>
        <w:r w:rsidR="006E4257">
          <w:rPr>
            <w:webHidden/>
          </w:rPr>
          <w:fldChar w:fldCharType="separate"/>
        </w:r>
        <w:r w:rsidR="006C0DC0">
          <w:rPr>
            <w:webHidden/>
          </w:rPr>
          <w:t>34</w:t>
        </w:r>
        <w:r w:rsidR="006E4257">
          <w:rPr>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39" w:history="1">
        <w:r w:rsidR="006E4257" w:rsidRPr="00D644B5">
          <w:rPr>
            <w:rStyle w:val="Hyperlink"/>
          </w:rPr>
          <w:t>10.2</w:t>
        </w:r>
        <w:r w:rsidR="006E4257">
          <w:rPr>
            <w:rFonts w:asciiTheme="minorHAnsi" w:eastAsiaTheme="minorEastAsia" w:hAnsiTheme="minorHAnsi" w:cstheme="minorBidi"/>
            <w:sz w:val="22"/>
            <w:szCs w:val="22"/>
            <w:lang w:eastAsia="en-AU"/>
          </w:rPr>
          <w:tab/>
        </w:r>
        <w:r w:rsidR="006E4257" w:rsidRPr="00D644B5">
          <w:rPr>
            <w:rStyle w:val="Hyperlink"/>
          </w:rPr>
          <w:t>Recommendation</w:t>
        </w:r>
        <w:r w:rsidR="006E4257">
          <w:rPr>
            <w:webHidden/>
          </w:rPr>
          <w:tab/>
        </w:r>
        <w:r w:rsidR="006E4257">
          <w:rPr>
            <w:webHidden/>
          </w:rPr>
          <w:fldChar w:fldCharType="begin"/>
        </w:r>
        <w:r w:rsidR="006E4257">
          <w:rPr>
            <w:webHidden/>
          </w:rPr>
          <w:instrText xml:space="preserve"> PAGEREF _Toc443486939 \h </w:instrText>
        </w:r>
        <w:r w:rsidR="006E4257">
          <w:rPr>
            <w:webHidden/>
          </w:rPr>
        </w:r>
        <w:r w:rsidR="006E4257">
          <w:rPr>
            <w:webHidden/>
          </w:rPr>
          <w:fldChar w:fldCharType="separate"/>
        </w:r>
        <w:r w:rsidR="006C0DC0">
          <w:rPr>
            <w:webHidden/>
          </w:rPr>
          <w:t>38</w:t>
        </w:r>
        <w:r w:rsidR="006E4257">
          <w:rPr>
            <w:webHidden/>
          </w:rPr>
          <w:fldChar w:fldCharType="end"/>
        </w:r>
      </w:hyperlink>
    </w:p>
    <w:p w:rsidR="006E4257" w:rsidRDefault="00FD0D54">
      <w:pPr>
        <w:pStyle w:val="TOC1"/>
        <w:rPr>
          <w:rFonts w:asciiTheme="minorHAnsi" w:eastAsiaTheme="minorEastAsia" w:hAnsiTheme="minorHAnsi" w:cstheme="minorBidi"/>
          <w:b w:val="0"/>
          <w:sz w:val="22"/>
          <w:szCs w:val="22"/>
          <w:lang w:eastAsia="en-AU"/>
        </w:rPr>
      </w:pPr>
      <w:hyperlink w:anchor="_Toc443486940" w:history="1">
        <w:r w:rsidR="006E4257" w:rsidRPr="00D644B5">
          <w:rPr>
            <w:rStyle w:val="Hyperlink"/>
          </w:rPr>
          <w:t>11</w:t>
        </w:r>
        <w:r w:rsidR="006E4257">
          <w:rPr>
            <w:rFonts w:asciiTheme="minorHAnsi" w:eastAsiaTheme="minorEastAsia" w:hAnsiTheme="minorHAnsi" w:cstheme="minorBidi"/>
            <w:b w:val="0"/>
            <w:sz w:val="22"/>
            <w:szCs w:val="22"/>
            <w:lang w:eastAsia="en-AU"/>
          </w:rPr>
          <w:tab/>
        </w:r>
        <w:r w:rsidR="006E4257" w:rsidRPr="00D644B5">
          <w:rPr>
            <w:rStyle w:val="Hyperlink"/>
          </w:rPr>
          <w:t>Telecommunications Allowance</w:t>
        </w:r>
        <w:r w:rsidR="006E4257" w:rsidRPr="0061154A">
          <w:rPr>
            <w:b w:val="0"/>
            <w:webHidden/>
          </w:rPr>
          <w:tab/>
        </w:r>
        <w:r w:rsidR="006E4257" w:rsidRPr="0061154A">
          <w:rPr>
            <w:b w:val="0"/>
            <w:webHidden/>
          </w:rPr>
          <w:fldChar w:fldCharType="begin"/>
        </w:r>
        <w:r w:rsidR="006E4257" w:rsidRPr="0061154A">
          <w:rPr>
            <w:b w:val="0"/>
            <w:webHidden/>
          </w:rPr>
          <w:instrText xml:space="preserve"> PAGEREF _Toc443486940 \h </w:instrText>
        </w:r>
        <w:r w:rsidR="006E4257" w:rsidRPr="0061154A">
          <w:rPr>
            <w:b w:val="0"/>
            <w:webHidden/>
          </w:rPr>
        </w:r>
        <w:r w:rsidR="006E4257" w:rsidRPr="0061154A">
          <w:rPr>
            <w:b w:val="0"/>
            <w:webHidden/>
          </w:rPr>
          <w:fldChar w:fldCharType="separate"/>
        </w:r>
        <w:r w:rsidR="006C0DC0">
          <w:rPr>
            <w:b w:val="0"/>
            <w:webHidden/>
          </w:rPr>
          <w:t>38</w:t>
        </w:r>
        <w:r w:rsidR="006E4257" w:rsidRPr="0061154A">
          <w:rPr>
            <w:b w:val="0"/>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41" w:history="1">
        <w:r w:rsidR="006E4257" w:rsidRPr="00D644B5">
          <w:rPr>
            <w:rStyle w:val="Hyperlink"/>
          </w:rPr>
          <w:t>11.1</w:t>
        </w:r>
        <w:r w:rsidR="006E4257">
          <w:rPr>
            <w:rFonts w:asciiTheme="minorHAnsi" w:eastAsiaTheme="minorEastAsia" w:hAnsiTheme="minorHAnsi" w:cstheme="minorBidi"/>
            <w:sz w:val="22"/>
            <w:szCs w:val="22"/>
            <w:lang w:eastAsia="en-AU"/>
          </w:rPr>
          <w:tab/>
        </w:r>
        <w:r w:rsidR="006E4257" w:rsidRPr="00D644B5">
          <w:rPr>
            <w:rStyle w:val="Hyperlink"/>
          </w:rPr>
          <w:t>Information</w:t>
        </w:r>
        <w:r w:rsidR="006E4257">
          <w:rPr>
            <w:webHidden/>
          </w:rPr>
          <w:tab/>
        </w:r>
        <w:r w:rsidR="006E4257">
          <w:rPr>
            <w:webHidden/>
          </w:rPr>
          <w:fldChar w:fldCharType="begin"/>
        </w:r>
        <w:r w:rsidR="006E4257">
          <w:rPr>
            <w:webHidden/>
          </w:rPr>
          <w:instrText xml:space="preserve"> PAGEREF _Toc443486941 \h </w:instrText>
        </w:r>
        <w:r w:rsidR="006E4257">
          <w:rPr>
            <w:webHidden/>
          </w:rPr>
        </w:r>
        <w:r w:rsidR="006E4257">
          <w:rPr>
            <w:webHidden/>
          </w:rPr>
          <w:fldChar w:fldCharType="separate"/>
        </w:r>
        <w:r w:rsidR="006C0DC0">
          <w:rPr>
            <w:webHidden/>
          </w:rPr>
          <w:t>38</w:t>
        </w:r>
        <w:r w:rsidR="006E4257">
          <w:rPr>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42" w:history="1">
        <w:r w:rsidR="006E4257" w:rsidRPr="00D644B5">
          <w:rPr>
            <w:rStyle w:val="Hyperlink"/>
          </w:rPr>
          <w:t>11.2</w:t>
        </w:r>
        <w:r w:rsidR="006E4257">
          <w:rPr>
            <w:rFonts w:asciiTheme="minorHAnsi" w:eastAsiaTheme="minorEastAsia" w:hAnsiTheme="minorHAnsi" w:cstheme="minorBidi"/>
            <w:sz w:val="22"/>
            <w:szCs w:val="22"/>
            <w:lang w:eastAsia="en-AU"/>
          </w:rPr>
          <w:tab/>
        </w:r>
        <w:r w:rsidR="006E4257" w:rsidRPr="00D644B5">
          <w:rPr>
            <w:rStyle w:val="Hyperlink"/>
          </w:rPr>
          <w:t>Recommendation</w:t>
        </w:r>
        <w:r w:rsidR="006E4257">
          <w:rPr>
            <w:webHidden/>
          </w:rPr>
          <w:tab/>
        </w:r>
        <w:r w:rsidR="006E4257">
          <w:rPr>
            <w:webHidden/>
          </w:rPr>
          <w:fldChar w:fldCharType="begin"/>
        </w:r>
        <w:r w:rsidR="006E4257">
          <w:rPr>
            <w:webHidden/>
          </w:rPr>
          <w:instrText xml:space="preserve"> PAGEREF _Toc443486942 \h </w:instrText>
        </w:r>
        <w:r w:rsidR="006E4257">
          <w:rPr>
            <w:webHidden/>
          </w:rPr>
        </w:r>
        <w:r w:rsidR="006E4257">
          <w:rPr>
            <w:webHidden/>
          </w:rPr>
          <w:fldChar w:fldCharType="separate"/>
        </w:r>
        <w:r w:rsidR="006C0DC0">
          <w:rPr>
            <w:webHidden/>
          </w:rPr>
          <w:t>40</w:t>
        </w:r>
        <w:r w:rsidR="006E4257">
          <w:rPr>
            <w:webHidden/>
          </w:rPr>
          <w:fldChar w:fldCharType="end"/>
        </w:r>
      </w:hyperlink>
    </w:p>
    <w:p w:rsidR="006E4257" w:rsidRDefault="00FD0D54">
      <w:pPr>
        <w:pStyle w:val="TOC1"/>
        <w:rPr>
          <w:rFonts w:asciiTheme="minorHAnsi" w:eastAsiaTheme="minorEastAsia" w:hAnsiTheme="minorHAnsi" w:cstheme="minorBidi"/>
          <w:b w:val="0"/>
          <w:sz w:val="22"/>
          <w:szCs w:val="22"/>
          <w:lang w:eastAsia="en-AU"/>
        </w:rPr>
      </w:pPr>
      <w:hyperlink w:anchor="_Toc443486943" w:history="1">
        <w:r w:rsidR="006E4257" w:rsidRPr="00D644B5">
          <w:rPr>
            <w:rStyle w:val="Hyperlink"/>
          </w:rPr>
          <w:t>12</w:t>
        </w:r>
        <w:r w:rsidR="006E4257">
          <w:rPr>
            <w:rFonts w:asciiTheme="minorHAnsi" w:eastAsiaTheme="minorEastAsia" w:hAnsiTheme="minorHAnsi" w:cstheme="minorBidi"/>
            <w:b w:val="0"/>
            <w:sz w:val="22"/>
            <w:szCs w:val="22"/>
            <w:lang w:eastAsia="en-AU"/>
          </w:rPr>
          <w:tab/>
        </w:r>
        <w:r w:rsidR="006E4257" w:rsidRPr="00D644B5">
          <w:rPr>
            <w:rStyle w:val="Hyperlink"/>
          </w:rPr>
          <w:t>Entertainment Allowance</w:t>
        </w:r>
        <w:r w:rsidR="006E4257" w:rsidRPr="0061154A">
          <w:rPr>
            <w:b w:val="0"/>
            <w:webHidden/>
          </w:rPr>
          <w:tab/>
        </w:r>
        <w:r w:rsidR="006E4257" w:rsidRPr="0061154A">
          <w:rPr>
            <w:b w:val="0"/>
            <w:webHidden/>
          </w:rPr>
          <w:fldChar w:fldCharType="begin"/>
        </w:r>
        <w:r w:rsidR="006E4257" w:rsidRPr="0061154A">
          <w:rPr>
            <w:b w:val="0"/>
            <w:webHidden/>
          </w:rPr>
          <w:instrText xml:space="preserve"> PAGEREF _Toc443486943 \h </w:instrText>
        </w:r>
        <w:r w:rsidR="006E4257" w:rsidRPr="0061154A">
          <w:rPr>
            <w:b w:val="0"/>
            <w:webHidden/>
          </w:rPr>
        </w:r>
        <w:r w:rsidR="006E4257" w:rsidRPr="0061154A">
          <w:rPr>
            <w:b w:val="0"/>
            <w:webHidden/>
          </w:rPr>
          <w:fldChar w:fldCharType="separate"/>
        </w:r>
        <w:r w:rsidR="006C0DC0">
          <w:rPr>
            <w:b w:val="0"/>
            <w:webHidden/>
          </w:rPr>
          <w:t>41</w:t>
        </w:r>
        <w:r w:rsidR="006E4257" w:rsidRPr="0061154A">
          <w:rPr>
            <w:b w:val="0"/>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44" w:history="1">
        <w:r w:rsidR="006E4257" w:rsidRPr="00D644B5">
          <w:rPr>
            <w:rStyle w:val="Hyperlink"/>
          </w:rPr>
          <w:t>12.1</w:t>
        </w:r>
        <w:r w:rsidR="006E4257">
          <w:rPr>
            <w:rFonts w:asciiTheme="minorHAnsi" w:eastAsiaTheme="minorEastAsia" w:hAnsiTheme="minorHAnsi" w:cstheme="minorBidi"/>
            <w:sz w:val="22"/>
            <w:szCs w:val="22"/>
            <w:lang w:eastAsia="en-AU"/>
          </w:rPr>
          <w:tab/>
        </w:r>
        <w:r w:rsidR="006E4257" w:rsidRPr="00D644B5">
          <w:rPr>
            <w:rStyle w:val="Hyperlink"/>
          </w:rPr>
          <w:t>Information</w:t>
        </w:r>
        <w:r w:rsidR="006E4257">
          <w:rPr>
            <w:webHidden/>
          </w:rPr>
          <w:tab/>
        </w:r>
        <w:r w:rsidR="006E4257">
          <w:rPr>
            <w:webHidden/>
          </w:rPr>
          <w:fldChar w:fldCharType="begin"/>
        </w:r>
        <w:r w:rsidR="006E4257">
          <w:rPr>
            <w:webHidden/>
          </w:rPr>
          <w:instrText xml:space="preserve"> PAGEREF _Toc443486944 \h </w:instrText>
        </w:r>
        <w:r w:rsidR="006E4257">
          <w:rPr>
            <w:webHidden/>
          </w:rPr>
        </w:r>
        <w:r w:rsidR="006E4257">
          <w:rPr>
            <w:webHidden/>
          </w:rPr>
          <w:fldChar w:fldCharType="separate"/>
        </w:r>
        <w:r w:rsidR="006C0DC0">
          <w:rPr>
            <w:webHidden/>
          </w:rPr>
          <w:t>41</w:t>
        </w:r>
        <w:r w:rsidR="006E4257">
          <w:rPr>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45" w:history="1">
        <w:r w:rsidR="006E4257" w:rsidRPr="00D644B5">
          <w:rPr>
            <w:rStyle w:val="Hyperlink"/>
          </w:rPr>
          <w:t>12.2</w:t>
        </w:r>
        <w:r w:rsidR="006E4257">
          <w:rPr>
            <w:rFonts w:asciiTheme="minorHAnsi" w:eastAsiaTheme="minorEastAsia" w:hAnsiTheme="minorHAnsi" w:cstheme="minorBidi"/>
            <w:sz w:val="22"/>
            <w:szCs w:val="22"/>
            <w:lang w:eastAsia="en-AU"/>
          </w:rPr>
          <w:tab/>
        </w:r>
        <w:r w:rsidR="006E4257" w:rsidRPr="00D644B5">
          <w:rPr>
            <w:rStyle w:val="Hyperlink"/>
          </w:rPr>
          <w:t>Recommendation</w:t>
        </w:r>
        <w:r w:rsidR="006E4257">
          <w:rPr>
            <w:webHidden/>
          </w:rPr>
          <w:tab/>
        </w:r>
        <w:r w:rsidR="006E4257">
          <w:rPr>
            <w:webHidden/>
          </w:rPr>
          <w:fldChar w:fldCharType="begin"/>
        </w:r>
        <w:r w:rsidR="006E4257">
          <w:rPr>
            <w:webHidden/>
          </w:rPr>
          <w:instrText xml:space="preserve"> PAGEREF _Toc443486945 \h </w:instrText>
        </w:r>
        <w:r w:rsidR="006E4257">
          <w:rPr>
            <w:webHidden/>
          </w:rPr>
        </w:r>
        <w:r w:rsidR="006E4257">
          <w:rPr>
            <w:webHidden/>
          </w:rPr>
          <w:fldChar w:fldCharType="separate"/>
        </w:r>
        <w:r w:rsidR="006C0DC0">
          <w:rPr>
            <w:webHidden/>
          </w:rPr>
          <w:t>41</w:t>
        </w:r>
        <w:r w:rsidR="006E4257">
          <w:rPr>
            <w:webHidden/>
          </w:rPr>
          <w:fldChar w:fldCharType="end"/>
        </w:r>
      </w:hyperlink>
    </w:p>
    <w:p w:rsidR="006E4257" w:rsidRDefault="00FD0D54">
      <w:pPr>
        <w:pStyle w:val="TOC1"/>
        <w:rPr>
          <w:rFonts w:asciiTheme="minorHAnsi" w:eastAsiaTheme="minorEastAsia" w:hAnsiTheme="minorHAnsi" w:cstheme="minorBidi"/>
          <w:b w:val="0"/>
          <w:sz w:val="22"/>
          <w:szCs w:val="22"/>
          <w:lang w:eastAsia="en-AU"/>
        </w:rPr>
      </w:pPr>
      <w:hyperlink w:anchor="_Toc443486946" w:history="1">
        <w:r w:rsidR="006E4257" w:rsidRPr="00D644B5">
          <w:rPr>
            <w:rStyle w:val="Hyperlink"/>
          </w:rPr>
          <w:t>13</w:t>
        </w:r>
        <w:r w:rsidR="006E4257">
          <w:rPr>
            <w:rFonts w:asciiTheme="minorHAnsi" w:eastAsiaTheme="minorEastAsia" w:hAnsiTheme="minorHAnsi" w:cstheme="minorBidi"/>
            <w:b w:val="0"/>
            <w:sz w:val="22"/>
            <w:szCs w:val="22"/>
            <w:lang w:eastAsia="en-AU"/>
          </w:rPr>
          <w:tab/>
        </w:r>
        <w:r w:rsidR="006E4257" w:rsidRPr="00D644B5">
          <w:rPr>
            <w:rStyle w:val="Hyperlink"/>
          </w:rPr>
          <w:t>Away from Home Travelling Allowance</w:t>
        </w:r>
        <w:r w:rsidR="006E4257" w:rsidRPr="0061154A">
          <w:rPr>
            <w:b w:val="0"/>
            <w:webHidden/>
          </w:rPr>
          <w:tab/>
        </w:r>
        <w:r w:rsidR="006E4257" w:rsidRPr="0061154A">
          <w:rPr>
            <w:b w:val="0"/>
            <w:webHidden/>
          </w:rPr>
          <w:fldChar w:fldCharType="begin"/>
        </w:r>
        <w:r w:rsidR="006E4257" w:rsidRPr="0061154A">
          <w:rPr>
            <w:b w:val="0"/>
            <w:webHidden/>
          </w:rPr>
          <w:instrText xml:space="preserve"> PAGEREF _Toc443486946 \h </w:instrText>
        </w:r>
        <w:r w:rsidR="006E4257" w:rsidRPr="0061154A">
          <w:rPr>
            <w:b w:val="0"/>
            <w:webHidden/>
          </w:rPr>
        </w:r>
        <w:r w:rsidR="006E4257" w:rsidRPr="0061154A">
          <w:rPr>
            <w:b w:val="0"/>
            <w:webHidden/>
          </w:rPr>
          <w:fldChar w:fldCharType="separate"/>
        </w:r>
        <w:r w:rsidR="006C0DC0">
          <w:rPr>
            <w:b w:val="0"/>
            <w:webHidden/>
          </w:rPr>
          <w:t>41</w:t>
        </w:r>
        <w:r w:rsidR="006E4257" w:rsidRPr="0061154A">
          <w:rPr>
            <w:b w:val="0"/>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47" w:history="1">
        <w:r w:rsidR="006E4257" w:rsidRPr="00D644B5">
          <w:rPr>
            <w:rStyle w:val="Hyperlink"/>
          </w:rPr>
          <w:t>13.1</w:t>
        </w:r>
        <w:r w:rsidR="006E4257">
          <w:rPr>
            <w:rFonts w:asciiTheme="minorHAnsi" w:eastAsiaTheme="minorEastAsia" w:hAnsiTheme="minorHAnsi" w:cstheme="minorBidi"/>
            <w:sz w:val="22"/>
            <w:szCs w:val="22"/>
            <w:lang w:eastAsia="en-AU"/>
          </w:rPr>
          <w:tab/>
        </w:r>
        <w:r w:rsidR="006E4257" w:rsidRPr="00D644B5">
          <w:rPr>
            <w:rStyle w:val="Hyperlink"/>
          </w:rPr>
          <w:t>Information</w:t>
        </w:r>
        <w:r w:rsidR="006E4257">
          <w:rPr>
            <w:webHidden/>
          </w:rPr>
          <w:tab/>
        </w:r>
        <w:r w:rsidR="006E4257">
          <w:rPr>
            <w:webHidden/>
          </w:rPr>
          <w:fldChar w:fldCharType="begin"/>
        </w:r>
        <w:r w:rsidR="006E4257">
          <w:rPr>
            <w:webHidden/>
          </w:rPr>
          <w:instrText xml:space="preserve"> PAGEREF _Toc443486947 \h </w:instrText>
        </w:r>
        <w:r w:rsidR="006E4257">
          <w:rPr>
            <w:webHidden/>
          </w:rPr>
        </w:r>
        <w:r w:rsidR="006E4257">
          <w:rPr>
            <w:webHidden/>
          </w:rPr>
          <w:fldChar w:fldCharType="separate"/>
        </w:r>
        <w:r w:rsidR="006C0DC0">
          <w:rPr>
            <w:webHidden/>
          </w:rPr>
          <w:t>41</w:t>
        </w:r>
        <w:r w:rsidR="006E4257">
          <w:rPr>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48" w:history="1">
        <w:r w:rsidR="006E4257" w:rsidRPr="00D644B5">
          <w:rPr>
            <w:rStyle w:val="Hyperlink"/>
          </w:rPr>
          <w:t>13.2</w:t>
        </w:r>
        <w:r w:rsidR="006E4257">
          <w:rPr>
            <w:rFonts w:asciiTheme="minorHAnsi" w:eastAsiaTheme="minorEastAsia" w:hAnsiTheme="minorHAnsi" w:cstheme="minorBidi"/>
            <w:sz w:val="22"/>
            <w:szCs w:val="22"/>
            <w:lang w:eastAsia="en-AU"/>
          </w:rPr>
          <w:tab/>
        </w:r>
        <w:r w:rsidR="006E4257" w:rsidRPr="00D644B5">
          <w:rPr>
            <w:rStyle w:val="Hyperlink"/>
          </w:rPr>
          <w:t>Recommendation</w:t>
        </w:r>
        <w:r w:rsidR="006E4257">
          <w:rPr>
            <w:webHidden/>
          </w:rPr>
          <w:tab/>
        </w:r>
        <w:r w:rsidR="006E4257">
          <w:rPr>
            <w:webHidden/>
          </w:rPr>
          <w:fldChar w:fldCharType="begin"/>
        </w:r>
        <w:r w:rsidR="006E4257">
          <w:rPr>
            <w:webHidden/>
          </w:rPr>
          <w:instrText xml:space="preserve"> PAGEREF _Toc443486948 \h </w:instrText>
        </w:r>
        <w:r w:rsidR="006E4257">
          <w:rPr>
            <w:webHidden/>
          </w:rPr>
        </w:r>
        <w:r w:rsidR="006E4257">
          <w:rPr>
            <w:webHidden/>
          </w:rPr>
          <w:fldChar w:fldCharType="separate"/>
        </w:r>
        <w:r w:rsidR="006C0DC0">
          <w:rPr>
            <w:webHidden/>
          </w:rPr>
          <w:t>43</w:t>
        </w:r>
        <w:r w:rsidR="006E4257">
          <w:rPr>
            <w:webHidden/>
          </w:rPr>
          <w:fldChar w:fldCharType="end"/>
        </w:r>
      </w:hyperlink>
    </w:p>
    <w:p w:rsidR="006E4257" w:rsidRDefault="00FD0D54">
      <w:pPr>
        <w:pStyle w:val="TOC1"/>
        <w:rPr>
          <w:rFonts w:asciiTheme="minorHAnsi" w:eastAsiaTheme="minorEastAsia" w:hAnsiTheme="minorHAnsi" w:cstheme="minorBidi"/>
          <w:b w:val="0"/>
          <w:sz w:val="22"/>
          <w:szCs w:val="22"/>
          <w:lang w:eastAsia="en-AU"/>
        </w:rPr>
      </w:pPr>
      <w:hyperlink w:anchor="_Toc443486949" w:history="1">
        <w:r w:rsidR="006E4257" w:rsidRPr="00D644B5">
          <w:rPr>
            <w:rStyle w:val="Hyperlink"/>
          </w:rPr>
          <w:t>14</w:t>
        </w:r>
        <w:r w:rsidR="006E4257">
          <w:rPr>
            <w:rFonts w:asciiTheme="minorHAnsi" w:eastAsiaTheme="minorEastAsia" w:hAnsiTheme="minorHAnsi" w:cstheme="minorBidi"/>
            <w:b w:val="0"/>
            <w:sz w:val="22"/>
            <w:szCs w:val="22"/>
            <w:lang w:eastAsia="en-AU"/>
          </w:rPr>
          <w:tab/>
        </w:r>
        <w:r w:rsidR="006E4257" w:rsidRPr="00D644B5">
          <w:rPr>
            <w:rStyle w:val="Hyperlink"/>
          </w:rPr>
          <w:t>Bass Strait Islands Travelling Allowance</w:t>
        </w:r>
        <w:r w:rsidR="006E4257" w:rsidRPr="0061154A">
          <w:rPr>
            <w:b w:val="0"/>
            <w:webHidden/>
          </w:rPr>
          <w:tab/>
        </w:r>
        <w:r w:rsidR="006E4257" w:rsidRPr="0061154A">
          <w:rPr>
            <w:b w:val="0"/>
            <w:webHidden/>
          </w:rPr>
          <w:fldChar w:fldCharType="begin"/>
        </w:r>
        <w:r w:rsidR="006E4257" w:rsidRPr="0061154A">
          <w:rPr>
            <w:b w:val="0"/>
            <w:webHidden/>
          </w:rPr>
          <w:instrText xml:space="preserve"> PAGEREF _Toc443486949 \h </w:instrText>
        </w:r>
        <w:r w:rsidR="006E4257" w:rsidRPr="0061154A">
          <w:rPr>
            <w:b w:val="0"/>
            <w:webHidden/>
          </w:rPr>
        </w:r>
        <w:r w:rsidR="006E4257" w:rsidRPr="0061154A">
          <w:rPr>
            <w:b w:val="0"/>
            <w:webHidden/>
          </w:rPr>
          <w:fldChar w:fldCharType="separate"/>
        </w:r>
        <w:r w:rsidR="006C0DC0">
          <w:rPr>
            <w:b w:val="0"/>
            <w:webHidden/>
          </w:rPr>
          <w:t>43</w:t>
        </w:r>
        <w:r w:rsidR="006E4257" w:rsidRPr="0061154A">
          <w:rPr>
            <w:b w:val="0"/>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50" w:history="1">
        <w:r w:rsidR="006E4257" w:rsidRPr="00D644B5">
          <w:rPr>
            <w:rStyle w:val="Hyperlink"/>
          </w:rPr>
          <w:t>14.1</w:t>
        </w:r>
        <w:r w:rsidR="006E4257">
          <w:rPr>
            <w:rFonts w:asciiTheme="minorHAnsi" w:eastAsiaTheme="minorEastAsia" w:hAnsiTheme="minorHAnsi" w:cstheme="minorBidi"/>
            <w:sz w:val="22"/>
            <w:szCs w:val="22"/>
            <w:lang w:eastAsia="en-AU"/>
          </w:rPr>
          <w:tab/>
        </w:r>
        <w:r w:rsidR="006E4257" w:rsidRPr="00D644B5">
          <w:rPr>
            <w:rStyle w:val="Hyperlink"/>
          </w:rPr>
          <w:t>Information</w:t>
        </w:r>
        <w:r w:rsidR="006E4257">
          <w:rPr>
            <w:webHidden/>
          </w:rPr>
          <w:tab/>
        </w:r>
        <w:r w:rsidR="006E4257">
          <w:rPr>
            <w:webHidden/>
          </w:rPr>
          <w:fldChar w:fldCharType="begin"/>
        </w:r>
        <w:r w:rsidR="006E4257">
          <w:rPr>
            <w:webHidden/>
          </w:rPr>
          <w:instrText xml:space="preserve"> PAGEREF _Toc443486950 \h </w:instrText>
        </w:r>
        <w:r w:rsidR="006E4257">
          <w:rPr>
            <w:webHidden/>
          </w:rPr>
        </w:r>
        <w:r w:rsidR="006E4257">
          <w:rPr>
            <w:webHidden/>
          </w:rPr>
          <w:fldChar w:fldCharType="separate"/>
        </w:r>
        <w:r w:rsidR="006C0DC0">
          <w:rPr>
            <w:webHidden/>
          </w:rPr>
          <w:t>43</w:t>
        </w:r>
        <w:r w:rsidR="006E4257">
          <w:rPr>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51" w:history="1">
        <w:r w:rsidR="006E4257" w:rsidRPr="00D644B5">
          <w:rPr>
            <w:rStyle w:val="Hyperlink"/>
          </w:rPr>
          <w:t>14.2</w:t>
        </w:r>
        <w:r w:rsidR="006E4257">
          <w:rPr>
            <w:rFonts w:asciiTheme="minorHAnsi" w:eastAsiaTheme="minorEastAsia" w:hAnsiTheme="minorHAnsi" w:cstheme="minorBidi"/>
            <w:sz w:val="22"/>
            <w:szCs w:val="22"/>
            <w:lang w:eastAsia="en-AU"/>
          </w:rPr>
          <w:tab/>
        </w:r>
        <w:r w:rsidR="006E4257" w:rsidRPr="00D644B5">
          <w:rPr>
            <w:rStyle w:val="Hyperlink"/>
          </w:rPr>
          <w:t>Recommendation</w:t>
        </w:r>
        <w:r w:rsidR="006E4257">
          <w:rPr>
            <w:webHidden/>
          </w:rPr>
          <w:tab/>
        </w:r>
        <w:r w:rsidR="006E4257">
          <w:rPr>
            <w:webHidden/>
          </w:rPr>
          <w:fldChar w:fldCharType="begin"/>
        </w:r>
        <w:r w:rsidR="006E4257">
          <w:rPr>
            <w:webHidden/>
          </w:rPr>
          <w:instrText xml:space="preserve"> PAGEREF _Toc443486951 \h </w:instrText>
        </w:r>
        <w:r w:rsidR="006E4257">
          <w:rPr>
            <w:webHidden/>
          </w:rPr>
        </w:r>
        <w:r w:rsidR="006E4257">
          <w:rPr>
            <w:webHidden/>
          </w:rPr>
          <w:fldChar w:fldCharType="separate"/>
        </w:r>
        <w:r w:rsidR="006C0DC0">
          <w:rPr>
            <w:webHidden/>
          </w:rPr>
          <w:t>43</w:t>
        </w:r>
        <w:r w:rsidR="006E4257">
          <w:rPr>
            <w:webHidden/>
          </w:rPr>
          <w:fldChar w:fldCharType="end"/>
        </w:r>
      </w:hyperlink>
    </w:p>
    <w:p w:rsidR="006E4257" w:rsidRDefault="00FD0D54">
      <w:pPr>
        <w:pStyle w:val="TOC1"/>
        <w:rPr>
          <w:rFonts w:asciiTheme="minorHAnsi" w:eastAsiaTheme="minorEastAsia" w:hAnsiTheme="minorHAnsi" w:cstheme="minorBidi"/>
          <w:b w:val="0"/>
          <w:sz w:val="22"/>
          <w:szCs w:val="22"/>
          <w:lang w:eastAsia="en-AU"/>
        </w:rPr>
      </w:pPr>
      <w:hyperlink w:anchor="_Toc443486952" w:history="1">
        <w:r w:rsidR="006E4257" w:rsidRPr="00D644B5">
          <w:rPr>
            <w:rStyle w:val="Hyperlink"/>
          </w:rPr>
          <w:t>15</w:t>
        </w:r>
        <w:r w:rsidR="006E4257">
          <w:rPr>
            <w:rFonts w:asciiTheme="minorHAnsi" w:eastAsiaTheme="minorEastAsia" w:hAnsiTheme="minorHAnsi" w:cstheme="minorBidi"/>
            <w:b w:val="0"/>
            <w:sz w:val="22"/>
            <w:szCs w:val="22"/>
            <w:lang w:eastAsia="en-AU"/>
          </w:rPr>
          <w:tab/>
        </w:r>
        <w:r w:rsidR="006E4257" w:rsidRPr="00D644B5">
          <w:rPr>
            <w:rStyle w:val="Hyperlink"/>
          </w:rPr>
          <w:t>Taxi Allowance</w:t>
        </w:r>
        <w:r w:rsidR="006E4257" w:rsidRPr="0061154A">
          <w:rPr>
            <w:b w:val="0"/>
            <w:webHidden/>
          </w:rPr>
          <w:tab/>
        </w:r>
        <w:r w:rsidR="006E4257" w:rsidRPr="0061154A">
          <w:rPr>
            <w:b w:val="0"/>
            <w:webHidden/>
          </w:rPr>
          <w:fldChar w:fldCharType="begin"/>
        </w:r>
        <w:r w:rsidR="006E4257" w:rsidRPr="0061154A">
          <w:rPr>
            <w:b w:val="0"/>
            <w:webHidden/>
          </w:rPr>
          <w:instrText xml:space="preserve"> PAGEREF _Toc443486952 \h </w:instrText>
        </w:r>
        <w:r w:rsidR="006E4257" w:rsidRPr="0061154A">
          <w:rPr>
            <w:b w:val="0"/>
            <w:webHidden/>
          </w:rPr>
        </w:r>
        <w:r w:rsidR="006E4257" w:rsidRPr="0061154A">
          <w:rPr>
            <w:b w:val="0"/>
            <w:webHidden/>
          </w:rPr>
          <w:fldChar w:fldCharType="separate"/>
        </w:r>
        <w:r w:rsidR="006C0DC0">
          <w:rPr>
            <w:b w:val="0"/>
            <w:webHidden/>
          </w:rPr>
          <w:t>44</w:t>
        </w:r>
        <w:r w:rsidR="006E4257" w:rsidRPr="0061154A">
          <w:rPr>
            <w:b w:val="0"/>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53" w:history="1">
        <w:r w:rsidR="006E4257" w:rsidRPr="00D644B5">
          <w:rPr>
            <w:rStyle w:val="Hyperlink"/>
          </w:rPr>
          <w:t>15.1</w:t>
        </w:r>
        <w:r w:rsidR="006E4257">
          <w:rPr>
            <w:rFonts w:asciiTheme="minorHAnsi" w:eastAsiaTheme="minorEastAsia" w:hAnsiTheme="minorHAnsi" w:cstheme="minorBidi"/>
            <w:sz w:val="22"/>
            <w:szCs w:val="22"/>
            <w:lang w:eastAsia="en-AU"/>
          </w:rPr>
          <w:tab/>
        </w:r>
        <w:r w:rsidR="006E4257" w:rsidRPr="00D644B5">
          <w:rPr>
            <w:rStyle w:val="Hyperlink"/>
          </w:rPr>
          <w:t>Information</w:t>
        </w:r>
        <w:r w:rsidR="006E4257">
          <w:rPr>
            <w:webHidden/>
          </w:rPr>
          <w:tab/>
        </w:r>
        <w:r w:rsidR="006E4257">
          <w:rPr>
            <w:webHidden/>
          </w:rPr>
          <w:fldChar w:fldCharType="begin"/>
        </w:r>
        <w:r w:rsidR="006E4257">
          <w:rPr>
            <w:webHidden/>
          </w:rPr>
          <w:instrText xml:space="preserve"> PAGEREF _Toc443486953 \h </w:instrText>
        </w:r>
        <w:r w:rsidR="006E4257">
          <w:rPr>
            <w:webHidden/>
          </w:rPr>
        </w:r>
        <w:r w:rsidR="006E4257">
          <w:rPr>
            <w:webHidden/>
          </w:rPr>
          <w:fldChar w:fldCharType="separate"/>
        </w:r>
        <w:r w:rsidR="006C0DC0">
          <w:rPr>
            <w:webHidden/>
          </w:rPr>
          <w:t>44</w:t>
        </w:r>
        <w:r w:rsidR="006E4257">
          <w:rPr>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54" w:history="1">
        <w:r w:rsidR="006E4257" w:rsidRPr="00D644B5">
          <w:rPr>
            <w:rStyle w:val="Hyperlink"/>
          </w:rPr>
          <w:t>15.2</w:t>
        </w:r>
        <w:r w:rsidR="006E4257">
          <w:rPr>
            <w:rFonts w:asciiTheme="minorHAnsi" w:eastAsiaTheme="minorEastAsia" w:hAnsiTheme="minorHAnsi" w:cstheme="minorBidi"/>
            <w:sz w:val="22"/>
            <w:szCs w:val="22"/>
            <w:lang w:eastAsia="en-AU"/>
          </w:rPr>
          <w:tab/>
        </w:r>
        <w:r w:rsidR="006E4257" w:rsidRPr="00D644B5">
          <w:rPr>
            <w:rStyle w:val="Hyperlink"/>
          </w:rPr>
          <w:t>Recommendation</w:t>
        </w:r>
        <w:r w:rsidR="006E4257">
          <w:rPr>
            <w:webHidden/>
          </w:rPr>
          <w:tab/>
        </w:r>
        <w:r w:rsidR="006E4257">
          <w:rPr>
            <w:webHidden/>
          </w:rPr>
          <w:fldChar w:fldCharType="begin"/>
        </w:r>
        <w:r w:rsidR="006E4257">
          <w:rPr>
            <w:webHidden/>
          </w:rPr>
          <w:instrText xml:space="preserve"> PAGEREF _Toc443486954 \h </w:instrText>
        </w:r>
        <w:r w:rsidR="006E4257">
          <w:rPr>
            <w:webHidden/>
          </w:rPr>
        </w:r>
        <w:r w:rsidR="006E4257">
          <w:rPr>
            <w:webHidden/>
          </w:rPr>
          <w:fldChar w:fldCharType="separate"/>
        </w:r>
        <w:r w:rsidR="006C0DC0">
          <w:rPr>
            <w:webHidden/>
          </w:rPr>
          <w:t>44</w:t>
        </w:r>
        <w:r w:rsidR="006E4257">
          <w:rPr>
            <w:webHidden/>
          </w:rPr>
          <w:fldChar w:fldCharType="end"/>
        </w:r>
      </w:hyperlink>
    </w:p>
    <w:p w:rsidR="006E4257" w:rsidRDefault="00FD0D54">
      <w:pPr>
        <w:pStyle w:val="TOC1"/>
        <w:rPr>
          <w:rFonts w:asciiTheme="minorHAnsi" w:eastAsiaTheme="minorEastAsia" w:hAnsiTheme="minorHAnsi" w:cstheme="minorBidi"/>
          <w:b w:val="0"/>
          <w:sz w:val="22"/>
          <w:szCs w:val="22"/>
          <w:lang w:eastAsia="en-AU"/>
        </w:rPr>
      </w:pPr>
      <w:hyperlink w:anchor="_Toc443486955" w:history="1">
        <w:r w:rsidR="006E4257" w:rsidRPr="00D644B5">
          <w:rPr>
            <w:rStyle w:val="Hyperlink"/>
          </w:rPr>
          <w:t>16</w:t>
        </w:r>
        <w:r w:rsidR="006E4257">
          <w:rPr>
            <w:rFonts w:asciiTheme="minorHAnsi" w:eastAsiaTheme="minorEastAsia" w:hAnsiTheme="minorHAnsi" w:cstheme="minorBidi"/>
            <w:b w:val="0"/>
            <w:sz w:val="22"/>
            <w:szCs w:val="22"/>
            <w:lang w:eastAsia="en-AU"/>
          </w:rPr>
          <w:tab/>
        </w:r>
        <w:r w:rsidR="006E4257" w:rsidRPr="00D644B5">
          <w:rPr>
            <w:rStyle w:val="Hyperlink"/>
          </w:rPr>
          <w:t>Resettlement Allowance</w:t>
        </w:r>
        <w:r w:rsidR="006E4257" w:rsidRPr="0061154A">
          <w:rPr>
            <w:b w:val="0"/>
            <w:webHidden/>
          </w:rPr>
          <w:tab/>
        </w:r>
        <w:r w:rsidR="006E4257" w:rsidRPr="0061154A">
          <w:rPr>
            <w:b w:val="0"/>
            <w:webHidden/>
          </w:rPr>
          <w:fldChar w:fldCharType="begin"/>
        </w:r>
        <w:r w:rsidR="006E4257" w:rsidRPr="0061154A">
          <w:rPr>
            <w:b w:val="0"/>
            <w:webHidden/>
          </w:rPr>
          <w:instrText xml:space="preserve"> PAGEREF _Toc443486955 \h </w:instrText>
        </w:r>
        <w:r w:rsidR="006E4257" w:rsidRPr="0061154A">
          <w:rPr>
            <w:b w:val="0"/>
            <w:webHidden/>
          </w:rPr>
        </w:r>
        <w:r w:rsidR="006E4257" w:rsidRPr="0061154A">
          <w:rPr>
            <w:b w:val="0"/>
            <w:webHidden/>
          </w:rPr>
          <w:fldChar w:fldCharType="separate"/>
        </w:r>
        <w:r w:rsidR="006C0DC0">
          <w:rPr>
            <w:b w:val="0"/>
            <w:webHidden/>
          </w:rPr>
          <w:t>44</w:t>
        </w:r>
        <w:r w:rsidR="006E4257" w:rsidRPr="0061154A">
          <w:rPr>
            <w:b w:val="0"/>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56" w:history="1">
        <w:r w:rsidR="006E4257" w:rsidRPr="00D644B5">
          <w:rPr>
            <w:rStyle w:val="Hyperlink"/>
          </w:rPr>
          <w:t>16.1</w:t>
        </w:r>
        <w:r w:rsidR="006E4257">
          <w:rPr>
            <w:rFonts w:asciiTheme="minorHAnsi" w:eastAsiaTheme="minorEastAsia" w:hAnsiTheme="minorHAnsi" w:cstheme="minorBidi"/>
            <w:sz w:val="22"/>
            <w:szCs w:val="22"/>
            <w:lang w:eastAsia="en-AU"/>
          </w:rPr>
          <w:tab/>
        </w:r>
        <w:r w:rsidR="006E4257" w:rsidRPr="00D644B5">
          <w:rPr>
            <w:rStyle w:val="Hyperlink"/>
          </w:rPr>
          <w:t>Information</w:t>
        </w:r>
        <w:r w:rsidR="006E4257">
          <w:rPr>
            <w:webHidden/>
          </w:rPr>
          <w:tab/>
        </w:r>
        <w:r w:rsidR="006E4257">
          <w:rPr>
            <w:webHidden/>
          </w:rPr>
          <w:fldChar w:fldCharType="begin"/>
        </w:r>
        <w:r w:rsidR="006E4257">
          <w:rPr>
            <w:webHidden/>
          </w:rPr>
          <w:instrText xml:space="preserve"> PAGEREF _Toc443486956 \h </w:instrText>
        </w:r>
        <w:r w:rsidR="006E4257">
          <w:rPr>
            <w:webHidden/>
          </w:rPr>
        </w:r>
        <w:r w:rsidR="006E4257">
          <w:rPr>
            <w:webHidden/>
          </w:rPr>
          <w:fldChar w:fldCharType="separate"/>
        </w:r>
        <w:r w:rsidR="006C0DC0">
          <w:rPr>
            <w:webHidden/>
          </w:rPr>
          <w:t>44</w:t>
        </w:r>
        <w:r w:rsidR="006E4257">
          <w:rPr>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57" w:history="1">
        <w:r w:rsidR="006E4257" w:rsidRPr="00D644B5">
          <w:rPr>
            <w:rStyle w:val="Hyperlink"/>
          </w:rPr>
          <w:t>16.2</w:t>
        </w:r>
        <w:r w:rsidR="006E4257">
          <w:rPr>
            <w:rFonts w:asciiTheme="minorHAnsi" w:eastAsiaTheme="minorEastAsia" w:hAnsiTheme="minorHAnsi" w:cstheme="minorBidi"/>
            <w:sz w:val="22"/>
            <w:szCs w:val="22"/>
            <w:lang w:eastAsia="en-AU"/>
          </w:rPr>
          <w:tab/>
        </w:r>
        <w:r w:rsidR="006E4257" w:rsidRPr="00D644B5">
          <w:rPr>
            <w:rStyle w:val="Hyperlink"/>
          </w:rPr>
          <w:t>Recommendation</w:t>
        </w:r>
        <w:r w:rsidR="006E4257">
          <w:rPr>
            <w:webHidden/>
          </w:rPr>
          <w:tab/>
        </w:r>
        <w:r w:rsidR="006E4257">
          <w:rPr>
            <w:webHidden/>
          </w:rPr>
          <w:fldChar w:fldCharType="begin"/>
        </w:r>
        <w:r w:rsidR="006E4257">
          <w:rPr>
            <w:webHidden/>
          </w:rPr>
          <w:instrText xml:space="preserve"> PAGEREF _Toc443486957 \h </w:instrText>
        </w:r>
        <w:r w:rsidR="006E4257">
          <w:rPr>
            <w:webHidden/>
          </w:rPr>
        </w:r>
        <w:r w:rsidR="006E4257">
          <w:rPr>
            <w:webHidden/>
          </w:rPr>
          <w:fldChar w:fldCharType="separate"/>
        </w:r>
        <w:r w:rsidR="006C0DC0">
          <w:rPr>
            <w:webHidden/>
          </w:rPr>
          <w:t>47</w:t>
        </w:r>
        <w:r w:rsidR="006E4257">
          <w:rPr>
            <w:webHidden/>
          </w:rPr>
          <w:fldChar w:fldCharType="end"/>
        </w:r>
      </w:hyperlink>
    </w:p>
    <w:p w:rsidR="006E4257" w:rsidRDefault="00FD0D54">
      <w:pPr>
        <w:pStyle w:val="TOC1"/>
        <w:rPr>
          <w:rFonts w:asciiTheme="minorHAnsi" w:eastAsiaTheme="minorEastAsia" w:hAnsiTheme="minorHAnsi" w:cstheme="minorBidi"/>
          <w:b w:val="0"/>
          <w:sz w:val="22"/>
          <w:szCs w:val="22"/>
          <w:lang w:eastAsia="en-AU"/>
        </w:rPr>
      </w:pPr>
      <w:hyperlink w:anchor="_Toc443486958" w:history="1">
        <w:r w:rsidR="006E4257" w:rsidRPr="00D644B5">
          <w:rPr>
            <w:rStyle w:val="Hyperlink"/>
          </w:rPr>
          <w:t>17</w:t>
        </w:r>
        <w:r w:rsidR="006E4257">
          <w:rPr>
            <w:rFonts w:asciiTheme="minorHAnsi" w:eastAsiaTheme="minorEastAsia" w:hAnsiTheme="minorHAnsi" w:cstheme="minorBidi"/>
            <w:b w:val="0"/>
            <w:sz w:val="22"/>
            <w:szCs w:val="22"/>
            <w:lang w:eastAsia="en-AU"/>
          </w:rPr>
          <w:tab/>
        </w:r>
        <w:r w:rsidR="006E4257" w:rsidRPr="00D644B5">
          <w:rPr>
            <w:rStyle w:val="Hyperlink"/>
          </w:rPr>
          <w:t>Other Matters</w:t>
        </w:r>
        <w:r w:rsidR="006E4257" w:rsidRPr="0061154A">
          <w:rPr>
            <w:b w:val="0"/>
            <w:webHidden/>
          </w:rPr>
          <w:tab/>
        </w:r>
        <w:r w:rsidR="006E4257" w:rsidRPr="0061154A">
          <w:rPr>
            <w:b w:val="0"/>
            <w:webHidden/>
          </w:rPr>
          <w:fldChar w:fldCharType="begin"/>
        </w:r>
        <w:r w:rsidR="006E4257" w:rsidRPr="0061154A">
          <w:rPr>
            <w:b w:val="0"/>
            <w:webHidden/>
          </w:rPr>
          <w:instrText xml:space="preserve"> PAGEREF _Toc443486958 \h </w:instrText>
        </w:r>
        <w:r w:rsidR="006E4257" w:rsidRPr="0061154A">
          <w:rPr>
            <w:b w:val="0"/>
            <w:webHidden/>
          </w:rPr>
        </w:r>
        <w:r w:rsidR="006E4257" w:rsidRPr="0061154A">
          <w:rPr>
            <w:b w:val="0"/>
            <w:webHidden/>
          </w:rPr>
          <w:fldChar w:fldCharType="separate"/>
        </w:r>
        <w:r w:rsidR="006C0DC0">
          <w:rPr>
            <w:b w:val="0"/>
            <w:webHidden/>
          </w:rPr>
          <w:t>48</w:t>
        </w:r>
        <w:r w:rsidR="006E4257" w:rsidRPr="0061154A">
          <w:rPr>
            <w:b w:val="0"/>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59" w:history="1">
        <w:r w:rsidR="006E4257" w:rsidRPr="00D644B5">
          <w:rPr>
            <w:rStyle w:val="Hyperlink"/>
          </w:rPr>
          <w:t>17.1</w:t>
        </w:r>
        <w:r w:rsidR="006E4257">
          <w:rPr>
            <w:rFonts w:asciiTheme="minorHAnsi" w:eastAsiaTheme="minorEastAsia" w:hAnsiTheme="minorHAnsi" w:cstheme="minorBidi"/>
            <w:sz w:val="22"/>
            <w:szCs w:val="22"/>
            <w:lang w:eastAsia="en-AU"/>
          </w:rPr>
          <w:tab/>
        </w:r>
        <w:r w:rsidR="006E4257" w:rsidRPr="00D644B5">
          <w:rPr>
            <w:rStyle w:val="Hyperlink"/>
          </w:rPr>
          <w:t>Cost of Allowances and benefits</w:t>
        </w:r>
        <w:r w:rsidR="006E4257">
          <w:rPr>
            <w:webHidden/>
          </w:rPr>
          <w:tab/>
        </w:r>
        <w:r w:rsidR="006E4257">
          <w:rPr>
            <w:webHidden/>
          </w:rPr>
          <w:fldChar w:fldCharType="begin"/>
        </w:r>
        <w:r w:rsidR="006E4257">
          <w:rPr>
            <w:webHidden/>
          </w:rPr>
          <w:instrText xml:space="preserve"> PAGEREF _Toc443486959 \h </w:instrText>
        </w:r>
        <w:r w:rsidR="006E4257">
          <w:rPr>
            <w:webHidden/>
          </w:rPr>
        </w:r>
        <w:r w:rsidR="006E4257">
          <w:rPr>
            <w:webHidden/>
          </w:rPr>
          <w:fldChar w:fldCharType="separate"/>
        </w:r>
        <w:r w:rsidR="006C0DC0">
          <w:rPr>
            <w:webHidden/>
          </w:rPr>
          <w:t>48</w:t>
        </w:r>
        <w:r w:rsidR="006E4257">
          <w:rPr>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60" w:history="1">
        <w:r w:rsidR="006E4257" w:rsidRPr="00D644B5">
          <w:rPr>
            <w:rStyle w:val="Hyperlink"/>
          </w:rPr>
          <w:t>17.2</w:t>
        </w:r>
        <w:r w:rsidR="006E4257">
          <w:rPr>
            <w:rFonts w:asciiTheme="minorHAnsi" w:eastAsiaTheme="minorEastAsia" w:hAnsiTheme="minorHAnsi" w:cstheme="minorBidi"/>
            <w:sz w:val="22"/>
            <w:szCs w:val="22"/>
            <w:lang w:eastAsia="en-AU"/>
          </w:rPr>
          <w:tab/>
        </w:r>
        <w:r w:rsidR="006E4257" w:rsidRPr="00D644B5">
          <w:rPr>
            <w:rStyle w:val="Hyperlink"/>
          </w:rPr>
          <w:t>Codification of Leave Arrangements</w:t>
        </w:r>
        <w:r w:rsidR="006E4257">
          <w:rPr>
            <w:webHidden/>
          </w:rPr>
          <w:tab/>
        </w:r>
        <w:r w:rsidR="006E4257">
          <w:rPr>
            <w:webHidden/>
          </w:rPr>
          <w:fldChar w:fldCharType="begin"/>
        </w:r>
        <w:r w:rsidR="006E4257">
          <w:rPr>
            <w:webHidden/>
          </w:rPr>
          <w:instrText xml:space="preserve"> PAGEREF _Toc443486960 \h </w:instrText>
        </w:r>
        <w:r w:rsidR="006E4257">
          <w:rPr>
            <w:webHidden/>
          </w:rPr>
        </w:r>
        <w:r w:rsidR="006E4257">
          <w:rPr>
            <w:webHidden/>
          </w:rPr>
          <w:fldChar w:fldCharType="separate"/>
        </w:r>
        <w:r w:rsidR="006C0DC0">
          <w:rPr>
            <w:webHidden/>
          </w:rPr>
          <w:t>48</w:t>
        </w:r>
        <w:r w:rsidR="006E4257">
          <w:rPr>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61" w:history="1">
        <w:r w:rsidR="006E4257" w:rsidRPr="00D644B5">
          <w:rPr>
            <w:rStyle w:val="Hyperlink"/>
          </w:rPr>
          <w:t>17.3</w:t>
        </w:r>
        <w:r w:rsidR="006E4257">
          <w:rPr>
            <w:rFonts w:asciiTheme="minorHAnsi" w:eastAsiaTheme="minorEastAsia" w:hAnsiTheme="minorHAnsi" w:cstheme="minorBidi"/>
            <w:sz w:val="22"/>
            <w:szCs w:val="22"/>
            <w:lang w:eastAsia="en-AU"/>
          </w:rPr>
          <w:tab/>
        </w:r>
        <w:r w:rsidR="006E4257" w:rsidRPr="00D644B5">
          <w:rPr>
            <w:rStyle w:val="Hyperlink"/>
          </w:rPr>
          <w:t>Electorate Office Staffing</w:t>
        </w:r>
        <w:r w:rsidR="006E4257">
          <w:rPr>
            <w:webHidden/>
          </w:rPr>
          <w:tab/>
        </w:r>
        <w:r w:rsidR="006E4257">
          <w:rPr>
            <w:webHidden/>
          </w:rPr>
          <w:fldChar w:fldCharType="begin"/>
        </w:r>
        <w:r w:rsidR="006E4257">
          <w:rPr>
            <w:webHidden/>
          </w:rPr>
          <w:instrText xml:space="preserve"> PAGEREF _Toc443486961 \h </w:instrText>
        </w:r>
        <w:r w:rsidR="006E4257">
          <w:rPr>
            <w:webHidden/>
          </w:rPr>
        </w:r>
        <w:r w:rsidR="006E4257">
          <w:rPr>
            <w:webHidden/>
          </w:rPr>
          <w:fldChar w:fldCharType="separate"/>
        </w:r>
        <w:r w:rsidR="006C0DC0">
          <w:rPr>
            <w:webHidden/>
          </w:rPr>
          <w:t>48</w:t>
        </w:r>
        <w:r w:rsidR="006E4257">
          <w:rPr>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62" w:history="1">
        <w:r w:rsidR="006E4257" w:rsidRPr="00D644B5">
          <w:rPr>
            <w:rStyle w:val="Hyperlink"/>
          </w:rPr>
          <w:t>17.4</w:t>
        </w:r>
        <w:r w:rsidR="006E4257">
          <w:rPr>
            <w:rFonts w:asciiTheme="minorHAnsi" w:eastAsiaTheme="minorEastAsia" w:hAnsiTheme="minorHAnsi" w:cstheme="minorBidi"/>
            <w:sz w:val="22"/>
            <w:szCs w:val="22"/>
            <w:lang w:eastAsia="en-AU"/>
          </w:rPr>
          <w:tab/>
        </w:r>
        <w:r w:rsidR="006E4257" w:rsidRPr="00D644B5">
          <w:rPr>
            <w:rStyle w:val="Hyperlink"/>
          </w:rPr>
          <w:t>Miscellaneous</w:t>
        </w:r>
        <w:r w:rsidR="006E4257">
          <w:rPr>
            <w:webHidden/>
          </w:rPr>
          <w:tab/>
        </w:r>
        <w:r w:rsidR="006E4257">
          <w:rPr>
            <w:webHidden/>
          </w:rPr>
          <w:fldChar w:fldCharType="begin"/>
        </w:r>
        <w:r w:rsidR="006E4257">
          <w:rPr>
            <w:webHidden/>
          </w:rPr>
          <w:instrText xml:space="preserve"> PAGEREF _Toc443486962 \h </w:instrText>
        </w:r>
        <w:r w:rsidR="006E4257">
          <w:rPr>
            <w:webHidden/>
          </w:rPr>
        </w:r>
        <w:r w:rsidR="006E4257">
          <w:rPr>
            <w:webHidden/>
          </w:rPr>
          <w:fldChar w:fldCharType="separate"/>
        </w:r>
        <w:r w:rsidR="006C0DC0">
          <w:rPr>
            <w:webHidden/>
          </w:rPr>
          <w:t>49</w:t>
        </w:r>
        <w:r w:rsidR="006E4257">
          <w:rPr>
            <w:webHidden/>
          </w:rPr>
          <w:fldChar w:fldCharType="end"/>
        </w:r>
      </w:hyperlink>
    </w:p>
    <w:p w:rsidR="006E4257" w:rsidRDefault="00FD0D54">
      <w:pPr>
        <w:pStyle w:val="TOC1"/>
        <w:rPr>
          <w:rFonts w:asciiTheme="minorHAnsi" w:eastAsiaTheme="minorEastAsia" w:hAnsiTheme="minorHAnsi" w:cstheme="minorBidi"/>
          <w:b w:val="0"/>
          <w:sz w:val="22"/>
          <w:szCs w:val="22"/>
          <w:lang w:eastAsia="en-AU"/>
        </w:rPr>
      </w:pPr>
      <w:hyperlink w:anchor="_Toc443486963" w:history="1">
        <w:r w:rsidR="006E4257" w:rsidRPr="00D644B5">
          <w:rPr>
            <w:rStyle w:val="Hyperlink"/>
          </w:rPr>
          <w:t>18</w:t>
        </w:r>
        <w:r w:rsidR="006E4257">
          <w:rPr>
            <w:rFonts w:asciiTheme="minorHAnsi" w:eastAsiaTheme="minorEastAsia" w:hAnsiTheme="minorHAnsi" w:cstheme="minorBidi"/>
            <w:b w:val="0"/>
            <w:sz w:val="22"/>
            <w:szCs w:val="22"/>
            <w:lang w:eastAsia="en-AU"/>
          </w:rPr>
          <w:tab/>
        </w:r>
        <w:r w:rsidR="006E4257" w:rsidRPr="00D644B5">
          <w:rPr>
            <w:rStyle w:val="Hyperlink"/>
          </w:rPr>
          <w:t>Publication of Information</w:t>
        </w:r>
        <w:r w:rsidR="006E4257" w:rsidRPr="0061154A">
          <w:rPr>
            <w:b w:val="0"/>
            <w:webHidden/>
          </w:rPr>
          <w:tab/>
        </w:r>
        <w:r w:rsidR="006E4257" w:rsidRPr="0061154A">
          <w:rPr>
            <w:b w:val="0"/>
            <w:webHidden/>
          </w:rPr>
          <w:fldChar w:fldCharType="begin"/>
        </w:r>
        <w:r w:rsidR="006E4257" w:rsidRPr="0061154A">
          <w:rPr>
            <w:b w:val="0"/>
            <w:webHidden/>
          </w:rPr>
          <w:instrText xml:space="preserve"> PAGEREF _Toc443486963 \h </w:instrText>
        </w:r>
        <w:r w:rsidR="006E4257" w:rsidRPr="0061154A">
          <w:rPr>
            <w:b w:val="0"/>
            <w:webHidden/>
          </w:rPr>
        </w:r>
        <w:r w:rsidR="006E4257" w:rsidRPr="0061154A">
          <w:rPr>
            <w:b w:val="0"/>
            <w:webHidden/>
          </w:rPr>
          <w:fldChar w:fldCharType="separate"/>
        </w:r>
        <w:r w:rsidR="006C0DC0">
          <w:rPr>
            <w:b w:val="0"/>
            <w:webHidden/>
          </w:rPr>
          <w:t>49</w:t>
        </w:r>
        <w:r w:rsidR="006E4257" w:rsidRPr="0061154A">
          <w:rPr>
            <w:b w:val="0"/>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64" w:history="1">
        <w:r w:rsidR="006E4257" w:rsidRPr="00D644B5">
          <w:rPr>
            <w:rStyle w:val="Hyperlink"/>
          </w:rPr>
          <w:t>18.1</w:t>
        </w:r>
        <w:r w:rsidR="006E4257">
          <w:rPr>
            <w:rFonts w:asciiTheme="minorHAnsi" w:eastAsiaTheme="minorEastAsia" w:hAnsiTheme="minorHAnsi" w:cstheme="minorBidi"/>
            <w:sz w:val="22"/>
            <w:szCs w:val="22"/>
            <w:lang w:eastAsia="en-AU"/>
          </w:rPr>
          <w:tab/>
        </w:r>
        <w:r w:rsidR="006E4257" w:rsidRPr="00D644B5">
          <w:rPr>
            <w:rStyle w:val="Hyperlink"/>
          </w:rPr>
          <w:t>Information</w:t>
        </w:r>
        <w:r w:rsidR="006E4257">
          <w:rPr>
            <w:webHidden/>
          </w:rPr>
          <w:tab/>
        </w:r>
        <w:r w:rsidR="006E4257">
          <w:rPr>
            <w:webHidden/>
          </w:rPr>
          <w:fldChar w:fldCharType="begin"/>
        </w:r>
        <w:r w:rsidR="006E4257">
          <w:rPr>
            <w:webHidden/>
          </w:rPr>
          <w:instrText xml:space="preserve"> PAGEREF _Toc443486964 \h </w:instrText>
        </w:r>
        <w:r w:rsidR="006E4257">
          <w:rPr>
            <w:webHidden/>
          </w:rPr>
        </w:r>
        <w:r w:rsidR="006E4257">
          <w:rPr>
            <w:webHidden/>
          </w:rPr>
          <w:fldChar w:fldCharType="separate"/>
        </w:r>
        <w:r w:rsidR="006C0DC0">
          <w:rPr>
            <w:webHidden/>
          </w:rPr>
          <w:t>49</w:t>
        </w:r>
        <w:r w:rsidR="006E4257">
          <w:rPr>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65" w:history="1">
        <w:r w:rsidR="006E4257" w:rsidRPr="00D644B5">
          <w:rPr>
            <w:rStyle w:val="Hyperlink"/>
          </w:rPr>
          <w:t>18.2</w:t>
        </w:r>
        <w:r w:rsidR="006E4257">
          <w:rPr>
            <w:rFonts w:asciiTheme="minorHAnsi" w:eastAsiaTheme="minorEastAsia" w:hAnsiTheme="minorHAnsi" w:cstheme="minorBidi"/>
            <w:sz w:val="22"/>
            <w:szCs w:val="22"/>
            <w:lang w:eastAsia="en-AU"/>
          </w:rPr>
          <w:tab/>
        </w:r>
        <w:r w:rsidR="006E4257" w:rsidRPr="00D644B5">
          <w:rPr>
            <w:rStyle w:val="Hyperlink"/>
          </w:rPr>
          <w:t>Recommendation</w:t>
        </w:r>
        <w:r w:rsidR="006E4257">
          <w:rPr>
            <w:webHidden/>
          </w:rPr>
          <w:tab/>
        </w:r>
        <w:r w:rsidR="006E4257">
          <w:rPr>
            <w:webHidden/>
          </w:rPr>
          <w:fldChar w:fldCharType="begin"/>
        </w:r>
        <w:r w:rsidR="006E4257">
          <w:rPr>
            <w:webHidden/>
          </w:rPr>
          <w:instrText xml:space="preserve"> PAGEREF _Toc443486965 \h </w:instrText>
        </w:r>
        <w:r w:rsidR="006E4257">
          <w:rPr>
            <w:webHidden/>
          </w:rPr>
        </w:r>
        <w:r w:rsidR="006E4257">
          <w:rPr>
            <w:webHidden/>
          </w:rPr>
          <w:fldChar w:fldCharType="separate"/>
        </w:r>
        <w:r w:rsidR="006C0DC0">
          <w:rPr>
            <w:webHidden/>
          </w:rPr>
          <w:t>50</w:t>
        </w:r>
        <w:r w:rsidR="006E4257">
          <w:rPr>
            <w:webHidden/>
          </w:rPr>
          <w:fldChar w:fldCharType="end"/>
        </w:r>
      </w:hyperlink>
    </w:p>
    <w:p w:rsidR="006E4257" w:rsidRDefault="00FD0D54">
      <w:pPr>
        <w:pStyle w:val="TOC1"/>
        <w:rPr>
          <w:rFonts w:asciiTheme="minorHAnsi" w:eastAsiaTheme="minorEastAsia" w:hAnsiTheme="minorHAnsi" w:cstheme="minorBidi"/>
          <w:b w:val="0"/>
          <w:sz w:val="22"/>
          <w:szCs w:val="22"/>
          <w:lang w:eastAsia="en-AU"/>
        </w:rPr>
      </w:pPr>
      <w:hyperlink w:anchor="_Toc443486966" w:history="1">
        <w:r w:rsidR="006E4257" w:rsidRPr="00D644B5">
          <w:rPr>
            <w:rStyle w:val="Hyperlink"/>
          </w:rPr>
          <w:t xml:space="preserve">19 </w:t>
        </w:r>
        <w:r w:rsidR="006E4257">
          <w:rPr>
            <w:rFonts w:asciiTheme="minorHAnsi" w:eastAsiaTheme="minorEastAsia" w:hAnsiTheme="minorHAnsi" w:cstheme="minorBidi"/>
            <w:b w:val="0"/>
            <w:sz w:val="22"/>
            <w:szCs w:val="22"/>
            <w:lang w:eastAsia="en-AU"/>
          </w:rPr>
          <w:tab/>
        </w:r>
        <w:r w:rsidR="006E4257" w:rsidRPr="00D644B5">
          <w:rPr>
            <w:rStyle w:val="Hyperlink"/>
          </w:rPr>
          <w:t>Summary of Recommendations</w:t>
        </w:r>
        <w:r w:rsidR="006E4257" w:rsidRPr="0061154A">
          <w:rPr>
            <w:b w:val="0"/>
            <w:webHidden/>
          </w:rPr>
          <w:tab/>
        </w:r>
        <w:r w:rsidR="006E4257" w:rsidRPr="0061154A">
          <w:rPr>
            <w:b w:val="0"/>
            <w:webHidden/>
          </w:rPr>
          <w:fldChar w:fldCharType="begin"/>
        </w:r>
        <w:r w:rsidR="006E4257" w:rsidRPr="0061154A">
          <w:rPr>
            <w:b w:val="0"/>
            <w:webHidden/>
          </w:rPr>
          <w:instrText xml:space="preserve"> PAGEREF _Toc443486966 \h </w:instrText>
        </w:r>
        <w:r w:rsidR="006E4257" w:rsidRPr="0061154A">
          <w:rPr>
            <w:b w:val="0"/>
            <w:webHidden/>
          </w:rPr>
        </w:r>
        <w:r w:rsidR="006E4257" w:rsidRPr="0061154A">
          <w:rPr>
            <w:b w:val="0"/>
            <w:webHidden/>
          </w:rPr>
          <w:fldChar w:fldCharType="separate"/>
        </w:r>
        <w:r w:rsidR="006C0DC0">
          <w:rPr>
            <w:b w:val="0"/>
            <w:webHidden/>
          </w:rPr>
          <w:t>50</w:t>
        </w:r>
        <w:r w:rsidR="006E4257" w:rsidRPr="0061154A">
          <w:rPr>
            <w:b w:val="0"/>
            <w:webHidden/>
          </w:rPr>
          <w:fldChar w:fldCharType="end"/>
        </w:r>
      </w:hyperlink>
    </w:p>
    <w:p w:rsidR="006E4257" w:rsidRDefault="00FD0D54">
      <w:pPr>
        <w:pStyle w:val="TOC1"/>
        <w:rPr>
          <w:rFonts w:asciiTheme="minorHAnsi" w:eastAsiaTheme="minorEastAsia" w:hAnsiTheme="minorHAnsi" w:cstheme="minorBidi"/>
          <w:b w:val="0"/>
          <w:sz w:val="22"/>
          <w:szCs w:val="22"/>
          <w:lang w:eastAsia="en-AU"/>
        </w:rPr>
      </w:pPr>
      <w:hyperlink w:anchor="_Toc443486967" w:history="1">
        <w:r w:rsidR="006E4257" w:rsidRPr="00D644B5">
          <w:rPr>
            <w:rStyle w:val="Hyperlink"/>
          </w:rPr>
          <w:t xml:space="preserve">20 </w:t>
        </w:r>
        <w:r w:rsidR="006E4257">
          <w:rPr>
            <w:rFonts w:asciiTheme="minorHAnsi" w:eastAsiaTheme="minorEastAsia" w:hAnsiTheme="minorHAnsi" w:cstheme="minorBidi"/>
            <w:b w:val="0"/>
            <w:sz w:val="22"/>
            <w:szCs w:val="22"/>
            <w:lang w:eastAsia="en-AU"/>
          </w:rPr>
          <w:tab/>
        </w:r>
        <w:r w:rsidR="006E4257" w:rsidRPr="00D644B5">
          <w:rPr>
            <w:rStyle w:val="Hyperlink"/>
          </w:rPr>
          <w:t>Acknowledgements</w:t>
        </w:r>
        <w:r w:rsidR="006E4257" w:rsidRPr="0061154A">
          <w:rPr>
            <w:b w:val="0"/>
            <w:webHidden/>
          </w:rPr>
          <w:tab/>
        </w:r>
        <w:r w:rsidR="006E4257" w:rsidRPr="0061154A">
          <w:rPr>
            <w:b w:val="0"/>
            <w:webHidden/>
          </w:rPr>
          <w:fldChar w:fldCharType="begin"/>
        </w:r>
        <w:r w:rsidR="006E4257" w:rsidRPr="0061154A">
          <w:rPr>
            <w:b w:val="0"/>
            <w:webHidden/>
          </w:rPr>
          <w:instrText xml:space="preserve"> PAGEREF _Toc443486967 \h </w:instrText>
        </w:r>
        <w:r w:rsidR="006E4257" w:rsidRPr="0061154A">
          <w:rPr>
            <w:b w:val="0"/>
            <w:webHidden/>
          </w:rPr>
        </w:r>
        <w:r w:rsidR="006E4257" w:rsidRPr="0061154A">
          <w:rPr>
            <w:b w:val="0"/>
            <w:webHidden/>
          </w:rPr>
          <w:fldChar w:fldCharType="separate"/>
        </w:r>
        <w:r w:rsidR="006C0DC0">
          <w:rPr>
            <w:b w:val="0"/>
            <w:webHidden/>
          </w:rPr>
          <w:t>53</w:t>
        </w:r>
        <w:r w:rsidR="006E4257" w:rsidRPr="0061154A">
          <w:rPr>
            <w:b w:val="0"/>
            <w:webHidden/>
          </w:rPr>
          <w:fldChar w:fldCharType="end"/>
        </w:r>
      </w:hyperlink>
    </w:p>
    <w:p w:rsidR="006E4257" w:rsidRDefault="00FD0D54">
      <w:pPr>
        <w:pStyle w:val="TOC1"/>
        <w:rPr>
          <w:rFonts w:asciiTheme="minorHAnsi" w:eastAsiaTheme="minorEastAsia" w:hAnsiTheme="minorHAnsi" w:cstheme="minorBidi"/>
          <w:b w:val="0"/>
          <w:sz w:val="22"/>
          <w:szCs w:val="22"/>
          <w:lang w:eastAsia="en-AU"/>
        </w:rPr>
      </w:pPr>
      <w:hyperlink w:anchor="_Toc443486968" w:history="1">
        <w:r w:rsidR="006E4257" w:rsidRPr="00D644B5">
          <w:rPr>
            <w:rStyle w:val="Hyperlink"/>
            <w:rFonts w:eastAsia="Arial"/>
          </w:rPr>
          <w:t xml:space="preserve">Appendix 1 - </w:t>
        </w:r>
        <w:r w:rsidR="006E4257" w:rsidRPr="00D644B5">
          <w:rPr>
            <w:rStyle w:val="Hyperlink"/>
          </w:rPr>
          <w:t>List of Submissions</w:t>
        </w:r>
        <w:r w:rsidR="006E4257" w:rsidRPr="0061154A">
          <w:rPr>
            <w:b w:val="0"/>
            <w:webHidden/>
          </w:rPr>
          <w:tab/>
        </w:r>
        <w:r w:rsidR="006E4257" w:rsidRPr="0061154A">
          <w:rPr>
            <w:b w:val="0"/>
            <w:webHidden/>
          </w:rPr>
          <w:fldChar w:fldCharType="begin"/>
        </w:r>
        <w:r w:rsidR="006E4257" w:rsidRPr="0061154A">
          <w:rPr>
            <w:b w:val="0"/>
            <w:webHidden/>
          </w:rPr>
          <w:instrText xml:space="preserve"> PAGEREF _Toc443486968 \h </w:instrText>
        </w:r>
        <w:r w:rsidR="006E4257" w:rsidRPr="0061154A">
          <w:rPr>
            <w:b w:val="0"/>
            <w:webHidden/>
          </w:rPr>
        </w:r>
        <w:r w:rsidR="006E4257" w:rsidRPr="0061154A">
          <w:rPr>
            <w:b w:val="0"/>
            <w:webHidden/>
          </w:rPr>
          <w:fldChar w:fldCharType="separate"/>
        </w:r>
        <w:r w:rsidR="006C0DC0">
          <w:rPr>
            <w:b w:val="0"/>
            <w:webHidden/>
          </w:rPr>
          <w:t>54</w:t>
        </w:r>
        <w:r w:rsidR="006E4257" w:rsidRPr="0061154A">
          <w:rPr>
            <w:b w:val="0"/>
            <w:webHidden/>
          </w:rPr>
          <w:fldChar w:fldCharType="end"/>
        </w:r>
      </w:hyperlink>
    </w:p>
    <w:p w:rsidR="006E4257" w:rsidRDefault="00FD0D54">
      <w:pPr>
        <w:pStyle w:val="TOC1"/>
        <w:rPr>
          <w:rFonts w:asciiTheme="minorHAnsi" w:eastAsiaTheme="minorEastAsia" w:hAnsiTheme="minorHAnsi" w:cstheme="minorBidi"/>
          <w:b w:val="0"/>
          <w:sz w:val="22"/>
          <w:szCs w:val="22"/>
          <w:lang w:eastAsia="en-AU"/>
        </w:rPr>
      </w:pPr>
      <w:hyperlink w:anchor="_Toc443486969" w:history="1">
        <w:r w:rsidR="006E4257" w:rsidRPr="00D644B5">
          <w:rPr>
            <w:rStyle w:val="Hyperlink"/>
          </w:rPr>
          <w:t>Appendix 2 - History of Salaries in the Tasmanian Parliament</w:t>
        </w:r>
        <w:r w:rsidR="006E4257" w:rsidRPr="0061154A">
          <w:rPr>
            <w:b w:val="0"/>
            <w:webHidden/>
          </w:rPr>
          <w:tab/>
        </w:r>
        <w:r w:rsidR="006E4257" w:rsidRPr="0061154A">
          <w:rPr>
            <w:b w:val="0"/>
            <w:webHidden/>
          </w:rPr>
          <w:fldChar w:fldCharType="begin"/>
        </w:r>
        <w:r w:rsidR="006E4257" w:rsidRPr="0061154A">
          <w:rPr>
            <w:b w:val="0"/>
            <w:webHidden/>
          </w:rPr>
          <w:instrText xml:space="preserve"> PAGEREF _Toc443486969 \h </w:instrText>
        </w:r>
        <w:r w:rsidR="006E4257" w:rsidRPr="0061154A">
          <w:rPr>
            <w:b w:val="0"/>
            <w:webHidden/>
          </w:rPr>
        </w:r>
        <w:r w:rsidR="006E4257" w:rsidRPr="0061154A">
          <w:rPr>
            <w:b w:val="0"/>
            <w:webHidden/>
          </w:rPr>
          <w:fldChar w:fldCharType="separate"/>
        </w:r>
        <w:r w:rsidR="006C0DC0">
          <w:rPr>
            <w:b w:val="0"/>
            <w:webHidden/>
          </w:rPr>
          <w:t>55</w:t>
        </w:r>
        <w:r w:rsidR="006E4257" w:rsidRPr="0061154A">
          <w:rPr>
            <w:b w:val="0"/>
            <w:webHidden/>
          </w:rPr>
          <w:fldChar w:fldCharType="end"/>
        </w:r>
      </w:hyperlink>
    </w:p>
    <w:p w:rsidR="006E4257" w:rsidRPr="0061154A" w:rsidRDefault="00FD0D54" w:rsidP="006E4257">
      <w:pPr>
        <w:pStyle w:val="TOC2"/>
        <w:rPr>
          <w:rFonts w:asciiTheme="minorHAnsi" w:eastAsiaTheme="minorEastAsia" w:hAnsiTheme="minorHAnsi" w:cstheme="minorBidi"/>
          <w:b/>
          <w:sz w:val="22"/>
          <w:szCs w:val="22"/>
          <w:lang w:eastAsia="en-AU"/>
        </w:rPr>
      </w:pPr>
      <w:hyperlink w:anchor="_Toc443486970" w:history="1">
        <w:r w:rsidR="006E4257" w:rsidRPr="0061154A">
          <w:rPr>
            <w:rStyle w:val="Hyperlink"/>
            <w:u w:val="none"/>
          </w:rPr>
          <w:t>1</w:t>
        </w:r>
        <w:r w:rsidR="006E4257" w:rsidRPr="0061154A">
          <w:rPr>
            <w:rFonts w:asciiTheme="minorHAnsi" w:eastAsiaTheme="minorEastAsia" w:hAnsiTheme="minorHAnsi" w:cstheme="minorBidi"/>
            <w:b/>
            <w:sz w:val="22"/>
            <w:szCs w:val="22"/>
            <w:lang w:eastAsia="en-AU"/>
          </w:rPr>
          <w:tab/>
        </w:r>
        <w:r w:rsidR="006E4257" w:rsidRPr="0061154A">
          <w:rPr>
            <w:rStyle w:val="Hyperlink"/>
            <w:u w:val="none"/>
          </w:rPr>
          <w:t>C</w:t>
        </w:r>
        <w:r w:rsidR="006E4257" w:rsidRPr="0061154A">
          <w:rPr>
            <w:rStyle w:val="Hyperlink"/>
          </w:rPr>
          <w:t>hronology of Significant Changes to MPs’ Pay</w:t>
        </w:r>
        <w:r w:rsidR="006E4257" w:rsidRPr="0061154A">
          <w:rPr>
            <w:webHidden/>
          </w:rPr>
          <w:tab/>
        </w:r>
        <w:r w:rsidR="006E4257" w:rsidRPr="0061154A">
          <w:rPr>
            <w:webHidden/>
          </w:rPr>
          <w:fldChar w:fldCharType="begin"/>
        </w:r>
        <w:r w:rsidR="006E4257" w:rsidRPr="0061154A">
          <w:rPr>
            <w:webHidden/>
          </w:rPr>
          <w:instrText xml:space="preserve"> PAGEREF _Toc443486970 \h </w:instrText>
        </w:r>
        <w:r w:rsidR="006E4257" w:rsidRPr="0061154A">
          <w:rPr>
            <w:webHidden/>
          </w:rPr>
        </w:r>
        <w:r w:rsidR="006E4257" w:rsidRPr="0061154A">
          <w:rPr>
            <w:webHidden/>
          </w:rPr>
          <w:fldChar w:fldCharType="separate"/>
        </w:r>
        <w:r w:rsidR="006C0DC0">
          <w:rPr>
            <w:webHidden/>
          </w:rPr>
          <w:t>56</w:t>
        </w:r>
        <w:r w:rsidR="006E4257" w:rsidRPr="0061154A">
          <w:rPr>
            <w:webHidden/>
          </w:rPr>
          <w:fldChar w:fldCharType="end"/>
        </w:r>
      </w:hyperlink>
    </w:p>
    <w:p w:rsidR="006E4257" w:rsidRPr="0061154A" w:rsidRDefault="00FD0D54" w:rsidP="006E4257">
      <w:pPr>
        <w:pStyle w:val="TOC2"/>
        <w:rPr>
          <w:rFonts w:asciiTheme="minorHAnsi" w:eastAsiaTheme="minorEastAsia" w:hAnsiTheme="minorHAnsi" w:cstheme="minorBidi"/>
          <w:b/>
          <w:sz w:val="22"/>
          <w:szCs w:val="22"/>
          <w:lang w:eastAsia="en-AU"/>
        </w:rPr>
      </w:pPr>
      <w:hyperlink w:anchor="_Toc443486971" w:history="1">
        <w:r w:rsidR="006E4257" w:rsidRPr="0061154A">
          <w:rPr>
            <w:rStyle w:val="Hyperlink"/>
          </w:rPr>
          <w:t>2</w:t>
        </w:r>
        <w:r w:rsidR="006E4257" w:rsidRPr="0061154A">
          <w:rPr>
            <w:rFonts w:asciiTheme="minorHAnsi" w:eastAsiaTheme="minorEastAsia" w:hAnsiTheme="minorHAnsi" w:cstheme="minorBidi"/>
            <w:b/>
            <w:sz w:val="22"/>
            <w:szCs w:val="22"/>
            <w:lang w:eastAsia="en-AU"/>
          </w:rPr>
          <w:tab/>
        </w:r>
        <w:r w:rsidR="006E4257" w:rsidRPr="0061154A">
          <w:rPr>
            <w:rStyle w:val="Hyperlink"/>
          </w:rPr>
          <w:t>History of Parliamentary Salaries</w:t>
        </w:r>
        <w:r w:rsidR="006E4257" w:rsidRPr="0061154A">
          <w:rPr>
            <w:webHidden/>
          </w:rPr>
          <w:tab/>
        </w:r>
        <w:r w:rsidR="006E4257" w:rsidRPr="0061154A">
          <w:rPr>
            <w:webHidden/>
          </w:rPr>
          <w:fldChar w:fldCharType="begin"/>
        </w:r>
        <w:r w:rsidR="006E4257" w:rsidRPr="0061154A">
          <w:rPr>
            <w:webHidden/>
          </w:rPr>
          <w:instrText xml:space="preserve"> PAGEREF _Toc443486971 \h </w:instrText>
        </w:r>
        <w:r w:rsidR="006E4257" w:rsidRPr="0061154A">
          <w:rPr>
            <w:webHidden/>
          </w:rPr>
        </w:r>
        <w:r w:rsidR="006E4257" w:rsidRPr="0061154A">
          <w:rPr>
            <w:webHidden/>
          </w:rPr>
          <w:fldChar w:fldCharType="separate"/>
        </w:r>
        <w:r w:rsidR="006C0DC0">
          <w:rPr>
            <w:webHidden/>
          </w:rPr>
          <w:t>61</w:t>
        </w:r>
        <w:r w:rsidR="006E4257" w:rsidRPr="0061154A">
          <w:rPr>
            <w:webHidden/>
          </w:rPr>
          <w:fldChar w:fldCharType="end"/>
        </w:r>
      </w:hyperlink>
    </w:p>
    <w:p w:rsidR="006E4257" w:rsidRPr="0061154A" w:rsidRDefault="00FD0D54" w:rsidP="006E4257">
      <w:pPr>
        <w:pStyle w:val="TOC2"/>
        <w:rPr>
          <w:rFonts w:asciiTheme="minorHAnsi" w:eastAsiaTheme="minorEastAsia" w:hAnsiTheme="minorHAnsi" w:cstheme="minorBidi"/>
          <w:b/>
          <w:sz w:val="22"/>
          <w:szCs w:val="22"/>
          <w:lang w:eastAsia="en-AU"/>
        </w:rPr>
      </w:pPr>
      <w:hyperlink w:anchor="_Toc443486972" w:history="1">
        <w:r w:rsidR="006E4257" w:rsidRPr="0061154A">
          <w:rPr>
            <w:rStyle w:val="Hyperlink"/>
          </w:rPr>
          <w:t>3</w:t>
        </w:r>
        <w:r w:rsidR="006E4257" w:rsidRPr="0061154A">
          <w:rPr>
            <w:rFonts w:asciiTheme="minorHAnsi" w:eastAsiaTheme="minorEastAsia" w:hAnsiTheme="minorHAnsi" w:cstheme="minorBidi"/>
            <w:b/>
            <w:sz w:val="22"/>
            <w:szCs w:val="22"/>
            <w:lang w:eastAsia="en-AU"/>
          </w:rPr>
          <w:tab/>
        </w:r>
        <w:r w:rsidR="006E4257" w:rsidRPr="0061154A">
          <w:rPr>
            <w:rStyle w:val="Hyperlink"/>
          </w:rPr>
          <w:t>Significant Changes to MPs’ Pay</w:t>
        </w:r>
        <w:r w:rsidR="006E4257" w:rsidRPr="0061154A">
          <w:rPr>
            <w:webHidden/>
          </w:rPr>
          <w:tab/>
        </w:r>
        <w:r w:rsidR="006E4257" w:rsidRPr="0061154A">
          <w:rPr>
            <w:webHidden/>
          </w:rPr>
          <w:fldChar w:fldCharType="begin"/>
        </w:r>
        <w:r w:rsidR="006E4257" w:rsidRPr="0061154A">
          <w:rPr>
            <w:webHidden/>
          </w:rPr>
          <w:instrText xml:space="preserve"> PAGEREF _Toc443486972 \h </w:instrText>
        </w:r>
        <w:r w:rsidR="006E4257" w:rsidRPr="0061154A">
          <w:rPr>
            <w:webHidden/>
          </w:rPr>
        </w:r>
        <w:r w:rsidR="006E4257" w:rsidRPr="0061154A">
          <w:rPr>
            <w:webHidden/>
          </w:rPr>
          <w:fldChar w:fldCharType="separate"/>
        </w:r>
        <w:r w:rsidR="006C0DC0">
          <w:rPr>
            <w:webHidden/>
          </w:rPr>
          <w:t>64</w:t>
        </w:r>
        <w:r w:rsidR="006E4257" w:rsidRPr="0061154A">
          <w:rPr>
            <w:webHidden/>
          </w:rPr>
          <w:fldChar w:fldCharType="end"/>
        </w:r>
      </w:hyperlink>
    </w:p>
    <w:p w:rsidR="006E4257" w:rsidRDefault="00FD0D54">
      <w:pPr>
        <w:pStyle w:val="TOC1"/>
        <w:rPr>
          <w:rFonts w:asciiTheme="minorHAnsi" w:eastAsiaTheme="minorEastAsia" w:hAnsiTheme="minorHAnsi" w:cstheme="minorBidi"/>
          <w:b w:val="0"/>
          <w:sz w:val="22"/>
          <w:szCs w:val="22"/>
          <w:lang w:eastAsia="en-AU"/>
        </w:rPr>
      </w:pPr>
      <w:hyperlink w:anchor="_Toc443486973" w:history="1">
        <w:r w:rsidR="006E4257" w:rsidRPr="00D644B5">
          <w:rPr>
            <w:rStyle w:val="Hyperlink"/>
          </w:rPr>
          <w:t xml:space="preserve">Appendix 3 – The Role of an MP </w:t>
        </w:r>
        <w:r w:rsidR="006E4257" w:rsidRPr="0061154A">
          <w:rPr>
            <w:rStyle w:val="Hyperlink"/>
            <w:b w:val="0"/>
          </w:rPr>
          <w:t>(extracts from previous documents)</w:t>
        </w:r>
        <w:r w:rsidR="006E4257" w:rsidRPr="0061154A">
          <w:rPr>
            <w:b w:val="0"/>
            <w:webHidden/>
          </w:rPr>
          <w:tab/>
        </w:r>
        <w:r w:rsidR="006E4257" w:rsidRPr="0061154A">
          <w:rPr>
            <w:b w:val="0"/>
            <w:webHidden/>
          </w:rPr>
          <w:fldChar w:fldCharType="begin"/>
        </w:r>
        <w:r w:rsidR="006E4257" w:rsidRPr="0061154A">
          <w:rPr>
            <w:b w:val="0"/>
            <w:webHidden/>
          </w:rPr>
          <w:instrText xml:space="preserve"> PAGEREF _Toc443486973 \h </w:instrText>
        </w:r>
        <w:r w:rsidR="006E4257" w:rsidRPr="0061154A">
          <w:rPr>
            <w:b w:val="0"/>
            <w:webHidden/>
          </w:rPr>
        </w:r>
        <w:r w:rsidR="006E4257" w:rsidRPr="0061154A">
          <w:rPr>
            <w:b w:val="0"/>
            <w:webHidden/>
          </w:rPr>
          <w:fldChar w:fldCharType="separate"/>
        </w:r>
        <w:r w:rsidR="006C0DC0">
          <w:rPr>
            <w:b w:val="0"/>
            <w:webHidden/>
          </w:rPr>
          <w:t>67</w:t>
        </w:r>
        <w:r w:rsidR="006E4257" w:rsidRPr="0061154A">
          <w:rPr>
            <w:b w:val="0"/>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74" w:history="1">
        <w:r w:rsidR="006E4257" w:rsidRPr="00D644B5">
          <w:rPr>
            <w:rStyle w:val="Hyperlink"/>
          </w:rPr>
          <w:t>1</w:t>
        </w:r>
        <w:r w:rsidR="006E4257">
          <w:rPr>
            <w:rFonts w:asciiTheme="minorHAnsi" w:eastAsiaTheme="minorEastAsia" w:hAnsiTheme="minorHAnsi" w:cstheme="minorBidi"/>
            <w:sz w:val="22"/>
            <w:szCs w:val="22"/>
            <w:lang w:eastAsia="en-AU"/>
          </w:rPr>
          <w:tab/>
        </w:r>
        <w:r w:rsidR="006E4257" w:rsidRPr="00D644B5">
          <w:rPr>
            <w:rStyle w:val="Hyperlink"/>
          </w:rPr>
          <w:t>Extract from 2013 Issues Paper – section 8</w:t>
        </w:r>
        <w:r w:rsidR="006E4257">
          <w:rPr>
            <w:webHidden/>
          </w:rPr>
          <w:tab/>
        </w:r>
        <w:r w:rsidR="006E4257">
          <w:rPr>
            <w:webHidden/>
          </w:rPr>
          <w:fldChar w:fldCharType="begin"/>
        </w:r>
        <w:r w:rsidR="006E4257">
          <w:rPr>
            <w:webHidden/>
          </w:rPr>
          <w:instrText xml:space="preserve"> PAGEREF _Toc443486974 \h </w:instrText>
        </w:r>
        <w:r w:rsidR="006E4257">
          <w:rPr>
            <w:webHidden/>
          </w:rPr>
        </w:r>
        <w:r w:rsidR="006E4257">
          <w:rPr>
            <w:webHidden/>
          </w:rPr>
          <w:fldChar w:fldCharType="separate"/>
        </w:r>
        <w:r w:rsidR="006C0DC0">
          <w:rPr>
            <w:webHidden/>
          </w:rPr>
          <w:t>67</w:t>
        </w:r>
        <w:r w:rsidR="006E4257">
          <w:rPr>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75" w:history="1">
        <w:r w:rsidR="006E4257" w:rsidRPr="00D644B5">
          <w:rPr>
            <w:rStyle w:val="Hyperlink"/>
          </w:rPr>
          <w:t>2</w:t>
        </w:r>
        <w:r w:rsidR="006E4257">
          <w:rPr>
            <w:rFonts w:asciiTheme="minorHAnsi" w:eastAsiaTheme="minorEastAsia" w:hAnsiTheme="minorHAnsi" w:cstheme="minorBidi"/>
            <w:sz w:val="22"/>
            <w:szCs w:val="22"/>
            <w:lang w:eastAsia="en-AU"/>
          </w:rPr>
          <w:tab/>
        </w:r>
        <w:r w:rsidR="006E4257" w:rsidRPr="00D644B5">
          <w:rPr>
            <w:rStyle w:val="Hyperlink"/>
          </w:rPr>
          <w:t>Extract from 2014 Report - section 4.2</w:t>
        </w:r>
        <w:r w:rsidR="006E4257">
          <w:rPr>
            <w:webHidden/>
          </w:rPr>
          <w:tab/>
        </w:r>
        <w:r w:rsidR="006E4257">
          <w:rPr>
            <w:webHidden/>
          </w:rPr>
          <w:fldChar w:fldCharType="begin"/>
        </w:r>
        <w:r w:rsidR="006E4257">
          <w:rPr>
            <w:webHidden/>
          </w:rPr>
          <w:instrText xml:space="preserve"> PAGEREF _Toc443486975 \h </w:instrText>
        </w:r>
        <w:r w:rsidR="006E4257">
          <w:rPr>
            <w:webHidden/>
          </w:rPr>
        </w:r>
        <w:r w:rsidR="006E4257">
          <w:rPr>
            <w:webHidden/>
          </w:rPr>
          <w:fldChar w:fldCharType="separate"/>
        </w:r>
        <w:r w:rsidR="006C0DC0">
          <w:rPr>
            <w:webHidden/>
          </w:rPr>
          <w:t>69</w:t>
        </w:r>
        <w:r w:rsidR="006E4257">
          <w:rPr>
            <w:webHidden/>
          </w:rPr>
          <w:fldChar w:fldCharType="end"/>
        </w:r>
      </w:hyperlink>
    </w:p>
    <w:p w:rsidR="006E4257" w:rsidRDefault="00FD0D54">
      <w:pPr>
        <w:pStyle w:val="TOC1"/>
        <w:rPr>
          <w:rFonts w:asciiTheme="minorHAnsi" w:eastAsiaTheme="minorEastAsia" w:hAnsiTheme="minorHAnsi" w:cstheme="minorBidi"/>
          <w:b w:val="0"/>
          <w:sz w:val="22"/>
          <w:szCs w:val="22"/>
          <w:lang w:eastAsia="en-AU"/>
        </w:rPr>
      </w:pPr>
      <w:hyperlink w:anchor="_Toc443486976" w:history="1">
        <w:r w:rsidR="006E4257" w:rsidRPr="00D644B5">
          <w:rPr>
            <w:rStyle w:val="Hyperlink"/>
          </w:rPr>
          <w:t xml:space="preserve">Appendix 4 - </w:t>
        </w:r>
        <w:r w:rsidR="006E4257" w:rsidRPr="00D644B5">
          <w:rPr>
            <w:rStyle w:val="Hyperlink"/>
            <w:rFonts w:eastAsia="Arial"/>
          </w:rPr>
          <w:t xml:space="preserve">Mechanisms for Future Adjustment </w:t>
        </w:r>
        <w:r w:rsidR="006E4257" w:rsidRPr="0061154A">
          <w:rPr>
            <w:rStyle w:val="Hyperlink"/>
            <w:b w:val="0"/>
          </w:rPr>
          <w:t>(extracts from previous documents)</w:t>
        </w:r>
        <w:r w:rsidR="006E4257" w:rsidRPr="0061154A">
          <w:rPr>
            <w:b w:val="0"/>
            <w:webHidden/>
          </w:rPr>
          <w:tab/>
        </w:r>
        <w:r w:rsidR="006E4257" w:rsidRPr="0061154A">
          <w:rPr>
            <w:b w:val="0"/>
            <w:webHidden/>
          </w:rPr>
          <w:fldChar w:fldCharType="begin"/>
        </w:r>
        <w:r w:rsidR="006E4257" w:rsidRPr="0061154A">
          <w:rPr>
            <w:b w:val="0"/>
            <w:webHidden/>
          </w:rPr>
          <w:instrText xml:space="preserve"> PAGEREF _Toc443486976 \h </w:instrText>
        </w:r>
        <w:r w:rsidR="006E4257" w:rsidRPr="0061154A">
          <w:rPr>
            <w:b w:val="0"/>
            <w:webHidden/>
          </w:rPr>
        </w:r>
        <w:r w:rsidR="006E4257" w:rsidRPr="0061154A">
          <w:rPr>
            <w:b w:val="0"/>
            <w:webHidden/>
          </w:rPr>
          <w:fldChar w:fldCharType="separate"/>
        </w:r>
        <w:r w:rsidR="006C0DC0">
          <w:rPr>
            <w:b w:val="0"/>
            <w:webHidden/>
          </w:rPr>
          <w:t>72</w:t>
        </w:r>
        <w:r w:rsidR="006E4257" w:rsidRPr="0061154A">
          <w:rPr>
            <w:b w:val="0"/>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77" w:history="1">
        <w:r w:rsidR="006E4257" w:rsidRPr="00D644B5">
          <w:rPr>
            <w:rStyle w:val="Hyperlink"/>
          </w:rPr>
          <w:t>1</w:t>
        </w:r>
        <w:r w:rsidR="006E4257">
          <w:rPr>
            <w:rFonts w:asciiTheme="minorHAnsi" w:eastAsiaTheme="minorEastAsia" w:hAnsiTheme="minorHAnsi" w:cstheme="minorBidi"/>
            <w:sz w:val="22"/>
            <w:szCs w:val="22"/>
            <w:lang w:eastAsia="en-AU"/>
          </w:rPr>
          <w:tab/>
        </w:r>
        <w:r w:rsidR="006E4257" w:rsidRPr="00D644B5">
          <w:rPr>
            <w:rStyle w:val="Hyperlink"/>
          </w:rPr>
          <w:t>Extract from the 2013 Issues Paper - section 10</w:t>
        </w:r>
        <w:r w:rsidR="006E4257">
          <w:rPr>
            <w:webHidden/>
          </w:rPr>
          <w:tab/>
        </w:r>
        <w:r w:rsidR="006E4257">
          <w:rPr>
            <w:webHidden/>
          </w:rPr>
          <w:fldChar w:fldCharType="begin"/>
        </w:r>
        <w:r w:rsidR="006E4257">
          <w:rPr>
            <w:webHidden/>
          </w:rPr>
          <w:instrText xml:space="preserve"> PAGEREF _Toc443486977 \h </w:instrText>
        </w:r>
        <w:r w:rsidR="006E4257">
          <w:rPr>
            <w:webHidden/>
          </w:rPr>
        </w:r>
        <w:r w:rsidR="006E4257">
          <w:rPr>
            <w:webHidden/>
          </w:rPr>
          <w:fldChar w:fldCharType="separate"/>
        </w:r>
        <w:r w:rsidR="006C0DC0">
          <w:rPr>
            <w:webHidden/>
          </w:rPr>
          <w:t>72</w:t>
        </w:r>
        <w:r w:rsidR="006E4257">
          <w:rPr>
            <w:webHidden/>
          </w:rPr>
          <w:fldChar w:fldCharType="end"/>
        </w:r>
      </w:hyperlink>
    </w:p>
    <w:p w:rsidR="006E4257" w:rsidRDefault="00FD0D54" w:rsidP="006E4257">
      <w:pPr>
        <w:pStyle w:val="TOC2"/>
        <w:rPr>
          <w:rFonts w:asciiTheme="minorHAnsi" w:eastAsiaTheme="minorEastAsia" w:hAnsiTheme="minorHAnsi" w:cstheme="minorBidi"/>
          <w:sz w:val="22"/>
          <w:szCs w:val="22"/>
          <w:lang w:eastAsia="en-AU"/>
        </w:rPr>
      </w:pPr>
      <w:hyperlink w:anchor="_Toc443486978" w:history="1">
        <w:r w:rsidR="006E4257" w:rsidRPr="00D644B5">
          <w:rPr>
            <w:rStyle w:val="Hyperlink"/>
          </w:rPr>
          <w:t>2</w:t>
        </w:r>
        <w:r w:rsidR="006E4257">
          <w:rPr>
            <w:rFonts w:asciiTheme="minorHAnsi" w:eastAsiaTheme="minorEastAsia" w:hAnsiTheme="minorHAnsi" w:cstheme="minorBidi"/>
            <w:sz w:val="22"/>
            <w:szCs w:val="22"/>
            <w:lang w:eastAsia="en-AU"/>
          </w:rPr>
          <w:tab/>
        </w:r>
        <w:r w:rsidR="006E4257" w:rsidRPr="00D644B5">
          <w:rPr>
            <w:rStyle w:val="Hyperlink"/>
          </w:rPr>
          <w:t>Extract from the 2014 Report - sections 4.12 and 4.13</w:t>
        </w:r>
        <w:r w:rsidR="006E4257">
          <w:rPr>
            <w:webHidden/>
          </w:rPr>
          <w:tab/>
        </w:r>
        <w:r w:rsidR="006E4257">
          <w:rPr>
            <w:webHidden/>
          </w:rPr>
          <w:fldChar w:fldCharType="begin"/>
        </w:r>
        <w:r w:rsidR="006E4257">
          <w:rPr>
            <w:webHidden/>
          </w:rPr>
          <w:instrText xml:space="preserve"> PAGEREF _Toc443486978 \h </w:instrText>
        </w:r>
        <w:r w:rsidR="006E4257">
          <w:rPr>
            <w:webHidden/>
          </w:rPr>
        </w:r>
        <w:r w:rsidR="006E4257">
          <w:rPr>
            <w:webHidden/>
          </w:rPr>
          <w:fldChar w:fldCharType="separate"/>
        </w:r>
        <w:r w:rsidR="006C0DC0">
          <w:rPr>
            <w:webHidden/>
          </w:rPr>
          <w:t>73</w:t>
        </w:r>
        <w:r w:rsidR="006E4257">
          <w:rPr>
            <w:webHidden/>
          </w:rPr>
          <w:fldChar w:fldCharType="end"/>
        </w:r>
      </w:hyperlink>
    </w:p>
    <w:p w:rsidR="006E4257" w:rsidRDefault="00FD0D54">
      <w:pPr>
        <w:pStyle w:val="TOC1"/>
        <w:rPr>
          <w:rFonts w:asciiTheme="minorHAnsi" w:eastAsiaTheme="minorEastAsia" w:hAnsiTheme="minorHAnsi" w:cstheme="minorBidi"/>
          <w:b w:val="0"/>
          <w:sz w:val="22"/>
          <w:szCs w:val="22"/>
          <w:lang w:eastAsia="en-AU"/>
        </w:rPr>
      </w:pPr>
      <w:hyperlink w:anchor="_Toc443486979" w:history="1">
        <w:r w:rsidR="006E4257" w:rsidRPr="00D644B5">
          <w:rPr>
            <w:rStyle w:val="Hyperlink"/>
          </w:rPr>
          <w:t>Appendix 5 – Cost of Various Allowances 1997-98 to 2014-15</w:t>
        </w:r>
        <w:r w:rsidR="006E4257" w:rsidRPr="0061154A">
          <w:rPr>
            <w:b w:val="0"/>
            <w:webHidden/>
          </w:rPr>
          <w:tab/>
        </w:r>
        <w:r w:rsidR="006E4257" w:rsidRPr="0061154A">
          <w:rPr>
            <w:b w:val="0"/>
            <w:webHidden/>
          </w:rPr>
          <w:fldChar w:fldCharType="begin"/>
        </w:r>
        <w:r w:rsidR="006E4257" w:rsidRPr="0061154A">
          <w:rPr>
            <w:b w:val="0"/>
            <w:webHidden/>
          </w:rPr>
          <w:instrText xml:space="preserve"> PAGEREF _Toc443486979 \h </w:instrText>
        </w:r>
        <w:r w:rsidR="006E4257" w:rsidRPr="0061154A">
          <w:rPr>
            <w:b w:val="0"/>
            <w:webHidden/>
          </w:rPr>
        </w:r>
        <w:r w:rsidR="006E4257" w:rsidRPr="0061154A">
          <w:rPr>
            <w:b w:val="0"/>
            <w:webHidden/>
          </w:rPr>
          <w:fldChar w:fldCharType="separate"/>
        </w:r>
        <w:r w:rsidR="006C0DC0">
          <w:rPr>
            <w:b w:val="0"/>
            <w:webHidden/>
          </w:rPr>
          <w:t>77</w:t>
        </w:r>
        <w:r w:rsidR="006E4257" w:rsidRPr="0061154A">
          <w:rPr>
            <w:b w:val="0"/>
            <w:webHidden/>
          </w:rPr>
          <w:fldChar w:fldCharType="end"/>
        </w:r>
      </w:hyperlink>
    </w:p>
    <w:p w:rsidR="006E4257" w:rsidRDefault="00FD0D54">
      <w:pPr>
        <w:pStyle w:val="TOC1"/>
        <w:rPr>
          <w:rFonts w:asciiTheme="minorHAnsi" w:eastAsiaTheme="minorEastAsia" w:hAnsiTheme="minorHAnsi" w:cstheme="minorBidi"/>
          <w:b w:val="0"/>
          <w:sz w:val="22"/>
          <w:szCs w:val="22"/>
          <w:lang w:eastAsia="en-AU"/>
        </w:rPr>
      </w:pPr>
      <w:hyperlink w:anchor="_Toc443486980" w:history="1">
        <w:r w:rsidR="006E4257" w:rsidRPr="00D644B5">
          <w:rPr>
            <w:rStyle w:val="Hyperlink"/>
          </w:rPr>
          <w:t>Appendix 6 – Electorate Offices and Staff</w:t>
        </w:r>
        <w:r w:rsidR="006E4257" w:rsidRPr="0061154A">
          <w:rPr>
            <w:b w:val="0"/>
            <w:webHidden/>
          </w:rPr>
          <w:tab/>
        </w:r>
        <w:r w:rsidR="006E4257" w:rsidRPr="0061154A">
          <w:rPr>
            <w:b w:val="0"/>
            <w:webHidden/>
          </w:rPr>
          <w:fldChar w:fldCharType="begin"/>
        </w:r>
        <w:r w:rsidR="006E4257" w:rsidRPr="0061154A">
          <w:rPr>
            <w:b w:val="0"/>
            <w:webHidden/>
          </w:rPr>
          <w:instrText xml:space="preserve"> PAGEREF _Toc443486980 \h </w:instrText>
        </w:r>
        <w:r w:rsidR="006E4257" w:rsidRPr="0061154A">
          <w:rPr>
            <w:b w:val="0"/>
            <w:webHidden/>
          </w:rPr>
        </w:r>
        <w:r w:rsidR="006E4257" w:rsidRPr="0061154A">
          <w:rPr>
            <w:b w:val="0"/>
            <w:webHidden/>
          </w:rPr>
          <w:fldChar w:fldCharType="separate"/>
        </w:r>
        <w:r w:rsidR="006C0DC0">
          <w:rPr>
            <w:b w:val="0"/>
            <w:webHidden/>
          </w:rPr>
          <w:t>78</w:t>
        </w:r>
        <w:r w:rsidR="006E4257" w:rsidRPr="0061154A">
          <w:rPr>
            <w:b w:val="0"/>
            <w:webHidden/>
          </w:rPr>
          <w:fldChar w:fldCharType="end"/>
        </w:r>
      </w:hyperlink>
    </w:p>
    <w:p w:rsidR="009A616D" w:rsidRPr="00585AE3" w:rsidRDefault="009A616D" w:rsidP="00F67F05">
      <w:pPr>
        <w:rPr>
          <w:b/>
          <w:sz w:val="16"/>
          <w:szCs w:val="16"/>
          <w:lang w:val="en-US"/>
        </w:rPr>
      </w:pPr>
      <w:r w:rsidRPr="0006046E">
        <w:rPr>
          <w:bCs/>
          <w:noProof/>
          <w:sz w:val="16"/>
          <w:szCs w:val="16"/>
        </w:rPr>
        <w:fldChar w:fldCharType="end"/>
      </w:r>
    </w:p>
    <w:p w:rsidR="009A616D" w:rsidRDefault="009A616D" w:rsidP="00D5167E">
      <w:pPr>
        <w:jc w:val="both"/>
        <w:rPr>
          <w:b/>
          <w:lang w:val="en-US"/>
        </w:rPr>
      </w:pPr>
    </w:p>
    <w:p w:rsidR="009A616D" w:rsidRDefault="009A616D" w:rsidP="00D5167E">
      <w:pPr>
        <w:jc w:val="both"/>
        <w:rPr>
          <w:b/>
          <w:lang w:val="en-US"/>
        </w:rPr>
        <w:sectPr w:rsidR="009A616D" w:rsidSect="00FA61AC">
          <w:footerReference w:type="default" r:id="rId10"/>
          <w:pgSz w:w="11906" w:h="16838"/>
          <w:pgMar w:top="1440" w:right="1440" w:bottom="1440" w:left="1440" w:header="708" w:footer="708" w:gutter="0"/>
          <w:pgNumType w:fmt="lowerRoman" w:start="1"/>
          <w:cols w:space="708"/>
          <w:docGrid w:linePitch="360"/>
        </w:sectPr>
      </w:pPr>
    </w:p>
    <w:p w:rsidR="008B4B99" w:rsidRPr="006D5495" w:rsidRDefault="008B4B99" w:rsidP="00F700FC">
      <w:pPr>
        <w:pStyle w:val="Heading1"/>
        <w:rPr>
          <w:sz w:val="18"/>
          <w:szCs w:val="18"/>
        </w:rPr>
      </w:pPr>
      <w:bookmarkStart w:id="1" w:name="_Toc443486895"/>
      <w:r w:rsidRPr="006D5495">
        <w:rPr>
          <w:sz w:val="18"/>
          <w:szCs w:val="18"/>
        </w:rPr>
        <w:lastRenderedPageBreak/>
        <w:t>Preamble</w:t>
      </w:r>
      <w:bookmarkEnd w:id="1"/>
    </w:p>
    <w:p w:rsidR="00936DC6" w:rsidRDefault="00936DC6" w:rsidP="008B4B99"/>
    <w:p w:rsidR="008B4B99" w:rsidRPr="006D5495" w:rsidRDefault="008B4B99" w:rsidP="00F324DE">
      <w:pPr>
        <w:jc w:val="both"/>
        <w:rPr>
          <w:sz w:val="18"/>
          <w:szCs w:val="18"/>
          <w:lang w:val="en-US"/>
        </w:rPr>
      </w:pPr>
      <w:r w:rsidRPr="006D5495">
        <w:rPr>
          <w:sz w:val="18"/>
          <w:szCs w:val="18"/>
        </w:rPr>
        <w:t xml:space="preserve">This Report </w:t>
      </w:r>
      <w:r w:rsidRPr="006D5495">
        <w:rPr>
          <w:sz w:val="18"/>
          <w:szCs w:val="18"/>
          <w:lang w:val="en-US"/>
        </w:rPr>
        <w:t xml:space="preserve">into Parliamentary Salaries and Allowances has been undertaken by the Full Bench of the Tasmanian Industrial Commission under Part 3 of the </w:t>
      </w:r>
      <w:r w:rsidRPr="006D5495">
        <w:rPr>
          <w:i/>
          <w:sz w:val="18"/>
          <w:szCs w:val="18"/>
          <w:lang w:val="en-US"/>
        </w:rPr>
        <w:t>Parliamentary Salaries, Superannuation and Allowances Act 2012</w:t>
      </w:r>
      <w:r w:rsidR="00FA52C9" w:rsidRPr="006D5495">
        <w:rPr>
          <w:i/>
          <w:sz w:val="18"/>
          <w:szCs w:val="18"/>
          <w:lang w:val="en-US"/>
        </w:rPr>
        <w:t xml:space="preserve"> </w:t>
      </w:r>
      <w:r w:rsidR="00FA52C9" w:rsidRPr="006D5495">
        <w:rPr>
          <w:sz w:val="18"/>
          <w:szCs w:val="18"/>
          <w:lang w:val="en-US"/>
        </w:rPr>
        <w:t>(</w:t>
      </w:r>
      <w:r w:rsidR="0015640D" w:rsidRPr="006D5495">
        <w:rPr>
          <w:sz w:val="18"/>
          <w:szCs w:val="18"/>
          <w:lang w:val="en-US"/>
        </w:rPr>
        <w:t>t</w:t>
      </w:r>
      <w:r w:rsidR="00FA52C9" w:rsidRPr="006D5495">
        <w:rPr>
          <w:sz w:val="18"/>
          <w:szCs w:val="18"/>
          <w:lang w:val="en-US"/>
        </w:rPr>
        <w:t>he 2012 Act)</w:t>
      </w:r>
      <w:r w:rsidRPr="006D5495">
        <w:rPr>
          <w:sz w:val="18"/>
          <w:szCs w:val="18"/>
          <w:lang w:val="en-US"/>
        </w:rPr>
        <w:t xml:space="preserve">.  </w:t>
      </w:r>
    </w:p>
    <w:p w:rsidR="008B4B99" w:rsidRPr="006D5495" w:rsidRDefault="00D27ECF" w:rsidP="00F324DE">
      <w:pPr>
        <w:jc w:val="both"/>
        <w:rPr>
          <w:sz w:val="18"/>
          <w:szCs w:val="18"/>
          <w:lang w:val="en-US"/>
        </w:rPr>
      </w:pPr>
      <w:r w:rsidRPr="006D5495">
        <w:rPr>
          <w:sz w:val="18"/>
          <w:szCs w:val="18"/>
          <w:lang w:val="en-US"/>
        </w:rPr>
        <w:t xml:space="preserve">In accordance with sections 3C and 3E </w:t>
      </w:r>
      <w:r w:rsidR="00936DC6" w:rsidRPr="006D5495">
        <w:rPr>
          <w:sz w:val="18"/>
          <w:szCs w:val="18"/>
          <w:lang w:val="en-US"/>
        </w:rPr>
        <w:t xml:space="preserve">of the </w:t>
      </w:r>
      <w:r w:rsidR="00115282">
        <w:rPr>
          <w:sz w:val="18"/>
          <w:szCs w:val="18"/>
          <w:lang w:val="en-US"/>
        </w:rPr>
        <w:t xml:space="preserve">2012 </w:t>
      </w:r>
      <w:r w:rsidR="00936DC6" w:rsidRPr="006D5495">
        <w:rPr>
          <w:sz w:val="18"/>
          <w:szCs w:val="18"/>
          <w:lang w:val="en-US"/>
        </w:rPr>
        <w:t>Act</w:t>
      </w:r>
      <w:r w:rsidR="007D2E53" w:rsidRPr="006D5495">
        <w:rPr>
          <w:sz w:val="18"/>
          <w:szCs w:val="18"/>
          <w:lang w:val="en-US"/>
        </w:rPr>
        <w:t>,</w:t>
      </w:r>
      <w:r w:rsidR="00936DC6" w:rsidRPr="006D5495">
        <w:rPr>
          <w:sz w:val="18"/>
          <w:szCs w:val="18"/>
          <w:lang w:val="en-US"/>
        </w:rPr>
        <w:t xml:space="preserve"> </w:t>
      </w:r>
      <w:r w:rsidRPr="006D5495">
        <w:rPr>
          <w:sz w:val="18"/>
          <w:szCs w:val="18"/>
          <w:lang w:val="en-US"/>
        </w:rPr>
        <w:t>t</w:t>
      </w:r>
      <w:r w:rsidR="008B4B99" w:rsidRPr="006D5495">
        <w:rPr>
          <w:sz w:val="18"/>
          <w:szCs w:val="18"/>
          <w:lang w:val="en-US"/>
        </w:rPr>
        <w:t xml:space="preserve">he Commission has conducted an </w:t>
      </w:r>
      <w:r w:rsidR="00814386" w:rsidRPr="006D5495">
        <w:rPr>
          <w:sz w:val="18"/>
          <w:szCs w:val="18"/>
          <w:lang w:val="en-US"/>
        </w:rPr>
        <w:t xml:space="preserve">Inquiry </w:t>
      </w:r>
      <w:r w:rsidR="008B4B99" w:rsidRPr="006D5495">
        <w:rPr>
          <w:sz w:val="18"/>
          <w:szCs w:val="18"/>
          <w:lang w:val="en-US"/>
        </w:rPr>
        <w:t xml:space="preserve">into the basic salary payable to each member of Parliament, the kinds of, and amounts of, any additional salary payable to </w:t>
      </w:r>
      <w:r w:rsidRPr="006D5495">
        <w:rPr>
          <w:sz w:val="18"/>
          <w:szCs w:val="18"/>
          <w:lang w:val="en-US"/>
        </w:rPr>
        <w:t>members of Parliament</w:t>
      </w:r>
      <w:r w:rsidR="008B4B99" w:rsidRPr="006D5495">
        <w:rPr>
          <w:sz w:val="18"/>
          <w:szCs w:val="18"/>
          <w:lang w:val="en-US"/>
        </w:rPr>
        <w:t xml:space="preserve"> holding specified offices, and the kinds of, and amounts of</w:t>
      </w:r>
      <w:r w:rsidR="00FA52C9" w:rsidRPr="006D5495">
        <w:rPr>
          <w:sz w:val="18"/>
          <w:szCs w:val="18"/>
          <w:lang w:val="en-US"/>
        </w:rPr>
        <w:t>,</w:t>
      </w:r>
      <w:r w:rsidR="008B4B99" w:rsidRPr="006D5495">
        <w:rPr>
          <w:sz w:val="18"/>
          <w:szCs w:val="18"/>
          <w:lang w:val="en-US"/>
        </w:rPr>
        <w:t xml:space="preserve"> allowances and benefits payable to each member of Parliament.</w:t>
      </w:r>
    </w:p>
    <w:p w:rsidR="00083BA9" w:rsidRPr="006D5495" w:rsidRDefault="008B4B99" w:rsidP="00F324DE">
      <w:pPr>
        <w:jc w:val="both"/>
        <w:rPr>
          <w:sz w:val="18"/>
          <w:szCs w:val="18"/>
          <w:lang w:val="en-US"/>
        </w:rPr>
      </w:pPr>
      <w:r w:rsidRPr="006D5495">
        <w:rPr>
          <w:sz w:val="18"/>
          <w:szCs w:val="18"/>
          <w:lang w:val="en-US"/>
        </w:rPr>
        <w:t>Section 3D of th</w:t>
      </w:r>
      <w:r w:rsidR="00936DC6" w:rsidRPr="006D5495">
        <w:rPr>
          <w:sz w:val="18"/>
          <w:szCs w:val="18"/>
          <w:lang w:val="en-US"/>
        </w:rPr>
        <w:t>e</w:t>
      </w:r>
      <w:r w:rsidRPr="006D5495">
        <w:rPr>
          <w:sz w:val="18"/>
          <w:szCs w:val="18"/>
          <w:lang w:val="en-US"/>
        </w:rPr>
        <w:t xml:space="preserve"> </w:t>
      </w:r>
      <w:r w:rsidR="00115282">
        <w:rPr>
          <w:sz w:val="18"/>
          <w:szCs w:val="18"/>
          <w:lang w:val="en-US"/>
        </w:rPr>
        <w:t xml:space="preserve">2012 </w:t>
      </w:r>
      <w:r w:rsidRPr="006D5495">
        <w:rPr>
          <w:sz w:val="18"/>
          <w:szCs w:val="18"/>
          <w:lang w:val="en-US"/>
        </w:rPr>
        <w:t xml:space="preserve">Act provides that the Commission must, after conducting an </w:t>
      </w:r>
      <w:r w:rsidR="007D2E53" w:rsidRPr="006D5495">
        <w:rPr>
          <w:sz w:val="18"/>
          <w:szCs w:val="18"/>
          <w:lang w:val="en-US"/>
        </w:rPr>
        <w:t>Inquiry</w:t>
      </w:r>
      <w:r w:rsidR="00D27ECF" w:rsidRPr="006D5495">
        <w:rPr>
          <w:sz w:val="18"/>
          <w:szCs w:val="18"/>
          <w:lang w:val="en-US"/>
        </w:rPr>
        <w:t xml:space="preserve">, prepare a </w:t>
      </w:r>
      <w:r w:rsidR="00083BA9" w:rsidRPr="006D5495">
        <w:rPr>
          <w:sz w:val="18"/>
          <w:szCs w:val="18"/>
          <w:lang w:val="en-US"/>
        </w:rPr>
        <w:t>Report</w:t>
      </w:r>
      <w:r w:rsidR="00D27ECF" w:rsidRPr="006D5495">
        <w:rPr>
          <w:sz w:val="18"/>
          <w:szCs w:val="18"/>
          <w:lang w:val="en-US"/>
        </w:rPr>
        <w:t xml:space="preserve">.  </w:t>
      </w:r>
    </w:p>
    <w:p w:rsidR="008B4B99" w:rsidRPr="006D5495" w:rsidRDefault="00D27ECF" w:rsidP="00F324DE">
      <w:pPr>
        <w:jc w:val="both"/>
        <w:rPr>
          <w:sz w:val="18"/>
          <w:szCs w:val="18"/>
          <w:lang w:val="en-US"/>
        </w:rPr>
      </w:pPr>
      <w:r w:rsidRPr="006D5495">
        <w:rPr>
          <w:sz w:val="18"/>
          <w:szCs w:val="18"/>
          <w:lang w:val="en-US"/>
        </w:rPr>
        <w:t xml:space="preserve">As required by the </w:t>
      </w:r>
      <w:r w:rsidR="00115282">
        <w:rPr>
          <w:sz w:val="18"/>
          <w:szCs w:val="18"/>
          <w:lang w:val="en-US"/>
        </w:rPr>
        <w:t xml:space="preserve">2012 </w:t>
      </w:r>
      <w:r w:rsidRPr="006D5495">
        <w:rPr>
          <w:sz w:val="18"/>
          <w:szCs w:val="18"/>
          <w:lang w:val="en-US"/>
        </w:rPr>
        <w:t>Act, th</w:t>
      </w:r>
      <w:r w:rsidR="00083BA9" w:rsidRPr="006D5495">
        <w:rPr>
          <w:sz w:val="18"/>
          <w:szCs w:val="18"/>
          <w:lang w:val="en-US"/>
        </w:rPr>
        <w:t>is</w:t>
      </w:r>
      <w:r w:rsidRPr="006D5495">
        <w:rPr>
          <w:sz w:val="18"/>
          <w:szCs w:val="18"/>
          <w:lang w:val="en-US"/>
        </w:rPr>
        <w:t xml:space="preserve"> </w:t>
      </w:r>
      <w:r w:rsidR="00083BA9" w:rsidRPr="006D5495">
        <w:rPr>
          <w:sz w:val="18"/>
          <w:szCs w:val="18"/>
          <w:lang w:val="en-US"/>
        </w:rPr>
        <w:t xml:space="preserve">Report </w:t>
      </w:r>
      <w:r w:rsidRPr="006D5495">
        <w:rPr>
          <w:sz w:val="18"/>
          <w:szCs w:val="18"/>
          <w:lang w:val="en-US"/>
        </w:rPr>
        <w:t>includes:</w:t>
      </w:r>
    </w:p>
    <w:p w:rsidR="008B4B99" w:rsidRPr="006D5495" w:rsidRDefault="00D27ECF" w:rsidP="00F324DE">
      <w:pPr>
        <w:numPr>
          <w:ilvl w:val="0"/>
          <w:numId w:val="20"/>
        </w:numPr>
        <w:jc w:val="both"/>
        <w:rPr>
          <w:sz w:val="18"/>
          <w:szCs w:val="18"/>
          <w:lang w:val="en-US"/>
        </w:rPr>
      </w:pPr>
      <w:r w:rsidRPr="006D5495">
        <w:rPr>
          <w:sz w:val="18"/>
          <w:szCs w:val="18"/>
          <w:lang w:val="en-US"/>
        </w:rPr>
        <w:t xml:space="preserve">The </w:t>
      </w:r>
      <w:r w:rsidRPr="006D5495">
        <w:rPr>
          <w:b/>
          <w:sz w:val="18"/>
          <w:szCs w:val="18"/>
          <w:lang w:val="en-US"/>
        </w:rPr>
        <w:t>information</w:t>
      </w:r>
      <w:r w:rsidRPr="006D5495">
        <w:rPr>
          <w:sz w:val="18"/>
          <w:szCs w:val="18"/>
          <w:lang w:val="en-US"/>
        </w:rPr>
        <w:t xml:space="preserve"> that the Commission thinks fit in respect of its </w:t>
      </w:r>
      <w:r w:rsidR="00814386" w:rsidRPr="006D5495">
        <w:rPr>
          <w:sz w:val="18"/>
          <w:szCs w:val="18"/>
          <w:lang w:val="en-US"/>
        </w:rPr>
        <w:t>Inquiry</w:t>
      </w:r>
      <w:r w:rsidRPr="006D5495">
        <w:rPr>
          <w:sz w:val="18"/>
          <w:szCs w:val="18"/>
          <w:lang w:val="en-US"/>
        </w:rPr>
        <w:t>;</w:t>
      </w:r>
    </w:p>
    <w:p w:rsidR="00D27ECF" w:rsidRPr="006D5495" w:rsidRDefault="00D27ECF" w:rsidP="00F324DE">
      <w:pPr>
        <w:numPr>
          <w:ilvl w:val="0"/>
          <w:numId w:val="20"/>
        </w:numPr>
        <w:jc w:val="both"/>
        <w:rPr>
          <w:sz w:val="18"/>
          <w:szCs w:val="18"/>
          <w:lang w:val="en-US"/>
        </w:rPr>
      </w:pPr>
      <w:r w:rsidRPr="006D5495">
        <w:rPr>
          <w:sz w:val="18"/>
          <w:szCs w:val="18"/>
          <w:lang w:val="en-US"/>
        </w:rPr>
        <w:t xml:space="preserve">The Commission’s </w:t>
      </w:r>
      <w:r w:rsidRPr="006D5495">
        <w:rPr>
          <w:b/>
          <w:sz w:val="18"/>
          <w:szCs w:val="18"/>
          <w:lang w:val="en-US"/>
        </w:rPr>
        <w:t>recommendations</w:t>
      </w:r>
      <w:r w:rsidRPr="006D5495">
        <w:rPr>
          <w:sz w:val="18"/>
          <w:szCs w:val="18"/>
          <w:lang w:val="en-US"/>
        </w:rPr>
        <w:t xml:space="preserve"> in relation to the matters it is required to inquire into, which for the purpose of this </w:t>
      </w:r>
      <w:r w:rsidR="00814386" w:rsidRPr="006D5495">
        <w:rPr>
          <w:sz w:val="18"/>
          <w:szCs w:val="18"/>
          <w:lang w:val="en-US"/>
        </w:rPr>
        <w:t xml:space="preserve">Inquiry </w:t>
      </w:r>
      <w:r w:rsidRPr="006D5495">
        <w:rPr>
          <w:sz w:val="18"/>
          <w:szCs w:val="18"/>
          <w:lang w:val="en-US"/>
        </w:rPr>
        <w:t xml:space="preserve">under section 3E(2) of the </w:t>
      </w:r>
      <w:r w:rsidR="00115282">
        <w:rPr>
          <w:sz w:val="18"/>
          <w:szCs w:val="18"/>
          <w:lang w:val="en-US"/>
        </w:rPr>
        <w:t xml:space="preserve">2012 </w:t>
      </w:r>
      <w:r w:rsidRPr="006D5495">
        <w:rPr>
          <w:sz w:val="18"/>
          <w:szCs w:val="18"/>
          <w:lang w:val="en-US"/>
        </w:rPr>
        <w:t>Act includes the report dated 30 May 2014 of the Tribunal established by an Order-in-Council made on 26</w:t>
      </w:r>
      <w:r w:rsidR="00115282">
        <w:rPr>
          <w:sz w:val="18"/>
          <w:szCs w:val="18"/>
          <w:lang w:val="en-US"/>
        </w:rPr>
        <w:t> </w:t>
      </w:r>
      <w:r w:rsidRPr="006D5495">
        <w:rPr>
          <w:sz w:val="18"/>
          <w:szCs w:val="18"/>
          <w:lang w:val="en-US"/>
        </w:rPr>
        <w:t>June 2013 to inquire into the basic salary, allowances and benefits provided to members of Parliament; and</w:t>
      </w:r>
    </w:p>
    <w:p w:rsidR="00D27ECF" w:rsidRPr="006D5495" w:rsidRDefault="00D27ECF" w:rsidP="00F324DE">
      <w:pPr>
        <w:numPr>
          <w:ilvl w:val="0"/>
          <w:numId w:val="20"/>
        </w:numPr>
        <w:jc w:val="both"/>
        <w:rPr>
          <w:sz w:val="18"/>
          <w:szCs w:val="18"/>
          <w:lang w:val="en-US"/>
        </w:rPr>
      </w:pPr>
      <w:r w:rsidRPr="006D5495">
        <w:rPr>
          <w:sz w:val="18"/>
          <w:szCs w:val="18"/>
          <w:lang w:val="en-US"/>
        </w:rPr>
        <w:t xml:space="preserve">The Commission’s </w:t>
      </w:r>
      <w:r w:rsidRPr="006D5495">
        <w:rPr>
          <w:b/>
          <w:sz w:val="18"/>
          <w:szCs w:val="18"/>
          <w:lang w:val="en-US"/>
        </w:rPr>
        <w:t>Determination</w:t>
      </w:r>
      <w:r w:rsidRPr="006D5495">
        <w:rPr>
          <w:sz w:val="18"/>
          <w:szCs w:val="18"/>
          <w:lang w:val="en-US"/>
        </w:rPr>
        <w:t xml:space="preserve"> in relation to th</w:t>
      </w:r>
      <w:r w:rsidR="004B7749" w:rsidRPr="006D5495">
        <w:rPr>
          <w:sz w:val="18"/>
          <w:szCs w:val="18"/>
          <w:lang w:val="en-US"/>
        </w:rPr>
        <w:t>e</w:t>
      </w:r>
      <w:r w:rsidRPr="006D5495">
        <w:rPr>
          <w:sz w:val="18"/>
          <w:szCs w:val="18"/>
          <w:lang w:val="en-US"/>
        </w:rPr>
        <w:t xml:space="preserve"> matters</w:t>
      </w:r>
      <w:r w:rsidR="004B7749" w:rsidRPr="006D5495">
        <w:rPr>
          <w:sz w:val="18"/>
          <w:szCs w:val="18"/>
          <w:lang w:val="en-US"/>
        </w:rPr>
        <w:t xml:space="preserve"> it is required to determine</w:t>
      </w:r>
      <w:r w:rsidR="00083BA9" w:rsidRPr="006D5495">
        <w:rPr>
          <w:sz w:val="18"/>
          <w:szCs w:val="18"/>
          <w:lang w:val="en-US"/>
        </w:rPr>
        <w:t>.</w:t>
      </w:r>
    </w:p>
    <w:p w:rsidR="00083BA9" w:rsidRPr="006D5495" w:rsidRDefault="00083BA9" w:rsidP="00F324DE">
      <w:pPr>
        <w:jc w:val="both"/>
        <w:rPr>
          <w:sz w:val="18"/>
          <w:szCs w:val="18"/>
          <w:lang w:val="en-US"/>
        </w:rPr>
      </w:pPr>
      <w:r w:rsidRPr="006D5495">
        <w:rPr>
          <w:sz w:val="18"/>
          <w:szCs w:val="18"/>
          <w:lang w:val="en-US"/>
        </w:rPr>
        <w:t xml:space="preserve">The </w:t>
      </w:r>
      <w:r w:rsidR="00115282">
        <w:rPr>
          <w:sz w:val="18"/>
          <w:szCs w:val="18"/>
          <w:lang w:val="en-US"/>
        </w:rPr>
        <w:t xml:space="preserve">2012 </w:t>
      </w:r>
      <w:r w:rsidRPr="006D5495">
        <w:rPr>
          <w:sz w:val="18"/>
          <w:szCs w:val="18"/>
          <w:lang w:val="en-US"/>
        </w:rPr>
        <w:t xml:space="preserve">Act also requires the Commission to inquire into any matter specified in a written notice by the Minister responsible for the </w:t>
      </w:r>
      <w:r w:rsidR="00115282">
        <w:rPr>
          <w:sz w:val="18"/>
          <w:szCs w:val="18"/>
          <w:lang w:val="en-US"/>
        </w:rPr>
        <w:t xml:space="preserve">2012 </w:t>
      </w:r>
      <w:r w:rsidRPr="006D5495">
        <w:rPr>
          <w:sz w:val="18"/>
          <w:szCs w:val="18"/>
          <w:lang w:val="en-US"/>
        </w:rPr>
        <w:t>Act (the Premier)</w:t>
      </w:r>
      <w:r w:rsidR="007D2E53" w:rsidRPr="006D5495">
        <w:rPr>
          <w:sz w:val="18"/>
          <w:szCs w:val="18"/>
          <w:lang w:val="en-US"/>
        </w:rPr>
        <w:t>,</w:t>
      </w:r>
      <w:r w:rsidRPr="006D5495">
        <w:rPr>
          <w:sz w:val="18"/>
          <w:szCs w:val="18"/>
          <w:lang w:val="en-US"/>
        </w:rPr>
        <w:t xml:space="preserve"> with such notice required to be tabled in both Houses of Parliament.  In relation to this </w:t>
      </w:r>
      <w:r w:rsidR="0003140C" w:rsidRPr="006D5495">
        <w:rPr>
          <w:sz w:val="18"/>
          <w:szCs w:val="18"/>
          <w:lang w:val="en-US"/>
        </w:rPr>
        <w:t xml:space="preserve">Inquiry </w:t>
      </w:r>
      <w:r w:rsidRPr="006D5495">
        <w:rPr>
          <w:sz w:val="18"/>
          <w:szCs w:val="18"/>
          <w:lang w:val="en-US"/>
        </w:rPr>
        <w:t xml:space="preserve">no notice was received from the Minister. </w:t>
      </w:r>
    </w:p>
    <w:p w:rsidR="00D27ECF" w:rsidRPr="006D5495" w:rsidRDefault="00083BA9" w:rsidP="00F324DE">
      <w:pPr>
        <w:jc w:val="both"/>
        <w:rPr>
          <w:sz w:val="18"/>
          <w:szCs w:val="18"/>
        </w:rPr>
      </w:pPr>
      <w:r w:rsidRPr="006D5495">
        <w:rPr>
          <w:sz w:val="18"/>
          <w:szCs w:val="18"/>
        </w:rPr>
        <w:t xml:space="preserve">The </w:t>
      </w:r>
      <w:r w:rsidR="00115282">
        <w:rPr>
          <w:sz w:val="18"/>
          <w:szCs w:val="18"/>
        </w:rPr>
        <w:t xml:space="preserve">2012 </w:t>
      </w:r>
      <w:r w:rsidRPr="006D5495">
        <w:rPr>
          <w:sz w:val="18"/>
          <w:szCs w:val="18"/>
        </w:rPr>
        <w:t>Act requires that this Report be provided to the Clerk of each House of Parliament before 1 March 2016.</w:t>
      </w:r>
    </w:p>
    <w:p w:rsidR="008B4B99" w:rsidRDefault="008B4B99" w:rsidP="008B4B99"/>
    <w:p w:rsidR="008B4B99" w:rsidRPr="008B4B99" w:rsidRDefault="008B4B99" w:rsidP="008B4B99">
      <w:pPr>
        <w:rPr>
          <w:lang w:val="en-US"/>
        </w:rPr>
        <w:sectPr w:rsidR="008B4B99" w:rsidRPr="008B4B99" w:rsidSect="00E14D34">
          <w:headerReference w:type="default" r:id="rId11"/>
          <w:pgSz w:w="11906" w:h="16838"/>
          <w:pgMar w:top="1440" w:right="1440" w:bottom="1440" w:left="1440" w:header="708" w:footer="708" w:gutter="0"/>
          <w:pgNumType w:fmt="lowerRoman"/>
          <w:cols w:space="708"/>
          <w:docGrid w:linePitch="360"/>
        </w:sectPr>
      </w:pPr>
    </w:p>
    <w:p w:rsidR="00516208" w:rsidRPr="00446F49" w:rsidRDefault="00516208" w:rsidP="00F700FC">
      <w:pPr>
        <w:pStyle w:val="Heading1"/>
      </w:pPr>
      <w:bookmarkStart w:id="2" w:name="_Toc443486896"/>
      <w:r w:rsidRPr="00446F49">
        <w:lastRenderedPageBreak/>
        <w:t>Glossary of Frequently Used Terms</w:t>
      </w:r>
      <w:bookmarkEnd w:id="2"/>
    </w:p>
    <w:p w:rsidR="00516208" w:rsidRPr="00446F49" w:rsidRDefault="00516208" w:rsidP="00516208">
      <w:pPr>
        <w:rPr>
          <w:lang w:val="en-US"/>
        </w:rPr>
      </w:pPr>
    </w:p>
    <w:p w:rsidR="00516208" w:rsidRPr="007F25E8" w:rsidRDefault="00516208" w:rsidP="00516208">
      <w:pPr>
        <w:jc w:val="both"/>
        <w:rPr>
          <w:sz w:val="18"/>
          <w:szCs w:val="18"/>
          <w:lang w:val="en-US"/>
        </w:rPr>
      </w:pPr>
      <w:r w:rsidRPr="007F25E8">
        <w:rPr>
          <w:b/>
          <w:sz w:val="18"/>
          <w:szCs w:val="18"/>
          <w:lang w:val="en-US"/>
        </w:rPr>
        <w:t xml:space="preserve">ABS: </w:t>
      </w:r>
      <w:r w:rsidR="00FA52C9">
        <w:rPr>
          <w:sz w:val="18"/>
          <w:szCs w:val="18"/>
          <w:lang w:val="en-US"/>
        </w:rPr>
        <w:t>Australian Bureau of Statistics</w:t>
      </w:r>
    </w:p>
    <w:p w:rsidR="00516208" w:rsidRPr="007F25E8" w:rsidRDefault="00712B10" w:rsidP="00516208">
      <w:pPr>
        <w:jc w:val="both"/>
        <w:rPr>
          <w:sz w:val="18"/>
          <w:szCs w:val="18"/>
          <w:lang w:val="en-US"/>
        </w:rPr>
      </w:pPr>
      <w:r w:rsidRPr="007F25E8">
        <w:rPr>
          <w:b/>
          <w:sz w:val="18"/>
          <w:szCs w:val="18"/>
          <w:lang w:val="en-US"/>
        </w:rPr>
        <w:t>ANMF (Tas)</w:t>
      </w:r>
      <w:r w:rsidR="00516208" w:rsidRPr="007F25E8">
        <w:rPr>
          <w:sz w:val="18"/>
          <w:szCs w:val="18"/>
          <w:lang w:val="en-US"/>
        </w:rPr>
        <w:t xml:space="preserve">: Australian Nursing and Midwifery Federation </w:t>
      </w:r>
      <w:r w:rsidR="00FA52C9">
        <w:rPr>
          <w:sz w:val="18"/>
          <w:szCs w:val="18"/>
          <w:lang w:val="en-US"/>
        </w:rPr>
        <w:t>(</w:t>
      </w:r>
      <w:r w:rsidR="00516208" w:rsidRPr="007F25E8">
        <w:rPr>
          <w:sz w:val="18"/>
          <w:szCs w:val="18"/>
          <w:lang w:val="en-US"/>
        </w:rPr>
        <w:t>Tasmanian Branch</w:t>
      </w:r>
      <w:r w:rsidR="00FA52C9">
        <w:rPr>
          <w:sz w:val="18"/>
          <w:szCs w:val="18"/>
          <w:lang w:val="en-US"/>
        </w:rPr>
        <w:t>)</w:t>
      </w:r>
    </w:p>
    <w:p w:rsidR="00BF4E1E" w:rsidRPr="007F25E8" w:rsidRDefault="00BF4E1E" w:rsidP="00516208">
      <w:pPr>
        <w:jc w:val="both"/>
        <w:rPr>
          <w:b/>
          <w:sz w:val="18"/>
          <w:szCs w:val="18"/>
          <w:lang w:val="en-US"/>
        </w:rPr>
      </w:pPr>
      <w:r w:rsidRPr="007F25E8">
        <w:rPr>
          <w:b/>
          <w:sz w:val="18"/>
          <w:szCs w:val="18"/>
          <w:lang w:val="en-US"/>
        </w:rPr>
        <w:t>ATO:</w:t>
      </w:r>
      <w:r w:rsidRPr="007F25E8">
        <w:rPr>
          <w:b/>
          <w:sz w:val="18"/>
          <w:szCs w:val="18"/>
          <w:lang w:val="en-US"/>
        </w:rPr>
        <w:tab/>
      </w:r>
      <w:r w:rsidRPr="007F25E8">
        <w:rPr>
          <w:sz w:val="18"/>
          <w:szCs w:val="18"/>
          <w:lang w:val="en-US"/>
        </w:rPr>
        <w:t>Australian Taxation Office</w:t>
      </w:r>
    </w:p>
    <w:p w:rsidR="00516208" w:rsidRPr="007F25E8" w:rsidRDefault="00516208" w:rsidP="00516208">
      <w:pPr>
        <w:jc w:val="both"/>
        <w:rPr>
          <w:sz w:val="18"/>
          <w:szCs w:val="18"/>
          <w:lang w:val="en-US"/>
        </w:rPr>
      </w:pPr>
      <w:r w:rsidRPr="007F25E8">
        <w:rPr>
          <w:b/>
          <w:sz w:val="18"/>
          <w:szCs w:val="18"/>
          <w:lang w:val="en-US"/>
        </w:rPr>
        <w:t xml:space="preserve">AWE: </w:t>
      </w:r>
      <w:r w:rsidRPr="007F25E8">
        <w:rPr>
          <w:sz w:val="18"/>
          <w:szCs w:val="18"/>
          <w:lang w:val="en-US"/>
        </w:rPr>
        <w:t>Average Weekly Earnings</w:t>
      </w:r>
    </w:p>
    <w:p w:rsidR="00516208" w:rsidRPr="007F25E8" w:rsidRDefault="00516208" w:rsidP="00516208">
      <w:pPr>
        <w:jc w:val="both"/>
        <w:rPr>
          <w:sz w:val="18"/>
          <w:szCs w:val="18"/>
          <w:lang w:val="en-US"/>
        </w:rPr>
      </w:pPr>
      <w:r w:rsidRPr="007F25E8">
        <w:rPr>
          <w:b/>
          <w:sz w:val="18"/>
          <w:szCs w:val="18"/>
          <w:lang w:val="en-US"/>
        </w:rPr>
        <w:t xml:space="preserve">AWOTE: </w:t>
      </w:r>
      <w:r w:rsidRPr="007F25E8">
        <w:rPr>
          <w:sz w:val="18"/>
          <w:szCs w:val="18"/>
          <w:lang w:val="en-US"/>
        </w:rPr>
        <w:t>Average Weekly Ordinary Time Earnings, Full Time Adults, Tasmania</w:t>
      </w:r>
    </w:p>
    <w:p w:rsidR="00516208" w:rsidRPr="007F25E8" w:rsidRDefault="00516208" w:rsidP="00516208">
      <w:pPr>
        <w:jc w:val="both"/>
        <w:rPr>
          <w:sz w:val="18"/>
          <w:szCs w:val="18"/>
          <w:lang w:val="en-US"/>
        </w:rPr>
      </w:pPr>
      <w:r w:rsidRPr="007F25E8">
        <w:rPr>
          <w:b/>
          <w:sz w:val="18"/>
          <w:szCs w:val="18"/>
          <w:lang w:val="en-US"/>
        </w:rPr>
        <w:t xml:space="preserve">ACT </w:t>
      </w:r>
      <w:r w:rsidR="00EB61B5" w:rsidRPr="007F25E8">
        <w:rPr>
          <w:b/>
          <w:sz w:val="18"/>
          <w:szCs w:val="18"/>
          <w:lang w:val="en-US"/>
        </w:rPr>
        <w:t xml:space="preserve">2014 </w:t>
      </w:r>
      <w:r w:rsidRPr="007F25E8">
        <w:rPr>
          <w:b/>
          <w:sz w:val="18"/>
          <w:szCs w:val="18"/>
          <w:lang w:val="en-US"/>
        </w:rPr>
        <w:t xml:space="preserve">Report: </w:t>
      </w:r>
      <w:r w:rsidRPr="007F25E8">
        <w:rPr>
          <w:i/>
          <w:sz w:val="18"/>
          <w:szCs w:val="18"/>
          <w:lang w:val="en-US"/>
        </w:rPr>
        <w:t>Final Report on the Review of Entitlements for Members of the Australian Capital Territory Legislative Assembly</w:t>
      </w:r>
      <w:r w:rsidR="00FA52C9">
        <w:rPr>
          <w:i/>
          <w:sz w:val="18"/>
          <w:szCs w:val="18"/>
          <w:lang w:val="en-US"/>
        </w:rPr>
        <w:t>,</w:t>
      </w:r>
      <w:r w:rsidRPr="007F25E8">
        <w:rPr>
          <w:sz w:val="18"/>
          <w:szCs w:val="18"/>
          <w:lang w:val="en-US"/>
        </w:rPr>
        <w:t xml:space="preserve"> ACT Remuneration Tribunal, April 2014</w:t>
      </w:r>
    </w:p>
    <w:p w:rsidR="00516208" w:rsidRPr="007F25E8" w:rsidRDefault="00516208" w:rsidP="00516208">
      <w:pPr>
        <w:jc w:val="both"/>
        <w:rPr>
          <w:sz w:val="18"/>
          <w:szCs w:val="18"/>
          <w:lang w:val="en-US"/>
        </w:rPr>
      </w:pPr>
      <w:r w:rsidRPr="007F25E8">
        <w:rPr>
          <w:b/>
          <w:sz w:val="18"/>
          <w:szCs w:val="18"/>
          <w:lang w:val="en-US"/>
        </w:rPr>
        <w:t xml:space="preserve">Basic salary: </w:t>
      </w:r>
      <w:r w:rsidRPr="007F25E8">
        <w:rPr>
          <w:sz w:val="18"/>
          <w:szCs w:val="18"/>
          <w:lang w:val="en-US"/>
        </w:rPr>
        <w:t>The basic</w:t>
      </w:r>
      <w:r w:rsidRPr="007F25E8">
        <w:rPr>
          <w:b/>
          <w:sz w:val="18"/>
          <w:szCs w:val="18"/>
          <w:lang w:val="en-US"/>
        </w:rPr>
        <w:t xml:space="preserve"> </w:t>
      </w:r>
      <w:r w:rsidRPr="007F25E8">
        <w:rPr>
          <w:sz w:val="18"/>
          <w:szCs w:val="18"/>
          <w:lang w:val="en-US"/>
        </w:rPr>
        <w:t xml:space="preserve">salary paid to </w:t>
      </w:r>
      <w:r w:rsidR="003B1485" w:rsidRPr="007F25E8">
        <w:rPr>
          <w:sz w:val="18"/>
          <w:szCs w:val="18"/>
          <w:lang w:val="en-US"/>
        </w:rPr>
        <w:t>each</w:t>
      </w:r>
      <w:r w:rsidRPr="007F25E8">
        <w:rPr>
          <w:sz w:val="18"/>
          <w:szCs w:val="18"/>
          <w:lang w:val="en-US"/>
        </w:rPr>
        <w:t xml:space="preserve"> </w:t>
      </w:r>
      <w:r w:rsidR="003B1485" w:rsidRPr="007F25E8">
        <w:rPr>
          <w:sz w:val="18"/>
          <w:szCs w:val="18"/>
          <w:lang w:val="en-US"/>
        </w:rPr>
        <w:t>MP</w:t>
      </w:r>
      <w:r w:rsidRPr="007F25E8">
        <w:rPr>
          <w:sz w:val="18"/>
          <w:szCs w:val="18"/>
          <w:lang w:val="en-US"/>
        </w:rPr>
        <w:t xml:space="preserve"> pursuant to Schedule 1 </w:t>
      </w:r>
      <w:r w:rsidR="007D2E53">
        <w:rPr>
          <w:sz w:val="18"/>
          <w:szCs w:val="18"/>
          <w:lang w:val="en-US"/>
        </w:rPr>
        <w:t>to</w:t>
      </w:r>
      <w:r w:rsidRPr="007F25E8">
        <w:rPr>
          <w:sz w:val="18"/>
          <w:szCs w:val="18"/>
          <w:lang w:val="en-US"/>
        </w:rPr>
        <w:t xml:space="preserve"> the 2012 Act</w:t>
      </w:r>
    </w:p>
    <w:p w:rsidR="00516208" w:rsidRPr="007F25E8" w:rsidRDefault="00516208" w:rsidP="00516208">
      <w:pPr>
        <w:jc w:val="both"/>
        <w:rPr>
          <w:sz w:val="18"/>
          <w:szCs w:val="18"/>
          <w:lang w:val="en-US"/>
        </w:rPr>
      </w:pPr>
      <w:r w:rsidRPr="007F25E8">
        <w:rPr>
          <w:b/>
          <w:sz w:val="18"/>
          <w:szCs w:val="18"/>
          <w:lang w:val="en-US"/>
        </w:rPr>
        <w:t xml:space="preserve">Commonwealth </w:t>
      </w:r>
      <w:r w:rsidR="00EB61B5" w:rsidRPr="007F25E8">
        <w:rPr>
          <w:b/>
          <w:sz w:val="18"/>
          <w:szCs w:val="18"/>
          <w:lang w:val="en-US"/>
        </w:rPr>
        <w:t xml:space="preserve">2011 </w:t>
      </w:r>
      <w:r w:rsidRPr="007F25E8">
        <w:rPr>
          <w:b/>
          <w:sz w:val="18"/>
          <w:szCs w:val="18"/>
          <w:lang w:val="en-US"/>
        </w:rPr>
        <w:t xml:space="preserve">Report: </w:t>
      </w:r>
      <w:r w:rsidRPr="007F25E8">
        <w:rPr>
          <w:i/>
          <w:sz w:val="18"/>
          <w:szCs w:val="18"/>
          <w:lang w:val="en-US"/>
        </w:rPr>
        <w:t xml:space="preserve">Review of the Remuneration of Members of Parliament, </w:t>
      </w:r>
      <w:r w:rsidRPr="007F25E8">
        <w:rPr>
          <w:sz w:val="18"/>
          <w:szCs w:val="18"/>
          <w:lang w:val="en-US"/>
        </w:rPr>
        <w:t>Commonwealth Remuneration Tribunal, December 2011</w:t>
      </w:r>
    </w:p>
    <w:p w:rsidR="00516208" w:rsidRPr="007F25E8" w:rsidRDefault="00516208" w:rsidP="00516208">
      <w:pPr>
        <w:jc w:val="both"/>
        <w:rPr>
          <w:sz w:val="18"/>
          <w:szCs w:val="18"/>
          <w:lang w:val="en-US"/>
        </w:rPr>
      </w:pPr>
      <w:r w:rsidRPr="007F25E8">
        <w:rPr>
          <w:b/>
          <w:sz w:val="18"/>
          <w:szCs w:val="18"/>
          <w:lang w:val="en-US"/>
        </w:rPr>
        <w:t xml:space="preserve">CPI: </w:t>
      </w:r>
      <w:r w:rsidRPr="007F25E8">
        <w:rPr>
          <w:sz w:val="18"/>
          <w:szCs w:val="18"/>
          <w:lang w:val="en-US"/>
        </w:rPr>
        <w:t>Consumer Price Index, All Groups</w:t>
      </w:r>
      <w:r w:rsidR="00FA52C9">
        <w:rPr>
          <w:sz w:val="18"/>
          <w:szCs w:val="18"/>
          <w:lang w:val="en-US"/>
        </w:rPr>
        <w:t>,</w:t>
      </w:r>
      <w:r w:rsidRPr="007F25E8">
        <w:rPr>
          <w:sz w:val="18"/>
          <w:szCs w:val="18"/>
          <w:lang w:val="en-US"/>
        </w:rPr>
        <w:t xml:space="preserve"> Hobart</w:t>
      </w:r>
    </w:p>
    <w:p w:rsidR="00516208" w:rsidRPr="007F25E8" w:rsidRDefault="00516208" w:rsidP="00516208">
      <w:pPr>
        <w:jc w:val="both"/>
        <w:rPr>
          <w:sz w:val="18"/>
          <w:szCs w:val="18"/>
          <w:lang w:val="en-US"/>
        </w:rPr>
      </w:pPr>
      <w:r w:rsidRPr="007F25E8">
        <w:rPr>
          <w:b/>
          <w:sz w:val="18"/>
          <w:szCs w:val="18"/>
          <w:lang w:val="en-US"/>
        </w:rPr>
        <w:t>CPSU:</w:t>
      </w:r>
      <w:r w:rsidRPr="007F25E8">
        <w:rPr>
          <w:sz w:val="18"/>
          <w:szCs w:val="18"/>
          <w:lang w:val="en-US"/>
        </w:rPr>
        <w:t xml:space="preserve"> Com</w:t>
      </w:r>
      <w:r w:rsidR="00FA52C9">
        <w:rPr>
          <w:sz w:val="18"/>
          <w:szCs w:val="18"/>
          <w:lang w:val="en-US"/>
        </w:rPr>
        <w:t>munity and Public Sector Union (</w:t>
      </w:r>
      <w:r w:rsidRPr="007F25E8">
        <w:rPr>
          <w:sz w:val="18"/>
          <w:szCs w:val="18"/>
          <w:lang w:val="en-US"/>
        </w:rPr>
        <w:t>SPSF</w:t>
      </w:r>
      <w:r w:rsidR="00E14D34">
        <w:rPr>
          <w:sz w:val="18"/>
          <w:szCs w:val="18"/>
          <w:lang w:val="en-US"/>
        </w:rPr>
        <w:t>T</w:t>
      </w:r>
      <w:r w:rsidR="00FA52C9">
        <w:rPr>
          <w:sz w:val="18"/>
          <w:szCs w:val="18"/>
          <w:lang w:val="en-US"/>
        </w:rPr>
        <w:t>) Inc.</w:t>
      </w:r>
    </w:p>
    <w:p w:rsidR="00516208" w:rsidRPr="007F25E8" w:rsidRDefault="00516208" w:rsidP="00516208">
      <w:pPr>
        <w:jc w:val="both"/>
        <w:rPr>
          <w:sz w:val="18"/>
          <w:szCs w:val="18"/>
          <w:lang w:val="en-US"/>
        </w:rPr>
      </w:pPr>
      <w:r w:rsidRPr="007F25E8">
        <w:rPr>
          <w:b/>
          <w:sz w:val="18"/>
          <w:szCs w:val="18"/>
          <w:lang w:val="en-US"/>
        </w:rPr>
        <w:t>Commission:</w:t>
      </w:r>
      <w:r w:rsidRPr="007F25E8">
        <w:rPr>
          <w:sz w:val="18"/>
          <w:szCs w:val="18"/>
          <w:lang w:val="en-US"/>
        </w:rPr>
        <w:t xml:space="preserve"> A Full </w:t>
      </w:r>
      <w:r w:rsidR="007D2E53" w:rsidRPr="007F25E8">
        <w:rPr>
          <w:sz w:val="18"/>
          <w:szCs w:val="18"/>
          <w:lang w:val="en-US"/>
        </w:rPr>
        <w:t xml:space="preserve">Bench </w:t>
      </w:r>
      <w:r w:rsidRPr="007F25E8">
        <w:rPr>
          <w:sz w:val="18"/>
          <w:szCs w:val="18"/>
          <w:lang w:val="en-US"/>
        </w:rPr>
        <w:t>of the Tasmanian Industrial Commission</w:t>
      </w:r>
      <w:r w:rsidR="00BF4E1E" w:rsidRPr="007F25E8">
        <w:rPr>
          <w:sz w:val="18"/>
          <w:szCs w:val="18"/>
          <w:lang w:val="en-US"/>
        </w:rPr>
        <w:t xml:space="preserve"> </w:t>
      </w:r>
      <w:r w:rsidR="004B7749">
        <w:rPr>
          <w:sz w:val="18"/>
          <w:szCs w:val="18"/>
          <w:lang w:val="en-US"/>
        </w:rPr>
        <w:t>comprising</w:t>
      </w:r>
      <w:r w:rsidR="0015640D">
        <w:rPr>
          <w:sz w:val="18"/>
          <w:szCs w:val="18"/>
          <w:lang w:val="en-US"/>
        </w:rPr>
        <w:t xml:space="preserve"> Abey T, Wells N, </w:t>
      </w:r>
      <w:r w:rsidR="00BF4E1E" w:rsidRPr="007F25E8">
        <w:rPr>
          <w:sz w:val="18"/>
          <w:szCs w:val="18"/>
          <w:lang w:val="en-US"/>
        </w:rPr>
        <w:t>Roberts M</w:t>
      </w:r>
    </w:p>
    <w:p w:rsidR="00516208" w:rsidRPr="007F25E8" w:rsidRDefault="00516208" w:rsidP="00516208">
      <w:pPr>
        <w:jc w:val="both"/>
        <w:rPr>
          <w:sz w:val="18"/>
          <w:szCs w:val="18"/>
          <w:lang w:val="en-US"/>
        </w:rPr>
      </w:pPr>
      <w:r w:rsidRPr="007F25E8">
        <w:rPr>
          <w:b/>
          <w:sz w:val="18"/>
          <w:szCs w:val="18"/>
          <w:lang w:val="en-US"/>
        </w:rPr>
        <w:t xml:space="preserve">Egan Report: </w:t>
      </w:r>
      <w:r w:rsidRPr="007F25E8">
        <w:rPr>
          <w:i/>
          <w:sz w:val="18"/>
          <w:szCs w:val="18"/>
          <w:lang w:val="en-US"/>
        </w:rPr>
        <w:t xml:space="preserve">The Attributes, Role and Reward of a Backbencher in the </w:t>
      </w:r>
      <w:r w:rsidR="00E14D34" w:rsidRPr="007F25E8">
        <w:rPr>
          <w:i/>
          <w:sz w:val="18"/>
          <w:szCs w:val="18"/>
          <w:lang w:val="en-US"/>
        </w:rPr>
        <w:t xml:space="preserve">Federal </w:t>
      </w:r>
      <w:r w:rsidRPr="007F25E8">
        <w:rPr>
          <w:i/>
          <w:sz w:val="18"/>
          <w:szCs w:val="18"/>
          <w:lang w:val="en-US"/>
        </w:rPr>
        <w:t xml:space="preserve">Parliament, </w:t>
      </w:r>
      <w:r w:rsidRPr="007F25E8">
        <w:rPr>
          <w:sz w:val="18"/>
          <w:szCs w:val="18"/>
          <w:lang w:val="en-US"/>
        </w:rPr>
        <w:t xml:space="preserve">Egan Associates, November 2011 </w:t>
      </w:r>
    </w:p>
    <w:p w:rsidR="006E4257" w:rsidRPr="006E4257" w:rsidRDefault="006E4257" w:rsidP="006E4257">
      <w:pPr>
        <w:jc w:val="both"/>
        <w:rPr>
          <w:sz w:val="18"/>
          <w:szCs w:val="18"/>
          <w:lang w:val="en-US"/>
        </w:rPr>
      </w:pPr>
      <w:r w:rsidRPr="006E4257">
        <w:rPr>
          <w:b/>
          <w:sz w:val="18"/>
          <w:szCs w:val="18"/>
          <w:lang w:val="en-US"/>
        </w:rPr>
        <w:t>FTE:</w:t>
      </w:r>
      <w:r w:rsidRPr="006E4257">
        <w:rPr>
          <w:b/>
          <w:i/>
          <w:sz w:val="18"/>
          <w:szCs w:val="18"/>
          <w:lang w:val="en-US"/>
        </w:rPr>
        <w:t xml:space="preserve"> </w:t>
      </w:r>
      <w:r>
        <w:rPr>
          <w:sz w:val="18"/>
          <w:szCs w:val="18"/>
          <w:lang w:val="en-US"/>
        </w:rPr>
        <w:t>Full-Time Equivalent</w:t>
      </w:r>
    </w:p>
    <w:p w:rsidR="006E4257" w:rsidRPr="007D2E53" w:rsidRDefault="006E4257" w:rsidP="006E4257">
      <w:pPr>
        <w:jc w:val="both"/>
        <w:rPr>
          <w:b/>
          <w:sz w:val="18"/>
          <w:szCs w:val="18"/>
          <w:lang w:val="en-US"/>
        </w:rPr>
      </w:pPr>
      <w:r w:rsidRPr="00A2331E">
        <w:rPr>
          <w:b/>
          <w:i/>
          <w:sz w:val="18"/>
          <w:szCs w:val="18"/>
          <w:lang w:val="en-US"/>
        </w:rPr>
        <w:t>Gazette</w:t>
      </w:r>
      <w:r>
        <w:rPr>
          <w:b/>
          <w:sz w:val="18"/>
          <w:szCs w:val="18"/>
          <w:lang w:val="en-US"/>
        </w:rPr>
        <w:t xml:space="preserve">: </w:t>
      </w:r>
      <w:r w:rsidRPr="007D2E53">
        <w:rPr>
          <w:sz w:val="18"/>
          <w:szCs w:val="18"/>
          <w:lang w:val="en-US"/>
        </w:rPr>
        <w:t>The Tasmanian Government Gazette</w:t>
      </w:r>
      <w:r w:rsidRPr="007D2E53">
        <w:rPr>
          <w:sz w:val="18"/>
          <w:szCs w:val="18"/>
        </w:rPr>
        <w:t xml:space="preserve"> published under the authority of the Government of Tasmania</w:t>
      </w:r>
    </w:p>
    <w:p w:rsidR="00516208" w:rsidRPr="007F25E8" w:rsidRDefault="00516208" w:rsidP="00516208">
      <w:pPr>
        <w:jc w:val="both"/>
        <w:rPr>
          <w:sz w:val="18"/>
          <w:szCs w:val="18"/>
          <w:lang w:val="en-US"/>
        </w:rPr>
      </w:pPr>
      <w:r w:rsidRPr="007F25E8">
        <w:rPr>
          <w:b/>
          <w:sz w:val="18"/>
          <w:szCs w:val="18"/>
          <w:lang w:val="en-US"/>
        </w:rPr>
        <w:t xml:space="preserve">MP: </w:t>
      </w:r>
      <w:r w:rsidRPr="007F25E8">
        <w:rPr>
          <w:sz w:val="18"/>
          <w:szCs w:val="18"/>
          <w:lang w:val="en-US"/>
        </w:rPr>
        <w:t xml:space="preserve">Member of </w:t>
      </w:r>
      <w:r w:rsidR="003B1485" w:rsidRPr="007F25E8">
        <w:rPr>
          <w:sz w:val="18"/>
          <w:szCs w:val="18"/>
          <w:lang w:val="en-US"/>
        </w:rPr>
        <w:t xml:space="preserve">the Tasmanian </w:t>
      </w:r>
      <w:r w:rsidRPr="007F25E8">
        <w:rPr>
          <w:sz w:val="18"/>
          <w:szCs w:val="18"/>
          <w:lang w:val="en-US"/>
        </w:rPr>
        <w:t>Parliament</w:t>
      </w:r>
    </w:p>
    <w:p w:rsidR="00516208" w:rsidRPr="007F25E8" w:rsidRDefault="00516208" w:rsidP="00516208">
      <w:pPr>
        <w:jc w:val="both"/>
        <w:rPr>
          <w:sz w:val="18"/>
          <w:szCs w:val="18"/>
          <w:lang w:val="en-US"/>
        </w:rPr>
      </w:pPr>
      <w:r w:rsidRPr="007F25E8">
        <w:rPr>
          <w:b/>
          <w:sz w:val="18"/>
          <w:szCs w:val="18"/>
          <w:lang w:val="en-US"/>
        </w:rPr>
        <w:t xml:space="preserve">Queensland Determination 1/2013: </w:t>
      </w:r>
      <w:r w:rsidRPr="007F25E8">
        <w:rPr>
          <w:i/>
          <w:sz w:val="18"/>
          <w:szCs w:val="18"/>
          <w:lang w:val="en-US"/>
        </w:rPr>
        <w:t xml:space="preserve">Building a New Remuneration Structure for Members of the Queensland Parliament, </w:t>
      </w:r>
      <w:r w:rsidRPr="007F25E8">
        <w:rPr>
          <w:sz w:val="18"/>
          <w:szCs w:val="18"/>
          <w:lang w:val="en-US"/>
        </w:rPr>
        <w:t>Queensland Independent Remuneration Tribunal</w:t>
      </w:r>
      <w:r w:rsidR="00E14D34">
        <w:rPr>
          <w:sz w:val="18"/>
          <w:szCs w:val="18"/>
          <w:lang w:val="en-US"/>
        </w:rPr>
        <w:t>,</w:t>
      </w:r>
      <w:r w:rsidRPr="007F25E8">
        <w:rPr>
          <w:i/>
          <w:sz w:val="18"/>
          <w:szCs w:val="18"/>
          <w:lang w:val="en-US"/>
        </w:rPr>
        <w:t xml:space="preserve"> </w:t>
      </w:r>
      <w:r w:rsidRPr="007F25E8">
        <w:rPr>
          <w:sz w:val="18"/>
          <w:szCs w:val="18"/>
          <w:lang w:val="en-US"/>
        </w:rPr>
        <w:t>15 October 2013</w:t>
      </w:r>
    </w:p>
    <w:p w:rsidR="00516208" w:rsidRPr="007F25E8" w:rsidRDefault="00516208" w:rsidP="00516208">
      <w:pPr>
        <w:jc w:val="both"/>
        <w:rPr>
          <w:sz w:val="18"/>
          <w:szCs w:val="18"/>
          <w:lang w:val="en-US"/>
        </w:rPr>
      </w:pPr>
      <w:r w:rsidRPr="007F25E8">
        <w:rPr>
          <w:b/>
          <w:sz w:val="18"/>
          <w:szCs w:val="18"/>
          <w:lang w:val="en-US"/>
        </w:rPr>
        <w:t xml:space="preserve">Queensland Determination 3/2014: </w:t>
      </w:r>
      <w:r w:rsidRPr="007F25E8">
        <w:rPr>
          <w:sz w:val="18"/>
          <w:szCs w:val="18"/>
          <w:lang w:val="en-US"/>
        </w:rPr>
        <w:t>Queensland Independent Remuneration Tribunal</w:t>
      </w:r>
      <w:r w:rsidR="00E14D34">
        <w:rPr>
          <w:sz w:val="18"/>
          <w:szCs w:val="18"/>
          <w:lang w:val="en-US"/>
        </w:rPr>
        <w:t>,</w:t>
      </w:r>
      <w:r w:rsidRPr="007F25E8">
        <w:rPr>
          <w:sz w:val="18"/>
          <w:szCs w:val="18"/>
          <w:lang w:val="en-US"/>
        </w:rPr>
        <w:t xml:space="preserve"> 27</w:t>
      </w:r>
      <w:r w:rsidR="00E14D34">
        <w:rPr>
          <w:sz w:val="18"/>
          <w:szCs w:val="18"/>
          <w:lang w:val="en-US"/>
        </w:rPr>
        <w:t> </w:t>
      </w:r>
      <w:r w:rsidRPr="007F25E8">
        <w:rPr>
          <w:sz w:val="18"/>
          <w:szCs w:val="18"/>
          <w:lang w:val="en-US"/>
        </w:rPr>
        <w:t>March 2014</w:t>
      </w:r>
    </w:p>
    <w:p w:rsidR="00283355" w:rsidRPr="007F25E8" w:rsidRDefault="00283355" w:rsidP="001839BE">
      <w:pPr>
        <w:jc w:val="both"/>
        <w:rPr>
          <w:b/>
          <w:sz w:val="18"/>
          <w:szCs w:val="18"/>
          <w:lang w:val="en-US"/>
        </w:rPr>
      </w:pPr>
      <w:r w:rsidRPr="007F25E8">
        <w:rPr>
          <w:b/>
          <w:sz w:val="18"/>
          <w:szCs w:val="18"/>
          <w:lang w:val="en-US"/>
        </w:rPr>
        <w:t xml:space="preserve">SES: </w:t>
      </w:r>
      <w:r w:rsidRPr="007F25E8">
        <w:rPr>
          <w:sz w:val="18"/>
          <w:szCs w:val="18"/>
          <w:lang w:val="en-US"/>
        </w:rPr>
        <w:t xml:space="preserve">Senior Executive Service of the </w:t>
      </w:r>
      <w:r w:rsidR="0003140C">
        <w:rPr>
          <w:sz w:val="18"/>
          <w:szCs w:val="18"/>
          <w:lang w:val="en-US"/>
        </w:rPr>
        <w:t xml:space="preserve">Tasmanian </w:t>
      </w:r>
      <w:r w:rsidRPr="007F25E8">
        <w:rPr>
          <w:sz w:val="18"/>
          <w:szCs w:val="18"/>
          <w:lang w:val="en-US"/>
        </w:rPr>
        <w:t>State Service</w:t>
      </w:r>
    </w:p>
    <w:p w:rsidR="001839BE" w:rsidRPr="007F25E8" w:rsidRDefault="001839BE" w:rsidP="001839BE">
      <w:pPr>
        <w:jc w:val="both"/>
        <w:rPr>
          <w:sz w:val="18"/>
          <w:szCs w:val="18"/>
          <w:lang w:val="en-US"/>
        </w:rPr>
      </w:pPr>
      <w:r w:rsidRPr="007F25E8">
        <w:rPr>
          <w:b/>
          <w:sz w:val="18"/>
          <w:szCs w:val="18"/>
          <w:lang w:val="en-US"/>
        </w:rPr>
        <w:t xml:space="preserve">SSMO: </w:t>
      </w:r>
      <w:r w:rsidRPr="007F25E8">
        <w:rPr>
          <w:sz w:val="18"/>
          <w:szCs w:val="18"/>
          <w:lang w:val="en-US"/>
        </w:rPr>
        <w:t xml:space="preserve">State Service Management Office, part of the Tasmanian Government’s Department of Premier and Cabinet </w:t>
      </w:r>
    </w:p>
    <w:p w:rsidR="00516208" w:rsidRPr="007F25E8" w:rsidRDefault="00516208" w:rsidP="00516208">
      <w:pPr>
        <w:jc w:val="both"/>
        <w:rPr>
          <w:b/>
          <w:sz w:val="18"/>
          <w:szCs w:val="18"/>
          <w:lang w:val="en-US"/>
        </w:rPr>
      </w:pPr>
      <w:r w:rsidRPr="007F25E8">
        <w:rPr>
          <w:b/>
          <w:sz w:val="18"/>
          <w:szCs w:val="18"/>
          <w:lang w:val="en-US"/>
        </w:rPr>
        <w:t xml:space="preserve">Tribunal: </w:t>
      </w:r>
      <w:r w:rsidRPr="007F25E8">
        <w:rPr>
          <w:sz w:val="18"/>
          <w:szCs w:val="18"/>
          <w:lang w:val="en-US"/>
        </w:rPr>
        <w:t>Parliamentary Salaries and Allowances</w:t>
      </w:r>
      <w:r w:rsidRPr="007F25E8">
        <w:rPr>
          <w:b/>
          <w:sz w:val="18"/>
          <w:szCs w:val="18"/>
          <w:lang w:val="en-US"/>
        </w:rPr>
        <w:t xml:space="preserve"> </w:t>
      </w:r>
      <w:r w:rsidRPr="007F25E8">
        <w:rPr>
          <w:sz w:val="18"/>
          <w:szCs w:val="18"/>
        </w:rPr>
        <w:t>Tribunal</w:t>
      </w:r>
      <w:r w:rsidR="0015640D">
        <w:rPr>
          <w:sz w:val="18"/>
          <w:szCs w:val="18"/>
        </w:rPr>
        <w:t>,</w:t>
      </w:r>
      <w:r w:rsidRPr="007F25E8">
        <w:rPr>
          <w:sz w:val="18"/>
          <w:szCs w:val="18"/>
        </w:rPr>
        <w:t xml:space="preserve"> established by an Order-in-Council dated 26 June 2013 to inquire into the basic salary, allowances and benefits provided to </w:t>
      </w:r>
      <w:r w:rsidR="003B1485" w:rsidRPr="007F25E8">
        <w:rPr>
          <w:sz w:val="18"/>
          <w:szCs w:val="18"/>
        </w:rPr>
        <w:t>MPs</w:t>
      </w:r>
      <w:r w:rsidR="007D2E53">
        <w:rPr>
          <w:sz w:val="18"/>
          <w:szCs w:val="18"/>
        </w:rPr>
        <w:t>,</w:t>
      </w:r>
      <w:r w:rsidR="0015640D">
        <w:rPr>
          <w:sz w:val="18"/>
          <w:szCs w:val="18"/>
        </w:rPr>
        <w:t xml:space="preserve"> comprising Abey T, Wells N, </w:t>
      </w:r>
      <w:r w:rsidR="00BF4E1E" w:rsidRPr="007F25E8">
        <w:rPr>
          <w:sz w:val="18"/>
          <w:szCs w:val="18"/>
        </w:rPr>
        <w:t>Deegan B</w:t>
      </w:r>
    </w:p>
    <w:p w:rsidR="00EE7618" w:rsidRPr="007F25E8" w:rsidRDefault="00EE7618" w:rsidP="00516208">
      <w:pPr>
        <w:jc w:val="both"/>
        <w:rPr>
          <w:b/>
          <w:sz w:val="18"/>
          <w:szCs w:val="18"/>
          <w:lang w:val="en-US"/>
        </w:rPr>
      </w:pPr>
      <w:r w:rsidRPr="007F25E8">
        <w:rPr>
          <w:b/>
          <w:sz w:val="18"/>
          <w:szCs w:val="18"/>
          <w:lang w:val="en-US"/>
        </w:rPr>
        <w:t xml:space="preserve">TSSA: </w:t>
      </w:r>
      <w:r w:rsidRPr="007F25E8">
        <w:rPr>
          <w:sz w:val="18"/>
          <w:szCs w:val="18"/>
          <w:lang w:val="en-US"/>
        </w:rPr>
        <w:t>Tasmanian State Service Award</w:t>
      </w:r>
    </w:p>
    <w:p w:rsidR="00516208" w:rsidRPr="007F25E8" w:rsidRDefault="00516208" w:rsidP="00516208">
      <w:pPr>
        <w:jc w:val="both"/>
        <w:rPr>
          <w:sz w:val="18"/>
          <w:szCs w:val="18"/>
          <w:lang w:val="en-US"/>
        </w:rPr>
      </w:pPr>
      <w:r w:rsidRPr="007F25E8">
        <w:rPr>
          <w:b/>
          <w:sz w:val="18"/>
          <w:szCs w:val="18"/>
          <w:lang w:val="en-US"/>
        </w:rPr>
        <w:t>WPI:</w:t>
      </w:r>
      <w:r w:rsidRPr="007F25E8">
        <w:rPr>
          <w:sz w:val="18"/>
          <w:szCs w:val="18"/>
          <w:lang w:val="en-US"/>
        </w:rPr>
        <w:t xml:space="preserve"> Wage </w:t>
      </w:r>
      <w:r w:rsidR="003B1485" w:rsidRPr="007F25E8">
        <w:rPr>
          <w:sz w:val="18"/>
          <w:szCs w:val="18"/>
          <w:lang w:val="en-US"/>
        </w:rPr>
        <w:t xml:space="preserve">Price </w:t>
      </w:r>
      <w:r w:rsidRPr="007F25E8">
        <w:rPr>
          <w:sz w:val="18"/>
          <w:szCs w:val="18"/>
          <w:lang w:val="en-US"/>
        </w:rPr>
        <w:t>Index</w:t>
      </w:r>
      <w:r w:rsidR="00E14D34">
        <w:rPr>
          <w:sz w:val="18"/>
          <w:szCs w:val="18"/>
          <w:lang w:val="en-US"/>
        </w:rPr>
        <w:t>,</w:t>
      </w:r>
      <w:r w:rsidRPr="007F25E8">
        <w:rPr>
          <w:sz w:val="18"/>
          <w:szCs w:val="18"/>
          <w:lang w:val="en-US"/>
        </w:rPr>
        <w:t xml:space="preserve"> Ordinary Time Hourly Rates of Pay, Excluding Bonuses: Tasmania, Pri</w:t>
      </w:r>
      <w:r w:rsidR="00E14D34">
        <w:rPr>
          <w:sz w:val="18"/>
          <w:szCs w:val="18"/>
          <w:lang w:val="en-US"/>
        </w:rPr>
        <w:t>vate and Public; All Industries</w:t>
      </w:r>
    </w:p>
    <w:p w:rsidR="00516208" w:rsidRPr="007F25E8" w:rsidRDefault="00516208" w:rsidP="00516208">
      <w:pPr>
        <w:jc w:val="both"/>
        <w:rPr>
          <w:sz w:val="18"/>
          <w:szCs w:val="18"/>
          <w:lang w:val="en-US"/>
        </w:rPr>
      </w:pPr>
      <w:r w:rsidRPr="007F25E8">
        <w:rPr>
          <w:b/>
          <w:sz w:val="18"/>
          <w:szCs w:val="18"/>
          <w:lang w:val="en-US"/>
        </w:rPr>
        <w:t xml:space="preserve">1973 Act: </w:t>
      </w:r>
      <w:r w:rsidRPr="007F25E8">
        <w:rPr>
          <w:i/>
          <w:sz w:val="18"/>
          <w:szCs w:val="18"/>
          <w:lang w:val="en-US"/>
        </w:rPr>
        <w:t xml:space="preserve">Parliamentary Salaries and Allowances Act </w:t>
      </w:r>
      <w:r w:rsidRPr="0003140C">
        <w:rPr>
          <w:i/>
          <w:sz w:val="18"/>
          <w:szCs w:val="18"/>
          <w:lang w:val="en-US"/>
        </w:rPr>
        <w:t>1973</w:t>
      </w:r>
    </w:p>
    <w:p w:rsidR="00516208" w:rsidRPr="007F25E8" w:rsidRDefault="00516208" w:rsidP="00516208">
      <w:pPr>
        <w:jc w:val="both"/>
        <w:rPr>
          <w:sz w:val="18"/>
          <w:szCs w:val="18"/>
          <w:lang w:val="en-US"/>
        </w:rPr>
      </w:pPr>
      <w:r w:rsidRPr="007F25E8">
        <w:rPr>
          <w:b/>
          <w:sz w:val="18"/>
          <w:szCs w:val="18"/>
          <w:lang w:val="en-US"/>
        </w:rPr>
        <w:lastRenderedPageBreak/>
        <w:t xml:space="preserve">1997 Report: </w:t>
      </w:r>
      <w:r w:rsidRPr="00B90338">
        <w:rPr>
          <w:i/>
          <w:sz w:val="18"/>
          <w:szCs w:val="18"/>
          <w:lang w:val="en-US"/>
        </w:rPr>
        <w:t xml:space="preserve">Report of </w:t>
      </w:r>
      <w:r w:rsidR="00B90338" w:rsidRPr="00B90338">
        <w:rPr>
          <w:i/>
          <w:sz w:val="18"/>
          <w:szCs w:val="18"/>
          <w:lang w:val="en-US"/>
        </w:rPr>
        <w:t>t</w:t>
      </w:r>
      <w:r w:rsidRPr="00B90338">
        <w:rPr>
          <w:i/>
          <w:sz w:val="18"/>
          <w:szCs w:val="18"/>
          <w:lang w:val="en-US"/>
        </w:rPr>
        <w:t>he Full Bench of the Tasmanian Industrial Commission Established to Determine the Basic Salary and Additional Salaries Payable to Members of the Tasmanian Parliament</w:t>
      </w:r>
      <w:r w:rsidR="00B90338">
        <w:rPr>
          <w:sz w:val="18"/>
          <w:szCs w:val="18"/>
          <w:lang w:val="en-US"/>
        </w:rPr>
        <w:t>,</w:t>
      </w:r>
      <w:r w:rsidRPr="007F25E8">
        <w:rPr>
          <w:i/>
          <w:sz w:val="18"/>
          <w:szCs w:val="18"/>
          <w:lang w:val="en-US"/>
        </w:rPr>
        <w:t xml:space="preserve"> </w:t>
      </w:r>
      <w:r w:rsidRPr="007F25E8">
        <w:rPr>
          <w:sz w:val="18"/>
          <w:szCs w:val="18"/>
          <w:lang w:val="en-US"/>
        </w:rPr>
        <w:t>Westwood P, Johnson DP, Watling C</w:t>
      </w:r>
      <w:r w:rsidR="00B90338">
        <w:rPr>
          <w:sz w:val="18"/>
          <w:szCs w:val="18"/>
          <w:lang w:val="en-US"/>
        </w:rPr>
        <w:t>,</w:t>
      </w:r>
      <w:r w:rsidRPr="007F25E8">
        <w:rPr>
          <w:sz w:val="18"/>
          <w:szCs w:val="18"/>
          <w:lang w:val="en-US"/>
        </w:rPr>
        <w:t xml:space="preserve"> 14 May 1997</w:t>
      </w:r>
    </w:p>
    <w:p w:rsidR="00516208" w:rsidRPr="007F25E8" w:rsidRDefault="00516208" w:rsidP="00516208">
      <w:pPr>
        <w:jc w:val="both"/>
        <w:rPr>
          <w:sz w:val="18"/>
          <w:szCs w:val="18"/>
          <w:lang w:val="en-US"/>
        </w:rPr>
      </w:pPr>
      <w:r w:rsidRPr="007F25E8">
        <w:rPr>
          <w:b/>
          <w:sz w:val="18"/>
          <w:szCs w:val="18"/>
          <w:lang w:val="en-US"/>
        </w:rPr>
        <w:t>2006 Report:</w:t>
      </w:r>
      <w:r w:rsidRPr="007F25E8">
        <w:rPr>
          <w:sz w:val="18"/>
          <w:szCs w:val="18"/>
          <w:lang w:val="en-US"/>
        </w:rPr>
        <w:t xml:space="preserve"> </w:t>
      </w:r>
      <w:r w:rsidRPr="00B90338">
        <w:rPr>
          <w:i/>
          <w:sz w:val="18"/>
          <w:szCs w:val="18"/>
          <w:lang w:val="en-US"/>
        </w:rPr>
        <w:t>Report of the Second Committee of Review Inquiring into Allowances and Benefits Provided to Members of the Tasmanian Parliament</w:t>
      </w:r>
      <w:r w:rsidR="00B90338">
        <w:rPr>
          <w:sz w:val="18"/>
          <w:szCs w:val="18"/>
          <w:lang w:val="en-US"/>
        </w:rPr>
        <w:t>,</w:t>
      </w:r>
      <w:r w:rsidRPr="007F25E8">
        <w:rPr>
          <w:sz w:val="18"/>
          <w:szCs w:val="18"/>
          <w:lang w:val="en-US"/>
        </w:rPr>
        <w:t xml:space="preserve"> Leary</w:t>
      </w:r>
      <w:r w:rsidR="00BF4E1E" w:rsidRPr="007F25E8">
        <w:rPr>
          <w:sz w:val="18"/>
          <w:szCs w:val="18"/>
          <w:lang w:val="en-US"/>
        </w:rPr>
        <w:t xml:space="preserve"> P</w:t>
      </w:r>
      <w:r w:rsidRPr="007F25E8">
        <w:rPr>
          <w:sz w:val="18"/>
          <w:szCs w:val="18"/>
          <w:lang w:val="en-US"/>
        </w:rPr>
        <w:t>, Abey</w:t>
      </w:r>
      <w:r w:rsidR="00E14D34">
        <w:rPr>
          <w:sz w:val="18"/>
          <w:szCs w:val="18"/>
          <w:lang w:val="en-US"/>
        </w:rPr>
        <w:t xml:space="preserve"> T</w:t>
      </w:r>
      <w:r w:rsidRPr="007F25E8">
        <w:rPr>
          <w:sz w:val="18"/>
          <w:szCs w:val="18"/>
          <w:lang w:val="en-US"/>
        </w:rPr>
        <w:t>, McAlpine</w:t>
      </w:r>
      <w:r w:rsidR="00E14D34">
        <w:rPr>
          <w:sz w:val="18"/>
          <w:szCs w:val="18"/>
          <w:lang w:val="en-US"/>
        </w:rPr>
        <w:t xml:space="preserve"> J,</w:t>
      </w:r>
      <w:r w:rsidRPr="007F25E8">
        <w:rPr>
          <w:sz w:val="18"/>
          <w:szCs w:val="18"/>
          <w:lang w:val="en-US"/>
        </w:rPr>
        <w:t xml:space="preserve"> 21 August 2006</w:t>
      </w:r>
    </w:p>
    <w:p w:rsidR="00BF4E1E" w:rsidRPr="007F25E8" w:rsidRDefault="00BF4E1E" w:rsidP="00BF4E1E">
      <w:pPr>
        <w:jc w:val="both"/>
        <w:rPr>
          <w:sz w:val="18"/>
          <w:szCs w:val="18"/>
          <w:lang w:val="en-US"/>
        </w:rPr>
      </w:pPr>
      <w:r w:rsidRPr="007F25E8">
        <w:rPr>
          <w:b/>
          <w:sz w:val="18"/>
          <w:szCs w:val="18"/>
          <w:lang w:val="en-US"/>
        </w:rPr>
        <w:t xml:space="preserve">2012 Act: </w:t>
      </w:r>
      <w:r w:rsidRPr="007F25E8">
        <w:rPr>
          <w:i/>
          <w:sz w:val="18"/>
          <w:szCs w:val="18"/>
          <w:lang w:val="en-US"/>
        </w:rPr>
        <w:t>Parliamentary Salaries, Superannuation and Allowances Act</w:t>
      </w:r>
      <w:r w:rsidRPr="007F25E8">
        <w:rPr>
          <w:sz w:val="18"/>
          <w:szCs w:val="18"/>
          <w:lang w:val="en-US"/>
        </w:rPr>
        <w:t xml:space="preserve"> </w:t>
      </w:r>
      <w:r w:rsidRPr="0003140C">
        <w:rPr>
          <w:i/>
          <w:sz w:val="18"/>
          <w:szCs w:val="18"/>
          <w:lang w:val="en-US"/>
        </w:rPr>
        <w:t>2012</w:t>
      </w:r>
      <w:r w:rsidRPr="007F25E8">
        <w:rPr>
          <w:sz w:val="18"/>
          <w:szCs w:val="18"/>
          <w:lang w:val="en-US"/>
        </w:rPr>
        <w:t xml:space="preserve"> </w:t>
      </w:r>
    </w:p>
    <w:p w:rsidR="00BF4E1E" w:rsidRPr="007F25E8" w:rsidRDefault="00BF4E1E" w:rsidP="00BF4E1E">
      <w:pPr>
        <w:jc w:val="both"/>
        <w:rPr>
          <w:sz w:val="18"/>
          <w:szCs w:val="18"/>
          <w:lang w:val="en-US"/>
        </w:rPr>
      </w:pPr>
      <w:r w:rsidRPr="007F25E8">
        <w:rPr>
          <w:b/>
          <w:sz w:val="18"/>
          <w:szCs w:val="18"/>
          <w:lang w:val="en-US"/>
        </w:rPr>
        <w:t xml:space="preserve">2012 Bill: </w:t>
      </w:r>
      <w:r w:rsidRPr="007F25E8">
        <w:rPr>
          <w:sz w:val="18"/>
          <w:szCs w:val="18"/>
          <w:lang w:val="en-US"/>
        </w:rPr>
        <w:t xml:space="preserve">Parliamentary Salaries, Superannuation and Allowances Bill 2012, as originally introduced into the Parliament </w:t>
      </w:r>
    </w:p>
    <w:p w:rsidR="00516208" w:rsidRPr="007F25E8" w:rsidRDefault="00516208" w:rsidP="00516208">
      <w:pPr>
        <w:jc w:val="both"/>
        <w:rPr>
          <w:sz w:val="18"/>
          <w:szCs w:val="18"/>
          <w:lang w:val="en-US"/>
        </w:rPr>
      </w:pPr>
      <w:r w:rsidRPr="007F25E8">
        <w:rPr>
          <w:b/>
          <w:sz w:val="18"/>
          <w:szCs w:val="18"/>
          <w:lang w:val="en-US"/>
        </w:rPr>
        <w:t xml:space="preserve">2013 Issues Paper: </w:t>
      </w:r>
      <w:r w:rsidR="00932D2A" w:rsidRPr="00932D2A">
        <w:rPr>
          <w:i/>
          <w:sz w:val="18"/>
          <w:szCs w:val="18"/>
        </w:rPr>
        <w:t>Review of Parliamentary Salaries and Allowances Issues Paper</w:t>
      </w:r>
      <w:r w:rsidR="00932D2A" w:rsidRPr="00932D2A">
        <w:rPr>
          <w:sz w:val="18"/>
          <w:szCs w:val="18"/>
        </w:rPr>
        <w:t>, October 2013</w:t>
      </w:r>
      <w:r w:rsidR="00932D2A">
        <w:rPr>
          <w:sz w:val="18"/>
          <w:szCs w:val="18"/>
        </w:rPr>
        <w:t xml:space="preserve">, </w:t>
      </w:r>
      <w:r w:rsidRPr="007F25E8">
        <w:rPr>
          <w:sz w:val="18"/>
          <w:szCs w:val="18"/>
          <w:lang w:val="en-US"/>
        </w:rPr>
        <w:t>to facilitate submissions to the Tribunal</w:t>
      </w:r>
    </w:p>
    <w:p w:rsidR="00516208" w:rsidRPr="007F25E8" w:rsidRDefault="00516208" w:rsidP="00516208">
      <w:pPr>
        <w:jc w:val="both"/>
        <w:rPr>
          <w:b/>
          <w:sz w:val="18"/>
          <w:szCs w:val="18"/>
          <w:lang w:val="en-US"/>
        </w:rPr>
      </w:pPr>
      <w:r w:rsidRPr="007F25E8">
        <w:rPr>
          <w:b/>
          <w:sz w:val="18"/>
          <w:szCs w:val="18"/>
          <w:lang w:val="en-US"/>
        </w:rPr>
        <w:t xml:space="preserve">2014 Report: </w:t>
      </w:r>
      <w:r w:rsidRPr="00D22E21">
        <w:rPr>
          <w:i/>
          <w:sz w:val="18"/>
          <w:szCs w:val="18"/>
          <w:lang w:val="en-US"/>
        </w:rPr>
        <w:t xml:space="preserve">Report of the </w:t>
      </w:r>
      <w:r w:rsidR="00D22E21" w:rsidRPr="00D22E21">
        <w:rPr>
          <w:i/>
          <w:sz w:val="18"/>
          <w:szCs w:val="18"/>
          <w:lang w:val="en-US"/>
        </w:rPr>
        <w:t xml:space="preserve">Parliamentary Salaries and Allowances </w:t>
      </w:r>
      <w:r w:rsidRPr="00D22E21">
        <w:rPr>
          <w:i/>
          <w:sz w:val="18"/>
          <w:szCs w:val="18"/>
          <w:lang w:val="en-US"/>
        </w:rPr>
        <w:t>Tribunal</w:t>
      </w:r>
      <w:r w:rsidR="00B90338" w:rsidRPr="00D22E21">
        <w:rPr>
          <w:i/>
          <w:sz w:val="18"/>
          <w:szCs w:val="18"/>
          <w:lang w:val="en-US"/>
        </w:rPr>
        <w:t xml:space="preserve"> Inquiring into Basic Salary, Allowances and </w:t>
      </w:r>
      <w:r w:rsidR="00D22E21">
        <w:rPr>
          <w:i/>
          <w:sz w:val="18"/>
          <w:szCs w:val="18"/>
          <w:lang w:val="en-US"/>
        </w:rPr>
        <w:t>B</w:t>
      </w:r>
      <w:r w:rsidR="00B90338" w:rsidRPr="00D22E21">
        <w:rPr>
          <w:i/>
          <w:sz w:val="18"/>
          <w:szCs w:val="18"/>
          <w:lang w:val="en-US"/>
        </w:rPr>
        <w:t xml:space="preserve">enefits </w:t>
      </w:r>
      <w:r w:rsidR="00D22E21">
        <w:rPr>
          <w:i/>
          <w:sz w:val="18"/>
          <w:szCs w:val="18"/>
          <w:lang w:val="en-US"/>
        </w:rPr>
        <w:t>p</w:t>
      </w:r>
      <w:r w:rsidR="00B90338" w:rsidRPr="00D22E21">
        <w:rPr>
          <w:i/>
          <w:sz w:val="18"/>
          <w:szCs w:val="18"/>
          <w:lang w:val="en-US"/>
        </w:rPr>
        <w:t xml:space="preserve">rovided to </w:t>
      </w:r>
      <w:r w:rsidR="00D22E21" w:rsidRPr="00D22E21">
        <w:rPr>
          <w:i/>
          <w:sz w:val="18"/>
          <w:szCs w:val="18"/>
          <w:lang w:val="en-US"/>
        </w:rPr>
        <w:t>Members</w:t>
      </w:r>
      <w:r w:rsidR="00B90338" w:rsidRPr="00D22E21">
        <w:rPr>
          <w:i/>
          <w:sz w:val="18"/>
          <w:szCs w:val="18"/>
          <w:lang w:val="en-US"/>
        </w:rPr>
        <w:t xml:space="preserve"> of the Tasmanian </w:t>
      </w:r>
      <w:r w:rsidR="00D22E21" w:rsidRPr="00D22E21">
        <w:rPr>
          <w:i/>
          <w:sz w:val="18"/>
          <w:szCs w:val="18"/>
          <w:lang w:val="en-US"/>
        </w:rPr>
        <w:t>Parliament</w:t>
      </w:r>
      <w:r w:rsidR="00D22E21">
        <w:rPr>
          <w:sz w:val="18"/>
          <w:szCs w:val="18"/>
          <w:lang w:val="en-US"/>
        </w:rPr>
        <w:t>,</w:t>
      </w:r>
      <w:r w:rsidR="00D22E21" w:rsidRPr="007F25E8">
        <w:rPr>
          <w:sz w:val="18"/>
          <w:szCs w:val="18"/>
        </w:rPr>
        <w:t xml:space="preserve"> </w:t>
      </w:r>
      <w:r w:rsidR="00BF4E1E" w:rsidRPr="007F25E8">
        <w:rPr>
          <w:sz w:val="18"/>
          <w:szCs w:val="18"/>
        </w:rPr>
        <w:t>Abey T, Wells N and Deegan B</w:t>
      </w:r>
      <w:r w:rsidR="00BF4E1E" w:rsidRPr="007F25E8">
        <w:rPr>
          <w:sz w:val="18"/>
          <w:szCs w:val="18"/>
          <w:lang w:val="en-US"/>
        </w:rPr>
        <w:t xml:space="preserve">, </w:t>
      </w:r>
      <w:r w:rsidRPr="007F25E8">
        <w:rPr>
          <w:sz w:val="18"/>
          <w:szCs w:val="18"/>
          <w:lang w:val="en-US"/>
        </w:rPr>
        <w:t>30 May 2014</w:t>
      </w:r>
    </w:p>
    <w:p w:rsidR="00516208" w:rsidRPr="007F25E8" w:rsidRDefault="00516208" w:rsidP="00516208">
      <w:pPr>
        <w:jc w:val="both"/>
        <w:rPr>
          <w:sz w:val="18"/>
          <w:szCs w:val="18"/>
          <w:lang w:val="en-US"/>
        </w:rPr>
      </w:pPr>
      <w:r w:rsidRPr="007F25E8">
        <w:rPr>
          <w:b/>
          <w:sz w:val="18"/>
          <w:szCs w:val="18"/>
          <w:lang w:val="en-US"/>
        </w:rPr>
        <w:t>2015 Act:</w:t>
      </w:r>
      <w:r w:rsidRPr="007F25E8">
        <w:rPr>
          <w:sz w:val="18"/>
          <w:szCs w:val="18"/>
          <w:lang w:val="en-US"/>
        </w:rPr>
        <w:t xml:space="preserve"> </w:t>
      </w:r>
      <w:r w:rsidRPr="007F25E8">
        <w:rPr>
          <w:i/>
          <w:sz w:val="18"/>
          <w:szCs w:val="18"/>
          <w:lang w:val="en-US"/>
        </w:rPr>
        <w:t>Parliamentary Salaries, Superannuation and Allowances Amendment Act 2015</w:t>
      </w:r>
    </w:p>
    <w:p w:rsidR="00516208" w:rsidRPr="007F25E8" w:rsidRDefault="00516208" w:rsidP="00516208">
      <w:pPr>
        <w:jc w:val="both"/>
        <w:rPr>
          <w:sz w:val="18"/>
          <w:szCs w:val="18"/>
          <w:lang w:val="en-US"/>
        </w:rPr>
      </w:pPr>
      <w:r w:rsidRPr="007F25E8">
        <w:rPr>
          <w:b/>
          <w:sz w:val="18"/>
          <w:szCs w:val="18"/>
          <w:lang w:val="en-US"/>
        </w:rPr>
        <w:t xml:space="preserve">2015 Issues Paper: </w:t>
      </w:r>
      <w:r w:rsidR="00932D2A" w:rsidRPr="00932D2A">
        <w:rPr>
          <w:i/>
          <w:sz w:val="18"/>
          <w:szCs w:val="18"/>
        </w:rPr>
        <w:t>Inquiry into Parliamentary Salaries and Allowances by the Full Bench of the Tasmanian Industrial Commission Issues Paper</w:t>
      </w:r>
      <w:r w:rsidR="00932D2A" w:rsidRPr="00932D2A">
        <w:rPr>
          <w:sz w:val="18"/>
          <w:szCs w:val="18"/>
        </w:rPr>
        <w:t>, September 2015</w:t>
      </w:r>
      <w:r w:rsidR="00932D2A">
        <w:rPr>
          <w:sz w:val="18"/>
          <w:szCs w:val="18"/>
        </w:rPr>
        <w:t>,</w:t>
      </w:r>
      <w:r w:rsidRPr="007F25E8">
        <w:rPr>
          <w:sz w:val="18"/>
          <w:szCs w:val="18"/>
          <w:lang w:val="en-US"/>
        </w:rPr>
        <w:t xml:space="preserve"> to facilitate submissions to the Commission</w:t>
      </w:r>
    </w:p>
    <w:p w:rsidR="00516208" w:rsidRPr="00AB3EF8" w:rsidRDefault="00516208" w:rsidP="00516208">
      <w:pPr>
        <w:jc w:val="both"/>
        <w:rPr>
          <w:szCs w:val="20"/>
          <w:lang w:val="en-US"/>
        </w:rPr>
      </w:pPr>
    </w:p>
    <w:p w:rsidR="00516208" w:rsidRDefault="00516208" w:rsidP="00516208">
      <w:pPr>
        <w:rPr>
          <w:b/>
          <w:lang w:val="en-US"/>
        </w:rPr>
        <w:sectPr w:rsidR="00516208" w:rsidSect="008B4B99">
          <w:headerReference w:type="default" r:id="rId12"/>
          <w:pgSz w:w="11906" w:h="16838"/>
          <w:pgMar w:top="1440" w:right="1440" w:bottom="1440" w:left="1440" w:header="708" w:footer="708" w:gutter="0"/>
          <w:pgNumType w:fmt="lowerRoman"/>
          <w:cols w:space="708"/>
          <w:docGrid w:linePitch="360"/>
        </w:sectPr>
      </w:pPr>
    </w:p>
    <w:p w:rsidR="00083BA9" w:rsidRDefault="00083BA9" w:rsidP="00083BA9">
      <w:pPr>
        <w:jc w:val="center"/>
        <w:rPr>
          <w:b/>
          <w:lang w:val="en-US"/>
        </w:rPr>
      </w:pPr>
    </w:p>
    <w:p w:rsidR="00083BA9" w:rsidRDefault="003D5D53" w:rsidP="00083BA9">
      <w:pPr>
        <w:jc w:val="center"/>
        <w:rPr>
          <w:b/>
          <w:lang w:val="en-US"/>
        </w:rPr>
      </w:pPr>
      <w:r>
        <w:rPr>
          <w:b/>
          <w:noProof/>
          <w:lang w:eastAsia="en-AU"/>
        </w:rPr>
        <w:drawing>
          <wp:inline distT="0" distB="0" distL="0" distR="0" wp14:anchorId="1A3B7F7B" wp14:editId="779653FE">
            <wp:extent cx="1117600" cy="894080"/>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600" cy="894080"/>
                    </a:xfrm>
                    <a:prstGeom prst="rect">
                      <a:avLst/>
                    </a:prstGeom>
                    <a:noFill/>
                  </pic:spPr>
                </pic:pic>
              </a:graphicData>
            </a:graphic>
          </wp:inline>
        </w:drawing>
      </w:r>
    </w:p>
    <w:p w:rsidR="00083BA9" w:rsidRPr="00353DC4" w:rsidRDefault="00083BA9" w:rsidP="00083BA9">
      <w:pPr>
        <w:jc w:val="center"/>
        <w:rPr>
          <w:rFonts w:ascii="Times New Roman" w:hAnsi="Times New Roman"/>
          <w:b/>
        </w:rPr>
      </w:pPr>
      <w:r w:rsidRPr="00353DC4">
        <w:rPr>
          <w:rFonts w:ascii="Times New Roman" w:hAnsi="Times New Roman"/>
          <w:b/>
        </w:rPr>
        <w:t>TASMANIA</w:t>
      </w:r>
    </w:p>
    <w:p w:rsidR="00446F49" w:rsidRPr="00446F49" w:rsidRDefault="00446F49" w:rsidP="00446F49">
      <w:pPr>
        <w:pStyle w:val="Title"/>
      </w:pPr>
      <w:bookmarkStart w:id="3" w:name="_Toc443486897"/>
      <w:r>
        <w:t>Determination</w:t>
      </w:r>
      <w:bookmarkEnd w:id="3"/>
    </w:p>
    <w:p w:rsidR="0096612F" w:rsidRPr="0096612F" w:rsidRDefault="0096612F" w:rsidP="0096612F">
      <w:pPr>
        <w:spacing w:after="120" w:line="300" w:lineRule="exact"/>
        <w:jc w:val="both"/>
        <w:rPr>
          <w:sz w:val="18"/>
          <w:szCs w:val="18"/>
          <w:lang w:val="en-US"/>
        </w:rPr>
      </w:pPr>
      <w:r w:rsidRPr="0096612F">
        <w:rPr>
          <w:sz w:val="18"/>
          <w:szCs w:val="18"/>
          <w:lang w:val="en-US"/>
        </w:rPr>
        <w:t xml:space="preserve">This Determination is made in accordance with section 3D(1)(d) of the </w:t>
      </w:r>
      <w:r w:rsidRPr="0096612F">
        <w:rPr>
          <w:i/>
          <w:sz w:val="18"/>
          <w:szCs w:val="18"/>
          <w:lang w:val="en-US"/>
        </w:rPr>
        <w:t>Parliamentary Salaries, Superannuation and Allowances Act 2012</w:t>
      </w:r>
      <w:r w:rsidRPr="0096612F">
        <w:rPr>
          <w:sz w:val="18"/>
          <w:szCs w:val="18"/>
          <w:lang w:val="en-US"/>
        </w:rPr>
        <w:t xml:space="preserve"> (the 2012 Act)</w:t>
      </w:r>
      <w:r w:rsidR="00055B93">
        <w:rPr>
          <w:sz w:val="18"/>
          <w:szCs w:val="18"/>
          <w:lang w:val="en-US"/>
        </w:rPr>
        <w:t>.</w:t>
      </w:r>
    </w:p>
    <w:p w:rsidR="0096612F" w:rsidRPr="0096612F" w:rsidRDefault="0096612F" w:rsidP="0096612F">
      <w:pPr>
        <w:spacing w:after="120" w:line="300" w:lineRule="exact"/>
        <w:jc w:val="both"/>
        <w:rPr>
          <w:sz w:val="18"/>
          <w:szCs w:val="18"/>
          <w:lang w:val="en-US"/>
        </w:rPr>
      </w:pPr>
      <w:r w:rsidRPr="0096612F">
        <w:rPr>
          <w:sz w:val="18"/>
          <w:szCs w:val="18"/>
          <w:lang w:val="en-US"/>
        </w:rPr>
        <w:t>As the Commission we determine the following:</w:t>
      </w:r>
    </w:p>
    <w:p w:rsidR="0096612F" w:rsidRPr="00E14D34" w:rsidRDefault="0096612F" w:rsidP="0096612F">
      <w:pPr>
        <w:pStyle w:val="Heading2"/>
        <w:rPr>
          <w:b/>
        </w:rPr>
      </w:pPr>
      <w:bookmarkStart w:id="4" w:name="_Toc440377787"/>
      <w:bookmarkStart w:id="5" w:name="_Toc443486898"/>
      <w:r w:rsidRPr="00E14D34">
        <w:rPr>
          <w:b/>
        </w:rPr>
        <w:t>1</w:t>
      </w:r>
      <w:r w:rsidRPr="00E14D34">
        <w:rPr>
          <w:b/>
        </w:rPr>
        <w:tab/>
        <w:t>Basic Salary</w:t>
      </w:r>
      <w:bookmarkEnd w:id="4"/>
      <w:bookmarkEnd w:id="5"/>
    </w:p>
    <w:p w:rsidR="0096612F" w:rsidRPr="0096612F" w:rsidRDefault="0096612F" w:rsidP="0096612F">
      <w:pPr>
        <w:pStyle w:val="textbasic"/>
      </w:pPr>
      <w:bookmarkStart w:id="6" w:name="_Toc440377788"/>
      <w:r w:rsidRPr="0096612F">
        <w:t>1.1</w:t>
      </w:r>
      <w:r w:rsidRPr="0096612F">
        <w:tab/>
        <w:t xml:space="preserve">Basic Salary (refer clause 5 of Part 1 of Schedule 1 </w:t>
      </w:r>
      <w:r w:rsidR="007D2E53">
        <w:t>to</w:t>
      </w:r>
      <w:r w:rsidRPr="0096612F">
        <w:t xml:space="preserve"> the 2012 Act)</w:t>
      </w:r>
      <w:bookmarkEnd w:id="6"/>
    </w:p>
    <w:p w:rsidR="0096612F" w:rsidRPr="0096612F" w:rsidRDefault="0096612F" w:rsidP="0096612F">
      <w:pPr>
        <w:ind w:left="1701" w:hanging="567"/>
        <w:jc w:val="both"/>
        <w:rPr>
          <w:sz w:val="18"/>
          <w:szCs w:val="18"/>
        </w:rPr>
      </w:pPr>
      <w:r w:rsidRPr="0096612F">
        <w:rPr>
          <w:sz w:val="18"/>
          <w:szCs w:val="18"/>
        </w:rPr>
        <w:t>(1)</w:t>
      </w:r>
      <w:r w:rsidRPr="0096612F">
        <w:rPr>
          <w:sz w:val="18"/>
          <w:szCs w:val="18"/>
        </w:rPr>
        <w:tab/>
      </w:r>
      <w:r w:rsidR="007D2E53">
        <w:rPr>
          <w:sz w:val="18"/>
          <w:szCs w:val="18"/>
        </w:rPr>
        <w:t>F</w:t>
      </w:r>
      <w:r w:rsidRPr="0096612F">
        <w:rPr>
          <w:sz w:val="18"/>
          <w:szCs w:val="18"/>
        </w:rPr>
        <w:t>rom 1 July 2016 to 30 June 2017, the amount of the basic salary to be paid to each member of Parliament is to be $133 560 pa</w:t>
      </w:r>
      <w:r w:rsidR="007D2E53">
        <w:rPr>
          <w:sz w:val="18"/>
          <w:szCs w:val="18"/>
        </w:rPr>
        <w:t>.</w:t>
      </w:r>
      <w:r w:rsidRPr="0096612F">
        <w:rPr>
          <w:sz w:val="18"/>
          <w:szCs w:val="18"/>
        </w:rPr>
        <w:t xml:space="preserve"> </w:t>
      </w:r>
    </w:p>
    <w:p w:rsidR="007D2E53" w:rsidRDefault="0096612F" w:rsidP="0096612F">
      <w:pPr>
        <w:ind w:left="1701" w:hanging="567"/>
        <w:jc w:val="both"/>
        <w:rPr>
          <w:sz w:val="18"/>
          <w:szCs w:val="18"/>
        </w:rPr>
      </w:pPr>
      <w:r w:rsidRPr="0096612F">
        <w:rPr>
          <w:sz w:val="18"/>
          <w:szCs w:val="18"/>
        </w:rPr>
        <w:t>(2)</w:t>
      </w:r>
      <w:r w:rsidRPr="0096612F">
        <w:rPr>
          <w:sz w:val="18"/>
          <w:szCs w:val="18"/>
        </w:rPr>
        <w:tab/>
      </w:r>
      <w:r w:rsidR="007D2E53">
        <w:rPr>
          <w:sz w:val="18"/>
          <w:szCs w:val="18"/>
        </w:rPr>
        <w:t>F</w:t>
      </w:r>
      <w:r w:rsidRPr="0096612F">
        <w:rPr>
          <w:sz w:val="18"/>
          <w:szCs w:val="18"/>
        </w:rPr>
        <w:t>rom 1 July 2017 to 30 June 2018, the amount of the basic salary to be paid to each member of Parliament is to be $133 560 pa plus either</w:t>
      </w:r>
      <w:r w:rsidR="007D2E53">
        <w:rPr>
          <w:sz w:val="18"/>
          <w:szCs w:val="18"/>
        </w:rPr>
        <w:t>:</w:t>
      </w:r>
      <w:r w:rsidRPr="0096612F">
        <w:rPr>
          <w:sz w:val="18"/>
          <w:szCs w:val="18"/>
        </w:rPr>
        <w:t xml:space="preserve"> </w:t>
      </w:r>
    </w:p>
    <w:p w:rsidR="007D2E53" w:rsidRDefault="007D2E53" w:rsidP="007D2E53">
      <w:pPr>
        <w:ind w:left="2268" w:hanging="567"/>
        <w:jc w:val="both"/>
        <w:rPr>
          <w:sz w:val="18"/>
          <w:szCs w:val="18"/>
        </w:rPr>
      </w:pPr>
      <w:r>
        <w:rPr>
          <w:sz w:val="18"/>
          <w:szCs w:val="18"/>
        </w:rPr>
        <w:t>(a)</w:t>
      </w:r>
      <w:r>
        <w:rPr>
          <w:sz w:val="18"/>
          <w:szCs w:val="18"/>
        </w:rPr>
        <w:tab/>
      </w:r>
      <w:r w:rsidR="0096612F" w:rsidRPr="0096612F">
        <w:rPr>
          <w:sz w:val="18"/>
          <w:szCs w:val="18"/>
        </w:rPr>
        <w:t xml:space="preserve">an amount equal to $133 560 multiplied by the increase in the Wage Price Index, Ordinary Time Hourly Rates of Pay Excluding Bonuses; Tasmania, Private and Public; all Industries </w:t>
      </w:r>
      <w:r w:rsidR="00E14D34">
        <w:rPr>
          <w:sz w:val="18"/>
          <w:szCs w:val="18"/>
        </w:rPr>
        <w:t>(</w:t>
      </w:r>
      <w:r w:rsidR="0096612F" w:rsidRPr="0096612F">
        <w:rPr>
          <w:sz w:val="18"/>
          <w:szCs w:val="18"/>
        </w:rPr>
        <w:t>ABS Catalogue 6345.0</w:t>
      </w:r>
      <w:r w:rsidR="00E14D34">
        <w:rPr>
          <w:sz w:val="18"/>
          <w:szCs w:val="18"/>
        </w:rPr>
        <w:t>)</w:t>
      </w:r>
      <w:r w:rsidR="0096612F" w:rsidRPr="0096612F">
        <w:rPr>
          <w:sz w:val="18"/>
          <w:szCs w:val="18"/>
        </w:rPr>
        <w:t xml:space="preserve"> for the twelve months preceding the December 2016 quarter</w:t>
      </w:r>
      <w:r>
        <w:rPr>
          <w:sz w:val="18"/>
          <w:szCs w:val="18"/>
        </w:rPr>
        <w:t>,</w:t>
      </w:r>
      <w:r w:rsidR="0096612F" w:rsidRPr="0096612F">
        <w:rPr>
          <w:sz w:val="18"/>
          <w:szCs w:val="18"/>
        </w:rPr>
        <w:t xml:space="preserve"> or </w:t>
      </w:r>
    </w:p>
    <w:p w:rsidR="0096612F" w:rsidRPr="0096612F" w:rsidRDefault="007D2E53" w:rsidP="007D2E53">
      <w:pPr>
        <w:ind w:left="2268" w:hanging="567"/>
        <w:jc w:val="both"/>
        <w:rPr>
          <w:sz w:val="18"/>
          <w:szCs w:val="18"/>
        </w:rPr>
      </w:pPr>
      <w:r>
        <w:rPr>
          <w:sz w:val="18"/>
          <w:szCs w:val="18"/>
        </w:rPr>
        <w:t>(b)</w:t>
      </w:r>
      <w:r>
        <w:rPr>
          <w:sz w:val="18"/>
          <w:szCs w:val="18"/>
        </w:rPr>
        <w:tab/>
      </w:r>
      <w:r w:rsidR="0096612F" w:rsidRPr="0096612F">
        <w:rPr>
          <w:sz w:val="18"/>
          <w:szCs w:val="18"/>
        </w:rPr>
        <w:t>$0 should that In</w:t>
      </w:r>
      <w:r w:rsidR="0003140C">
        <w:rPr>
          <w:sz w:val="18"/>
          <w:szCs w:val="18"/>
        </w:rPr>
        <w:t>dex not increase in that period</w:t>
      </w:r>
      <w:r w:rsidR="0096612F" w:rsidRPr="0096612F">
        <w:rPr>
          <w:sz w:val="18"/>
          <w:szCs w:val="18"/>
        </w:rPr>
        <w:t xml:space="preserve">. </w:t>
      </w:r>
    </w:p>
    <w:p w:rsidR="0096612F" w:rsidRPr="00E14D34" w:rsidRDefault="0096612F" w:rsidP="0096612F">
      <w:pPr>
        <w:pStyle w:val="Heading2"/>
        <w:rPr>
          <w:b/>
        </w:rPr>
      </w:pPr>
      <w:bookmarkStart w:id="7" w:name="_Toc440377789"/>
      <w:bookmarkStart w:id="8" w:name="_Toc443486899"/>
      <w:r w:rsidRPr="00E14D34">
        <w:rPr>
          <w:b/>
        </w:rPr>
        <w:t>2</w:t>
      </w:r>
      <w:r w:rsidRPr="00E14D34">
        <w:rPr>
          <w:b/>
        </w:rPr>
        <w:tab/>
        <w:t>Additional Salary</w:t>
      </w:r>
      <w:bookmarkEnd w:id="7"/>
      <w:bookmarkEnd w:id="8"/>
    </w:p>
    <w:p w:rsidR="0096612F" w:rsidRPr="0096612F" w:rsidRDefault="0096612F" w:rsidP="0096612F">
      <w:pPr>
        <w:pStyle w:val="textbasic"/>
      </w:pPr>
      <w:bookmarkStart w:id="9" w:name="_Toc440377790"/>
      <w:r w:rsidRPr="0096612F">
        <w:t>2.1</w:t>
      </w:r>
      <w:r w:rsidRPr="0096612F">
        <w:tab/>
        <w:t xml:space="preserve">Additional Salary (refer clause 3 of Part 2 of Schedule 1 </w:t>
      </w:r>
      <w:r w:rsidR="007D2E53">
        <w:t>to</w:t>
      </w:r>
      <w:r w:rsidRPr="0096612F">
        <w:t xml:space="preserve"> the 2012 Act)</w:t>
      </w:r>
      <w:bookmarkEnd w:id="9"/>
    </w:p>
    <w:p w:rsidR="0096612F" w:rsidRPr="0096612F" w:rsidRDefault="0096612F" w:rsidP="0096612F">
      <w:pPr>
        <w:ind w:left="1701" w:hanging="567"/>
        <w:jc w:val="both"/>
        <w:rPr>
          <w:sz w:val="18"/>
          <w:szCs w:val="18"/>
        </w:rPr>
      </w:pPr>
      <w:r w:rsidRPr="0096612F">
        <w:rPr>
          <w:sz w:val="18"/>
          <w:szCs w:val="18"/>
        </w:rPr>
        <w:t>(1)</w:t>
      </w:r>
      <w:r w:rsidRPr="0096612F">
        <w:rPr>
          <w:sz w:val="18"/>
          <w:szCs w:val="18"/>
        </w:rPr>
        <w:tab/>
        <w:t xml:space="preserve">From 1 July 2016 to 30 June 2018, the amount of the additional salary to be paid to the Premier, Deputy Premier, Ministers of the Crown, Secretary to Cabinet and Certain Officers of the Parliament is the percentage of basic salary specified opposite the office in the following table </w:t>
      </w:r>
      <w:r w:rsidR="00E14D34">
        <w:rPr>
          <w:sz w:val="18"/>
          <w:szCs w:val="18"/>
        </w:rPr>
        <w:t>(</w:t>
      </w:r>
      <w:r w:rsidRPr="0096612F">
        <w:rPr>
          <w:sz w:val="18"/>
          <w:szCs w:val="18"/>
        </w:rPr>
        <w:t>Table A</w:t>
      </w:r>
      <w:r w:rsidR="00E14D34">
        <w:rPr>
          <w:sz w:val="18"/>
          <w:szCs w:val="18"/>
        </w:rPr>
        <w:t>)</w:t>
      </w:r>
      <w:r w:rsidRPr="0096612F">
        <w:rPr>
          <w:sz w:val="18"/>
          <w:szCs w:val="18"/>
        </w:rPr>
        <w:t>.</w:t>
      </w:r>
    </w:p>
    <w:p w:rsidR="0096612F" w:rsidRPr="0096612F" w:rsidRDefault="0096612F" w:rsidP="0096612F">
      <w:pPr>
        <w:ind w:left="1080"/>
        <w:jc w:val="both"/>
        <w:rPr>
          <w:b/>
          <w:sz w:val="18"/>
          <w:szCs w:val="18"/>
          <w:lang w:val="en-US"/>
        </w:rPr>
      </w:pPr>
      <w:r w:rsidRPr="0096612F">
        <w:rPr>
          <w:b/>
          <w:sz w:val="18"/>
          <w:szCs w:val="18"/>
          <w:lang w:val="en-US"/>
        </w:rPr>
        <w:t xml:space="preserve">Table A - Additional Salary from 1 July 2016 </w:t>
      </w:r>
      <w:r w:rsidRPr="0096612F">
        <w:rPr>
          <w:b/>
          <w:sz w:val="18"/>
          <w:szCs w:val="18"/>
        </w:rPr>
        <w:t xml:space="preserve">to 30 June 2018 </w:t>
      </w:r>
      <w:r w:rsidRPr="0096612F">
        <w:rPr>
          <w:b/>
          <w:sz w:val="18"/>
          <w:szCs w:val="18"/>
          <w:lang w:val="en-US"/>
        </w:rPr>
        <w:t xml:space="preserve">for MPs who are holders of offices specified </w:t>
      </w:r>
      <w:r w:rsidR="00E14D34">
        <w:rPr>
          <w:b/>
          <w:sz w:val="18"/>
          <w:szCs w:val="18"/>
          <w:lang w:val="en-US"/>
        </w:rPr>
        <w:t xml:space="preserve">in </w:t>
      </w:r>
      <w:r w:rsidRPr="0096612F">
        <w:rPr>
          <w:b/>
          <w:sz w:val="18"/>
          <w:szCs w:val="18"/>
          <w:lang w:val="en-US"/>
        </w:rPr>
        <w:t xml:space="preserve">Table 1 of Part 2 of Schedule 1 </w:t>
      </w:r>
      <w:r w:rsidR="007D2E53">
        <w:rPr>
          <w:b/>
          <w:sz w:val="18"/>
          <w:szCs w:val="18"/>
          <w:lang w:val="en-US"/>
        </w:rPr>
        <w:t xml:space="preserve">to </w:t>
      </w:r>
      <w:r w:rsidRPr="0096612F">
        <w:rPr>
          <w:b/>
          <w:sz w:val="18"/>
          <w:szCs w:val="18"/>
          <w:lang w:val="en-US"/>
        </w:rPr>
        <w:t xml:space="preserve">the 2012 Act </w:t>
      </w:r>
      <w:r w:rsidRPr="0096612F">
        <w:rPr>
          <w:b/>
          <w:sz w:val="18"/>
          <w:szCs w:val="18"/>
          <w:vertAlign w:val="superscript"/>
          <w:lang w:val="en-US"/>
        </w:rPr>
        <w:footnoteReference w:id="1"/>
      </w:r>
    </w:p>
    <w:tbl>
      <w:tblPr>
        <w:tblW w:w="5353" w:type="dxa"/>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51"/>
      </w:tblGrid>
      <w:tr w:rsidR="0096612F" w:rsidRPr="0096612F" w:rsidTr="00327CCC">
        <w:trPr>
          <w:cantSplit/>
          <w:tblHeader/>
        </w:trPr>
        <w:tc>
          <w:tcPr>
            <w:tcW w:w="2802" w:type="dxa"/>
            <w:tcBorders>
              <w:bottom w:val="single" w:sz="4" w:space="0" w:color="auto"/>
            </w:tcBorders>
            <w:shd w:val="clear" w:color="auto" w:fill="D9D9D9" w:themeFill="background1" w:themeFillShade="D9"/>
          </w:tcPr>
          <w:p w:rsidR="0096612F" w:rsidRPr="0096612F" w:rsidRDefault="0096612F" w:rsidP="0096612F">
            <w:pPr>
              <w:jc w:val="center"/>
              <w:rPr>
                <w:b/>
                <w:sz w:val="18"/>
                <w:szCs w:val="18"/>
                <w:lang w:val="en-US"/>
              </w:rPr>
            </w:pPr>
            <w:r w:rsidRPr="0096612F">
              <w:rPr>
                <w:b/>
                <w:sz w:val="18"/>
                <w:szCs w:val="18"/>
                <w:lang w:val="en-US"/>
              </w:rPr>
              <w:t>Office</w:t>
            </w:r>
          </w:p>
        </w:tc>
        <w:tc>
          <w:tcPr>
            <w:tcW w:w="2551" w:type="dxa"/>
            <w:tcBorders>
              <w:bottom w:val="single" w:sz="4" w:space="0" w:color="auto"/>
            </w:tcBorders>
            <w:shd w:val="clear" w:color="auto" w:fill="D9D9D9" w:themeFill="background1" w:themeFillShade="D9"/>
          </w:tcPr>
          <w:p w:rsidR="0096612F" w:rsidRPr="0096612F" w:rsidRDefault="0096612F" w:rsidP="0096612F">
            <w:pPr>
              <w:jc w:val="center"/>
              <w:rPr>
                <w:b/>
                <w:sz w:val="18"/>
                <w:szCs w:val="18"/>
                <w:lang w:val="en-US"/>
              </w:rPr>
            </w:pPr>
            <w:r w:rsidRPr="0096612F">
              <w:rPr>
                <w:b/>
                <w:sz w:val="18"/>
                <w:szCs w:val="18"/>
                <w:lang w:val="en-US"/>
              </w:rPr>
              <w:t>Additional Salary</w:t>
            </w:r>
            <w:r w:rsidRPr="0096612F">
              <w:rPr>
                <w:b/>
                <w:sz w:val="18"/>
                <w:szCs w:val="18"/>
                <w:lang w:val="en-US"/>
              </w:rPr>
              <w:br/>
              <w:t>(percentage of basic salary)</w:t>
            </w:r>
          </w:p>
        </w:tc>
      </w:tr>
      <w:tr w:rsidR="0096612F" w:rsidRPr="0096612F" w:rsidTr="0096612F">
        <w:tc>
          <w:tcPr>
            <w:tcW w:w="2802" w:type="dxa"/>
            <w:tcBorders>
              <w:top w:val="single" w:sz="4" w:space="0" w:color="auto"/>
            </w:tcBorders>
            <w:shd w:val="clear" w:color="auto" w:fill="auto"/>
            <w:vAlign w:val="center"/>
          </w:tcPr>
          <w:p w:rsidR="0096612F" w:rsidRPr="0096612F" w:rsidRDefault="0096612F" w:rsidP="0096612F">
            <w:pPr>
              <w:rPr>
                <w:sz w:val="18"/>
                <w:szCs w:val="18"/>
              </w:rPr>
            </w:pPr>
            <w:r w:rsidRPr="0096612F">
              <w:rPr>
                <w:sz w:val="18"/>
                <w:szCs w:val="18"/>
              </w:rPr>
              <w:t>Premier</w:t>
            </w:r>
          </w:p>
        </w:tc>
        <w:tc>
          <w:tcPr>
            <w:tcW w:w="2551" w:type="dxa"/>
            <w:shd w:val="clear" w:color="auto" w:fill="auto"/>
            <w:vAlign w:val="center"/>
          </w:tcPr>
          <w:p w:rsidR="0096612F" w:rsidRPr="0096612F" w:rsidRDefault="0096612F" w:rsidP="0096612F">
            <w:pPr>
              <w:jc w:val="center"/>
              <w:rPr>
                <w:sz w:val="18"/>
                <w:szCs w:val="18"/>
                <w:lang w:val="en-US"/>
              </w:rPr>
            </w:pPr>
            <w:r w:rsidRPr="0096612F">
              <w:rPr>
                <w:sz w:val="18"/>
                <w:szCs w:val="18"/>
                <w:lang w:val="en-US"/>
              </w:rPr>
              <w:t>115</w:t>
            </w:r>
          </w:p>
        </w:tc>
      </w:tr>
      <w:tr w:rsidR="0096612F" w:rsidRPr="0096612F" w:rsidTr="0096612F">
        <w:tc>
          <w:tcPr>
            <w:tcW w:w="2802" w:type="dxa"/>
            <w:shd w:val="clear" w:color="auto" w:fill="auto"/>
            <w:vAlign w:val="center"/>
          </w:tcPr>
          <w:p w:rsidR="0096612F" w:rsidRPr="0096612F" w:rsidRDefault="0096612F" w:rsidP="0096612F">
            <w:pPr>
              <w:rPr>
                <w:rFonts w:eastAsia="Times New Roman"/>
                <w:sz w:val="18"/>
                <w:szCs w:val="18"/>
                <w:lang w:eastAsia="en-AU"/>
              </w:rPr>
            </w:pPr>
            <w:r w:rsidRPr="0096612F">
              <w:rPr>
                <w:sz w:val="18"/>
                <w:szCs w:val="18"/>
                <w:lang w:val="en-US"/>
              </w:rPr>
              <w:t xml:space="preserve">Deputy </w:t>
            </w:r>
            <w:r w:rsidRPr="0096612F">
              <w:rPr>
                <w:rFonts w:eastAsia="Times New Roman"/>
                <w:sz w:val="18"/>
                <w:szCs w:val="18"/>
                <w:lang w:eastAsia="en-AU"/>
              </w:rPr>
              <w:t>Premier</w:t>
            </w:r>
          </w:p>
        </w:tc>
        <w:tc>
          <w:tcPr>
            <w:tcW w:w="2551" w:type="dxa"/>
            <w:shd w:val="clear" w:color="auto" w:fill="auto"/>
            <w:vAlign w:val="center"/>
          </w:tcPr>
          <w:p w:rsidR="0096612F" w:rsidRPr="0096612F" w:rsidRDefault="0096612F" w:rsidP="0096612F">
            <w:pPr>
              <w:jc w:val="center"/>
              <w:rPr>
                <w:sz w:val="18"/>
                <w:szCs w:val="18"/>
                <w:lang w:val="en-US"/>
              </w:rPr>
            </w:pPr>
            <w:r w:rsidRPr="0096612F">
              <w:rPr>
                <w:sz w:val="18"/>
                <w:szCs w:val="18"/>
                <w:lang w:val="en-US"/>
              </w:rPr>
              <w:t>82</w:t>
            </w:r>
          </w:p>
        </w:tc>
      </w:tr>
      <w:tr w:rsidR="0096612F" w:rsidRPr="0096612F" w:rsidTr="0096612F">
        <w:tc>
          <w:tcPr>
            <w:tcW w:w="2802" w:type="dxa"/>
            <w:shd w:val="clear" w:color="auto" w:fill="auto"/>
            <w:vAlign w:val="center"/>
          </w:tcPr>
          <w:p w:rsidR="0096612F" w:rsidRPr="0096612F" w:rsidRDefault="0096612F" w:rsidP="0096612F">
            <w:pPr>
              <w:rPr>
                <w:sz w:val="18"/>
                <w:szCs w:val="18"/>
                <w:lang w:val="en-US"/>
              </w:rPr>
            </w:pPr>
            <w:r w:rsidRPr="0096612F">
              <w:rPr>
                <w:sz w:val="18"/>
                <w:szCs w:val="18"/>
                <w:lang w:val="en-US"/>
              </w:rPr>
              <w:t>Minister</w:t>
            </w:r>
          </w:p>
        </w:tc>
        <w:tc>
          <w:tcPr>
            <w:tcW w:w="2551" w:type="dxa"/>
            <w:shd w:val="clear" w:color="auto" w:fill="auto"/>
            <w:vAlign w:val="center"/>
          </w:tcPr>
          <w:p w:rsidR="0096612F" w:rsidRPr="0096612F" w:rsidRDefault="0096612F" w:rsidP="0096612F">
            <w:pPr>
              <w:jc w:val="center"/>
              <w:rPr>
                <w:sz w:val="18"/>
                <w:szCs w:val="18"/>
                <w:lang w:val="en-US"/>
              </w:rPr>
            </w:pPr>
            <w:r w:rsidRPr="0096612F">
              <w:rPr>
                <w:sz w:val="18"/>
                <w:szCs w:val="18"/>
                <w:lang w:val="en-US"/>
              </w:rPr>
              <w:t>70</w:t>
            </w:r>
          </w:p>
        </w:tc>
      </w:tr>
      <w:tr w:rsidR="0096612F" w:rsidRPr="0096612F" w:rsidTr="0096612F">
        <w:tc>
          <w:tcPr>
            <w:tcW w:w="2802" w:type="dxa"/>
            <w:tcBorders>
              <w:bottom w:val="single" w:sz="4" w:space="0" w:color="auto"/>
            </w:tcBorders>
            <w:shd w:val="clear" w:color="auto" w:fill="auto"/>
            <w:vAlign w:val="center"/>
          </w:tcPr>
          <w:p w:rsidR="0096612F" w:rsidRPr="0096612F" w:rsidRDefault="0096612F" w:rsidP="0096612F">
            <w:pPr>
              <w:rPr>
                <w:sz w:val="18"/>
                <w:szCs w:val="18"/>
                <w:lang w:val="en-US"/>
              </w:rPr>
            </w:pPr>
            <w:r w:rsidRPr="0096612F">
              <w:rPr>
                <w:sz w:val="18"/>
                <w:szCs w:val="18"/>
                <w:lang w:val="en-US"/>
              </w:rPr>
              <w:t>Secretary to Cabinet</w:t>
            </w:r>
          </w:p>
        </w:tc>
        <w:tc>
          <w:tcPr>
            <w:tcW w:w="2551" w:type="dxa"/>
            <w:tcBorders>
              <w:bottom w:val="single" w:sz="4" w:space="0" w:color="auto"/>
            </w:tcBorders>
            <w:shd w:val="clear" w:color="auto" w:fill="auto"/>
            <w:vAlign w:val="center"/>
          </w:tcPr>
          <w:p w:rsidR="0096612F" w:rsidRPr="0096612F" w:rsidRDefault="0096612F" w:rsidP="0096612F">
            <w:pPr>
              <w:jc w:val="center"/>
              <w:rPr>
                <w:sz w:val="18"/>
                <w:szCs w:val="18"/>
                <w:lang w:val="en-US"/>
              </w:rPr>
            </w:pPr>
            <w:r w:rsidRPr="0096612F">
              <w:rPr>
                <w:sz w:val="18"/>
                <w:szCs w:val="18"/>
                <w:lang w:val="en-US"/>
              </w:rPr>
              <w:t>30</w:t>
            </w:r>
          </w:p>
        </w:tc>
      </w:tr>
      <w:tr w:rsidR="0096612F" w:rsidRPr="0096612F" w:rsidTr="0096612F">
        <w:tc>
          <w:tcPr>
            <w:tcW w:w="2802" w:type="dxa"/>
            <w:tcBorders>
              <w:top w:val="single" w:sz="4" w:space="0" w:color="auto"/>
              <w:left w:val="single" w:sz="4" w:space="0" w:color="auto"/>
              <w:bottom w:val="single" w:sz="4" w:space="0" w:color="auto"/>
              <w:right w:val="nil"/>
            </w:tcBorders>
            <w:shd w:val="clear" w:color="auto" w:fill="auto"/>
            <w:vAlign w:val="center"/>
          </w:tcPr>
          <w:p w:rsidR="0096612F" w:rsidRPr="0096612F" w:rsidRDefault="0096612F" w:rsidP="0096612F">
            <w:pPr>
              <w:rPr>
                <w:i/>
                <w:sz w:val="18"/>
                <w:szCs w:val="18"/>
                <w:lang w:val="en-US"/>
              </w:rPr>
            </w:pPr>
            <w:r w:rsidRPr="0096612F">
              <w:rPr>
                <w:i/>
                <w:sz w:val="18"/>
                <w:szCs w:val="18"/>
                <w:lang w:val="en-US"/>
              </w:rPr>
              <w:lastRenderedPageBreak/>
              <w:t>Legislative Council</w:t>
            </w:r>
          </w:p>
        </w:tc>
        <w:tc>
          <w:tcPr>
            <w:tcW w:w="2551" w:type="dxa"/>
            <w:tcBorders>
              <w:top w:val="single" w:sz="4" w:space="0" w:color="auto"/>
              <w:left w:val="nil"/>
              <w:bottom w:val="single" w:sz="4" w:space="0" w:color="auto"/>
              <w:right w:val="nil"/>
            </w:tcBorders>
            <w:shd w:val="clear" w:color="auto" w:fill="auto"/>
            <w:vAlign w:val="center"/>
          </w:tcPr>
          <w:p w:rsidR="0096612F" w:rsidRPr="0096612F" w:rsidRDefault="0096612F" w:rsidP="0096612F">
            <w:pPr>
              <w:jc w:val="center"/>
              <w:rPr>
                <w:sz w:val="18"/>
                <w:szCs w:val="18"/>
                <w:lang w:val="en-US"/>
              </w:rPr>
            </w:pPr>
          </w:p>
        </w:tc>
      </w:tr>
      <w:tr w:rsidR="0096612F" w:rsidRPr="0096612F" w:rsidTr="0096612F">
        <w:tc>
          <w:tcPr>
            <w:tcW w:w="2802" w:type="dxa"/>
            <w:tcBorders>
              <w:top w:val="single" w:sz="4" w:space="0" w:color="auto"/>
            </w:tcBorders>
            <w:shd w:val="clear" w:color="auto" w:fill="auto"/>
            <w:vAlign w:val="center"/>
          </w:tcPr>
          <w:p w:rsidR="0096612F" w:rsidRPr="0096612F" w:rsidRDefault="0096612F" w:rsidP="0096612F">
            <w:pPr>
              <w:rPr>
                <w:sz w:val="18"/>
                <w:szCs w:val="18"/>
                <w:lang w:val="en-US"/>
              </w:rPr>
            </w:pPr>
            <w:r w:rsidRPr="0096612F">
              <w:rPr>
                <w:sz w:val="18"/>
                <w:szCs w:val="18"/>
                <w:lang w:val="en-US"/>
              </w:rPr>
              <w:t>President</w:t>
            </w:r>
          </w:p>
        </w:tc>
        <w:tc>
          <w:tcPr>
            <w:tcW w:w="2551" w:type="dxa"/>
            <w:tcBorders>
              <w:top w:val="single" w:sz="4" w:space="0" w:color="auto"/>
            </w:tcBorders>
            <w:shd w:val="clear" w:color="auto" w:fill="auto"/>
            <w:vAlign w:val="center"/>
          </w:tcPr>
          <w:p w:rsidR="0096612F" w:rsidRPr="0096612F" w:rsidRDefault="0096612F" w:rsidP="0096612F">
            <w:pPr>
              <w:jc w:val="center"/>
              <w:rPr>
                <w:sz w:val="18"/>
                <w:szCs w:val="18"/>
                <w:lang w:val="en-US"/>
              </w:rPr>
            </w:pPr>
            <w:r w:rsidRPr="0096612F">
              <w:rPr>
                <w:sz w:val="18"/>
                <w:szCs w:val="18"/>
                <w:lang w:val="en-US"/>
              </w:rPr>
              <w:t>35</w:t>
            </w:r>
          </w:p>
        </w:tc>
      </w:tr>
      <w:tr w:rsidR="0096612F" w:rsidRPr="0096612F" w:rsidTr="0096612F">
        <w:tc>
          <w:tcPr>
            <w:tcW w:w="2802" w:type="dxa"/>
            <w:shd w:val="clear" w:color="auto" w:fill="auto"/>
            <w:vAlign w:val="center"/>
          </w:tcPr>
          <w:p w:rsidR="0096612F" w:rsidRPr="0096612F" w:rsidRDefault="0096612F" w:rsidP="0096612F">
            <w:pPr>
              <w:rPr>
                <w:sz w:val="18"/>
                <w:szCs w:val="18"/>
                <w:lang w:val="en-US"/>
              </w:rPr>
            </w:pPr>
            <w:r w:rsidRPr="0096612F">
              <w:rPr>
                <w:sz w:val="18"/>
                <w:szCs w:val="18"/>
                <w:lang w:val="en-US"/>
              </w:rPr>
              <w:t>Leader for the Government</w:t>
            </w:r>
          </w:p>
        </w:tc>
        <w:tc>
          <w:tcPr>
            <w:tcW w:w="2551" w:type="dxa"/>
            <w:shd w:val="clear" w:color="auto" w:fill="auto"/>
            <w:vAlign w:val="center"/>
          </w:tcPr>
          <w:p w:rsidR="0096612F" w:rsidRPr="0096612F" w:rsidRDefault="0096612F" w:rsidP="0096612F">
            <w:pPr>
              <w:jc w:val="center"/>
              <w:rPr>
                <w:sz w:val="18"/>
                <w:szCs w:val="18"/>
                <w:lang w:val="en-US"/>
              </w:rPr>
            </w:pPr>
            <w:r w:rsidRPr="0096612F">
              <w:rPr>
                <w:sz w:val="18"/>
                <w:szCs w:val="18"/>
                <w:lang w:val="en-US"/>
              </w:rPr>
              <w:t>70</w:t>
            </w:r>
          </w:p>
        </w:tc>
      </w:tr>
      <w:tr w:rsidR="0096612F" w:rsidRPr="0096612F" w:rsidTr="0096612F">
        <w:tc>
          <w:tcPr>
            <w:tcW w:w="2802" w:type="dxa"/>
            <w:shd w:val="clear" w:color="auto" w:fill="auto"/>
            <w:vAlign w:val="center"/>
          </w:tcPr>
          <w:p w:rsidR="0096612F" w:rsidRPr="0096612F" w:rsidRDefault="0096612F" w:rsidP="0096612F">
            <w:pPr>
              <w:rPr>
                <w:sz w:val="18"/>
                <w:szCs w:val="18"/>
                <w:lang w:val="en-US"/>
              </w:rPr>
            </w:pPr>
            <w:r w:rsidRPr="0096612F">
              <w:rPr>
                <w:sz w:val="18"/>
                <w:szCs w:val="18"/>
                <w:lang w:val="en-US"/>
              </w:rPr>
              <w:t>Chair of Committees</w:t>
            </w:r>
          </w:p>
        </w:tc>
        <w:tc>
          <w:tcPr>
            <w:tcW w:w="2551" w:type="dxa"/>
            <w:shd w:val="clear" w:color="auto" w:fill="auto"/>
            <w:vAlign w:val="center"/>
          </w:tcPr>
          <w:p w:rsidR="0096612F" w:rsidRPr="0096612F" w:rsidRDefault="0096612F" w:rsidP="0096612F">
            <w:pPr>
              <w:jc w:val="center"/>
              <w:rPr>
                <w:sz w:val="18"/>
                <w:szCs w:val="18"/>
                <w:lang w:val="en-US"/>
              </w:rPr>
            </w:pPr>
            <w:r w:rsidRPr="0096612F">
              <w:rPr>
                <w:sz w:val="18"/>
                <w:szCs w:val="18"/>
                <w:lang w:val="en-US"/>
              </w:rPr>
              <w:t>20</w:t>
            </w:r>
          </w:p>
        </w:tc>
      </w:tr>
      <w:tr w:rsidR="0096612F" w:rsidRPr="0096612F" w:rsidTr="0096612F">
        <w:tc>
          <w:tcPr>
            <w:tcW w:w="2802" w:type="dxa"/>
            <w:tcBorders>
              <w:bottom w:val="single" w:sz="4" w:space="0" w:color="auto"/>
            </w:tcBorders>
            <w:shd w:val="clear" w:color="auto" w:fill="auto"/>
            <w:vAlign w:val="center"/>
          </w:tcPr>
          <w:p w:rsidR="0096612F" w:rsidRPr="0096612F" w:rsidRDefault="0096612F" w:rsidP="0096612F">
            <w:pPr>
              <w:rPr>
                <w:sz w:val="18"/>
                <w:szCs w:val="18"/>
                <w:lang w:val="en-US"/>
              </w:rPr>
            </w:pPr>
            <w:r w:rsidRPr="0096612F">
              <w:rPr>
                <w:sz w:val="18"/>
                <w:szCs w:val="18"/>
                <w:lang w:val="en-US"/>
              </w:rPr>
              <w:t>Deputy Leader for the Government</w:t>
            </w:r>
          </w:p>
        </w:tc>
        <w:tc>
          <w:tcPr>
            <w:tcW w:w="2551" w:type="dxa"/>
            <w:tcBorders>
              <w:bottom w:val="single" w:sz="4" w:space="0" w:color="auto"/>
            </w:tcBorders>
            <w:shd w:val="clear" w:color="auto" w:fill="auto"/>
            <w:vAlign w:val="center"/>
          </w:tcPr>
          <w:p w:rsidR="0096612F" w:rsidRPr="0096612F" w:rsidRDefault="0096612F" w:rsidP="0096612F">
            <w:pPr>
              <w:jc w:val="center"/>
              <w:rPr>
                <w:sz w:val="18"/>
                <w:szCs w:val="18"/>
                <w:lang w:val="en-US"/>
              </w:rPr>
            </w:pPr>
            <w:r w:rsidRPr="0096612F">
              <w:rPr>
                <w:sz w:val="18"/>
                <w:szCs w:val="18"/>
                <w:lang w:val="en-US"/>
              </w:rPr>
              <w:t>35</w:t>
            </w:r>
          </w:p>
        </w:tc>
      </w:tr>
      <w:tr w:rsidR="0096612F" w:rsidRPr="0096612F" w:rsidTr="0096612F">
        <w:tc>
          <w:tcPr>
            <w:tcW w:w="2802" w:type="dxa"/>
            <w:tcBorders>
              <w:left w:val="single" w:sz="4" w:space="0" w:color="auto"/>
              <w:right w:val="nil"/>
            </w:tcBorders>
            <w:shd w:val="clear" w:color="auto" w:fill="auto"/>
            <w:vAlign w:val="center"/>
          </w:tcPr>
          <w:p w:rsidR="0096612F" w:rsidRPr="0096612F" w:rsidRDefault="0096612F" w:rsidP="0096612F">
            <w:pPr>
              <w:rPr>
                <w:i/>
                <w:sz w:val="18"/>
                <w:szCs w:val="18"/>
                <w:lang w:val="en-US"/>
              </w:rPr>
            </w:pPr>
            <w:r w:rsidRPr="0096612F">
              <w:rPr>
                <w:i/>
                <w:sz w:val="18"/>
                <w:szCs w:val="18"/>
                <w:lang w:val="en-US"/>
              </w:rPr>
              <w:t>House of Assembly</w:t>
            </w:r>
          </w:p>
        </w:tc>
        <w:tc>
          <w:tcPr>
            <w:tcW w:w="2551" w:type="dxa"/>
            <w:tcBorders>
              <w:left w:val="nil"/>
              <w:right w:val="nil"/>
            </w:tcBorders>
            <w:shd w:val="clear" w:color="auto" w:fill="auto"/>
            <w:vAlign w:val="center"/>
          </w:tcPr>
          <w:p w:rsidR="0096612F" w:rsidRPr="0096612F" w:rsidRDefault="0096612F" w:rsidP="0096612F">
            <w:pPr>
              <w:jc w:val="center"/>
              <w:rPr>
                <w:i/>
                <w:sz w:val="18"/>
                <w:szCs w:val="18"/>
                <w:lang w:val="en-US"/>
              </w:rPr>
            </w:pPr>
          </w:p>
        </w:tc>
      </w:tr>
      <w:tr w:rsidR="0096612F" w:rsidRPr="0096612F" w:rsidTr="0096612F">
        <w:tc>
          <w:tcPr>
            <w:tcW w:w="2802" w:type="dxa"/>
            <w:shd w:val="clear" w:color="auto" w:fill="auto"/>
            <w:vAlign w:val="center"/>
          </w:tcPr>
          <w:p w:rsidR="0096612F" w:rsidRPr="0096612F" w:rsidRDefault="0096612F" w:rsidP="0096612F">
            <w:pPr>
              <w:rPr>
                <w:sz w:val="18"/>
                <w:szCs w:val="18"/>
                <w:lang w:val="en-US"/>
              </w:rPr>
            </w:pPr>
            <w:r w:rsidRPr="0096612F">
              <w:rPr>
                <w:sz w:val="18"/>
                <w:szCs w:val="18"/>
                <w:lang w:val="en-US"/>
              </w:rPr>
              <w:t>Speaker</w:t>
            </w:r>
          </w:p>
        </w:tc>
        <w:tc>
          <w:tcPr>
            <w:tcW w:w="2551" w:type="dxa"/>
            <w:shd w:val="clear" w:color="auto" w:fill="auto"/>
            <w:vAlign w:val="center"/>
          </w:tcPr>
          <w:p w:rsidR="0096612F" w:rsidRPr="0096612F" w:rsidRDefault="0096612F" w:rsidP="0096612F">
            <w:pPr>
              <w:jc w:val="center"/>
              <w:rPr>
                <w:sz w:val="18"/>
                <w:szCs w:val="18"/>
                <w:lang w:val="en-US"/>
              </w:rPr>
            </w:pPr>
            <w:r w:rsidRPr="0096612F">
              <w:rPr>
                <w:sz w:val="18"/>
                <w:szCs w:val="18"/>
                <w:lang w:val="en-US"/>
              </w:rPr>
              <w:t>35</w:t>
            </w:r>
          </w:p>
        </w:tc>
      </w:tr>
      <w:tr w:rsidR="0096612F" w:rsidRPr="0096612F" w:rsidTr="0096612F">
        <w:tc>
          <w:tcPr>
            <w:tcW w:w="2802" w:type="dxa"/>
            <w:shd w:val="clear" w:color="auto" w:fill="auto"/>
            <w:vAlign w:val="center"/>
          </w:tcPr>
          <w:p w:rsidR="0096612F" w:rsidRPr="0096612F" w:rsidRDefault="0096612F" w:rsidP="0096612F">
            <w:pPr>
              <w:rPr>
                <w:sz w:val="18"/>
                <w:szCs w:val="18"/>
                <w:lang w:val="en-US"/>
              </w:rPr>
            </w:pPr>
            <w:r w:rsidRPr="0096612F">
              <w:rPr>
                <w:sz w:val="18"/>
                <w:szCs w:val="18"/>
                <w:lang w:val="en-US"/>
              </w:rPr>
              <w:t>Chair of Committees</w:t>
            </w:r>
          </w:p>
        </w:tc>
        <w:tc>
          <w:tcPr>
            <w:tcW w:w="2551" w:type="dxa"/>
            <w:shd w:val="clear" w:color="auto" w:fill="auto"/>
            <w:vAlign w:val="center"/>
          </w:tcPr>
          <w:p w:rsidR="0096612F" w:rsidRPr="0096612F" w:rsidRDefault="0096612F" w:rsidP="0096612F">
            <w:pPr>
              <w:jc w:val="center"/>
              <w:rPr>
                <w:sz w:val="18"/>
                <w:szCs w:val="18"/>
                <w:lang w:val="en-US"/>
              </w:rPr>
            </w:pPr>
            <w:r w:rsidRPr="0096612F">
              <w:rPr>
                <w:sz w:val="18"/>
                <w:szCs w:val="18"/>
                <w:lang w:val="en-US"/>
              </w:rPr>
              <w:t>20</w:t>
            </w:r>
          </w:p>
        </w:tc>
      </w:tr>
      <w:tr w:rsidR="0096612F" w:rsidRPr="0096612F" w:rsidTr="0096612F">
        <w:tc>
          <w:tcPr>
            <w:tcW w:w="2802" w:type="dxa"/>
            <w:shd w:val="clear" w:color="auto" w:fill="auto"/>
            <w:vAlign w:val="center"/>
          </w:tcPr>
          <w:p w:rsidR="0096612F" w:rsidRPr="0096612F" w:rsidRDefault="0096612F" w:rsidP="0096612F">
            <w:pPr>
              <w:rPr>
                <w:sz w:val="18"/>
                <w:szCs w:val="18"/>
                <w:lang w:val="en-US"/>
              </w:rPr>
            </w:pPr>
            <w:r w:rsidRPr="0096612F">
              <w:rPr>
                <w:sz w:val="18"/>
                <w:szCs w:val="18"/>
                <w:lang w:val="en-US"/>
              </w:rPr>
              <w:t>Leader of the Opposition</w:t>
            </w:r>
          </w:p>
        </w:tc>
        <w:tc>
          <w:tcPr>
            <w:tcW w:w="2551" w:type="dxa"/>
            <w:shd w:val="clear" w:color="auto" w:fill="auto"/>
            <w:vAlign w:val="center"/>
          </w:tcPr>
          <w:p w:rsidR="0096612F" w:rsidRPr="0096612F" w:rsidRDefault="0096612F" w:rsidP="0096612F">
            <w:pPr>
              <w:jc w:val="center"/>
              <w:rPr>
                <w:sz w:val="18"/>
                <w:szCs w:val="18"/>
                <w:lang w:val="en-US"/>
              </w:rPr>
            </w:pPr>
            <w:r w:rsidRPr="0096612F">
              <w:rPr>
                <w:sz w:val="18"/>
                <w:szCs w:val="18"/>
                <w:lang w:val="en-US"/>
              </w:rPr>
              <w:t>70</w:t>
            </w:r>
          </w:p>
        </w:tc>
      </w:tr>
      <w:tr w:rsidR="0096612F" w:rsidRPr="0096612F" w:rsidTr="0096612F">
        <w:tc>
          <w:tcPr>
            <w:tcW w:w="2802" w:type="dxa"/>
            <w:shd w:val="clear" w:color="auto" w:fill="auto"/>
            <w:vAlign w:val="center"/>
          </w:tcPr>
          <w:p w:rsidR="0096612F" w:rsidRPr="0096612F" w:rsidRDefault="0096612F" w:rsidP="0096612F">
            <w:pPr>
              <w:rPr>
                <w:sz w:val="18"/>
                <w:szCs w:val="18"/>
                <w:lang w:val="en-US"/>
              </w:rPr>
            </w:pPr>
            <w:r w:rsidRPr="0096612F">
              <w:rPr>
                <w:sz w:val="18"/>
                <w:szCs w:val="18"/>
                <w:lang w:val="en-US"/>
              </w:rPr>
              <w:t>Deputy Leader of the Opposition</w:t>
            </w:r>
          </w:p>
        </w:tc>
        <w:tc>
          <w:tcPr>
            <w:tcW w:w="2551" w:type="dxa"/>
            <w:shd w:val="clear" w:color="auto" w:fill="auto"/>
            <w:vAlign w:val="center"/>
          </w:tcPr>
          <w:p w:rsidR="0096612F" w:rsidRPr="0096612F" w:rsidRDefault="0096612F" w:rsidP="0096612F">
            <w:pPr>
              <w:jc w:val="center"/>
              <w:rPr>
                <w:sz w:val="18"/>
                <w:szCs w:val="18"/>
                <w:lang w:val="en-US"/>
              </w:rPr>
            </w:pPr>
            <w:r w:rsidRPr="0096612F">
              <w:rPr>
                <w:sz w:val="18"/>
                <w:szCs w:val="18"/>
                <w:lang w:val="en-US"/>
              </w:rPr>
              <w:t>35</w:t>
            </w:r>
          </w:p>
        </w:tc>
      </w:tr>
      <w:tr w:rsidR="0096612F" w:rsidRPr="0096612F" w:rsidTr="0096612F">
        <w:tc>
          <w:tcPr>
            <w:tcW w:w="2802" w:type="dxa"/>
            <w:shd w:val="clear" w:color="auto" w:fill="auto"/>
            <w:vAlign w:val="center"/>
          </w:tcPr>
          <w:p w:rsidR="0096612F" w:rsidRPr="0096612F" w:rsidRDefault="0096612F" w:rsidP="0096612F">
            <w:pPr>
              <w:rPr>
                <w:sz w:val="18"/>
                <w:szCs w:val="18"/>
                <w:lang w:val="en-US"/>
              </w:rPr>
            </w:pPr>
            <w:r w:rsidRPr="0096612F">
              <w:rPr>
                <w:sz w:val="18"/>
                <w:szCs w:val="18"/>
                <w:lang w:val="en-US"/>
              </w:rPr>
              <w:t>Government Whip</w:t>
            </w:r>
          </w:p>
        </w:tc>
        <w:tc>
          <w:tcPr>
            <w:tcW w:w="2551" w:type="dxa"/>
            <w:shd w:val="clear" w:color="auto" w:fill="auto"/>
            <w:vAlign w:val="center"/>
          </w:tcPr>
          <w:p w:rsidR="0096612F" w:rsidRPr="0096612F" w:rsidRDefault="0096612F" w:rsidP="0096612F">
            <w:pPr>
              <w:jc w:val="center"/>
              <w:rPr>
                <w:sz w:val="18"/>
                <w:szCs w:val="18"/>
                <w:lang w:val="en-US"/>
              </w:rPr>
            </w:pPr>
            <w:r w:rsidRPr="0096612F">
              <w:rPr>
                <w:sz w:val="18"/>
                <w:szCs w:val="18"/>
                <w:lang w:val="en-US"/>
              </w:rPr>
              <w:t>6</w:t>
            </w:r>
          </w:p>
        </w:tc>
      </w:tr>
      <w:tr w:rsidR="0096612F" w:rsidRPr="0096612F" w:rsidTr="0096612F">
        <w:tc>
          <w:tcPr>
            <w:tcW w:w="2802" w:type="dxa"/>
            <w:shd w:val="clear" w:color="auto" w:fill="auto"/>
            <w:vAlign w:val="center"/>
          </w:tcPr>
          <w:p w:rsidR="0096612F" w:rsidRPr="0096612F" w:rsidRDefault="0096612F" w:rsidP="0096612F">
            <w:pPr>
              <w:rPr>
                <w:sz w:val="18"/>
                <w:szCs w:val="18"/>
                <w:lang w:val="en-US"/>
              </w:rPr>
            </w:pPr>
            <w:r w:rsidRPr="0096612F">
              <w:rPr>
                <w:sz w:val="18"/>
                <w:szCs w:val="18"/>
                <w:lang w:val="en-US"/>
              </w:rPr>
              <w:t>Opposition Whip</w:t>
            </w:r>
          </w:p>
        </w:tc>
        <w:tc>
          <w:tcPr>
            <w:tcW w:w="2551" w:type="dxa"/>
            <w:shd w:val="clear" w:color="auto" w:fill="auto"/>
            <w:vAlign w:val="center"/>
          </w:tcPr>
          <w:p w:rsidR="0096612F" w:rsidRPr="0096612F" w:rsidRDefault="0096612F" w:rsidP="0096612F">
            <w:pPr>
              <w:jc w:val="center"/>
              <w:rPr>
                <w:sz w:val="18"/>
                <w:szCs w:val="18"/>
                <w:lang w:val="en-US"/>
              </w:rPr>
            </w:pPr>
            <w:r w:rsidRPr="0096612F">
              <w:rPr>
                <w:sz w:val="18"/>
                <w:szCs w:val="18"/>
                <w:lang w:val="en-US"/>
              </w:rPr>
              <w:t>6</w:t>
            </w:r>
          </w:p>
        </w:tc>
      </w:tr>
    </w:tbl>
    <w:p w:rsidR="0096612F" w:rsidRPr="0096612F" w:rsidRDefault="0096612F" w:rsidP="0096612F">
      <w:pPr>
        <w:ind w:left="360"/>
        <w:jc w:val="both"/>
        <w:rPr>
          <w:sz w:val="18"/>
          <w:szCs w:val="18"/>
          <w:lang w:val="en-US"/>
        </w:rPr>
      </w:pPr>
    </w:p>
    <w:p w:rsidR="0096612F" w:rsidRPr="0096612F" w:rsidRDefault="0096612F" w:rsidP="0096612F">
      <w:pPr>
        <w:pStyle w:val="textbasic"/>
      </w:pPr>
      <w:bookmarkStart w:id="10" w:name="_Toc440377791"/>
      <w:r w:rsidRPr="0096612F">
        <w:t>2.2</w:t>
      </w:r>
      <w:r w:rsidRPr="0096612F">
        <w:tab/>
        <w:t xml:space="preserve">Additional Salary (refer clause 5 of Part 2 of Schedule 1 </w:t>
      </w:r>
      <w:r w:rsidR="00F42474">
        <w:t>to</w:t>
      </w:r>
      <w:r w:rsidRPr="0096612F">
        <w:t xml:space="preserve"> the 2012 Act)</w:t>
      </w:r>
      <w:bookmarkEnd w:id="10"/>
    </w:p>
    <w:p w:rsidR="0096612F" w:rsidRPr="0096612F" w:rsidRDefault="0096612F" w:rsidP="0096612F">
      <w:pPr>
        <w:ind w:left="1701" w:hanging="567"/>
        <w:jc w:val="both"/>
        <w:rPr>
          <w:sz w:val="18"/>
          <w:szCs w:val="18"/>
        </w:rPr>
      </w:pPr>
      <w:r w:rsidRPr="0096612F">
        <w:rPr>
          <w:sz w:val="18"/>
          <w:szCs w:val="18"/>
        </w:rPr>
        <w:t>(1)</w:t>
      </w:r>
      <w:r w:rsidRPr="0096612F">
        <w:rPr>
          <w:sz w:val="18"/>
          <w:szCs w:val="18"/>
        </w:rPr>
        <w:tab/>
        <w:t xml:space="preserve">From 1 July 2016 to 30 June 2018, the amount of the additional salary to be paid to the holder of an office specified in Table 2 of Part 2 of Schedule 1 </w:t>
      </w:r>
      <w:r w:rsidR="0057767E">
        <w:rPr>
          <w:sz w:val="18"/>
          <w:szCs w:val="18"/>
        </w:rPr>
        <w:t xml:space="preserve">to the 2012 Act </w:t>
      </w:r>
      <w:r w:rsidRPr="0096612F">
        <w:rPr>
          <w:sz w:val="18"/>
          <w:szCs w:val="18"/>
        </w:rPr>
        <w:t xml:space="preserve">is the percentage of basic salary specified opposite the office in the following table </w:t>
      </w:r>
      <w:r w:rsidR="00E14D34">
        <w:rPr>
          <w:sz w:val="18"/>
          <w:szCs w:val="18"/>
        </w:rPr>
        <w:t>(</w:t>
      </w:r>
      <w:r w:rsidRPr="0096612F">
        <w:rPr>
          <w:sz w:val="18"/>
          <w:szCs w:val="18"/>
        </w:rPr>
        <w:t>Table B</w:t>
      </w:r>
      <w:r w:rsidR="00E14D34">
        <w:rPr>
          <w:sz w:val="18"/>
          <w:szCs w:val="18"/>
        </w:rPr>
        <w:t>)</w:t>
      </w:r>
      <w:r w:rsidRPr="0096612F">
        <w:rPr>
          <w:sz w:val="18"/>
          <w:szCs w:val="18"/>
        </w:rPr>
        <w:t>.</w:t>
      </w:r>
    </w:p>
    <w:p w:rsidR="0096612F" w:rsidRPr="0096612F" w:rsidRDefault="0096612F" w:rsidP="0096612F">
      <w:pPr>
        <w:ind w:left="1080"/>
        <w:jc w:val="both"/>
        <w:rPr>
          <w:b/>
          <w:sz w:val="18"/>
          <w:szCs w:val="18"/>
          <w:lang w:val="en-US"/>
        </w:rPr>
      </w:pPr>
      <w:r w:rsidRPr="0096612F">
        <w:rPr>
          <w:b/>
          <w:sz w:val="18"/>
          <w:szCs w:val="18"/>
          <w:lang w:val="en-US"/>
        </w:rPr>
        <w:t>Table B – Additional Salary from 1 July 2016 to 30 June</w:t>
      </w:r>
      <w:r w:rsidR="0015640D">
        <w:rPr>
          <w:b/>
          <w:sz w:val="18"/>
          <w:szCs w:val="18"/>
          <w:lang w:val="en-US"/>
        </w:rPr>
        <w:t xml:space="preserve"> </w:t>
      </w:r>
      <w:r w:rsidRPr="0096612F">
        <w:rPr>
          <w:b/>
          <w:sz w:val="18"/>
          <w:szCs w:val="18"/>
          <w:lang w:val="en-US"/>
        </w:rPr>
        <w:t xml:space="preserve">2018 for MPs who are the holder of an office specified in Table 2 of Part 2 of Schedule 1 </w:t>
      </w:r>
      <w:r w:rsidR="00F42474">
        <w:rPr>
          <w:b/>
          <w:sz w:val="18"/>
          <w:szCs w:val="18"/>
          <w:lang w:val="en-US"/>
        </w:rPr>
        <w:t>to</w:t>
      </w:r>
      <w:r w:rsidRPr="0096612F">
        <w:rPr>
          <w:b/>
          <w:sz w:val="18"/>
          <w:szCs w:val="18"/>
          <w:lang w:val="en-US"/>
        </w:rPr>
        <w:t xml:space="preserve"> the 2012 Act</w:t>
      </w:r>
      <w:r w:rsidRPr="0096612F">
        <w:rPr>
          <w:b/>
          <w:sz w:val="18"/>
          <w:szCs w:val="18"/>
          <w:vertAlign w:val="superscript"/>
          <w:lang w:val="en-US"/>
        </w:rPr>
        <w:footnoteReference w:id="2"/>
      </w:r>
    </w:p>
    <w:tbl>
      <w:tblPr>
        <w:tblW w:w="5353" w:type="dxa"/>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51"/>
      </w:tblGrid>
      <w:tr w:rsidR="0096612F" w:rsidRPr="0096612F" w:rsidTr="00327CCC">
        <w:trPr>
          <w:cantSplit/>
          <w:tblHeader/>
        </w:trPr>
        <w:tc>
          <w:tcPr>
            <w:tcW w:w="2802" w:type="dxa"/>
            <w:tcBorders>
              <w:bottom w:val="single" w:sz="4" w:space="0" w:color="auto"/>
            </w:tcBorders>
            <w:shd w:val="clear" w:color="auto" w:fill="D9D9D9" w:themeFill="background1" w:themeFillShade="D9"/>
          </w:tcPr>
          <w:p w:rsidR="0096612F" w:rsidRPr="0096612F" w:rsidRDefault="0096612F" w:rsidP="0096612F">
            <w:pPr>
              <w:jc w:val="center"/>
              <w:rPr>
                <w:b/>
                <w:sz w:val="18"/>
                <w:szCs w:val="18"/>
                <w:lang w:val="en-US"/>
              </w:rPr>
            </w:pPr>
            <w:r w:rsidRPr="0096612F">
              <w:rPr>
                <w:b/>
                <w:sz w:val="18"/>
                <w:szCs w:val="18"/>
                <w:lang w:val="en-US"/>
              </w:rPr>
              <w:t>Office</w:t>
            </w:r>
          </w:p>
        </w:tc>
        <w:tc>
          <w:tcPr>
            <w:tcW w:w="2551" w:type="dxa"/>
            <w:tcBorders>
              <w:bottom w:val="single" w:sz="4" w:space="0" w:color="auto"/>
            </w:tcBorders>
            <w:shd w:val="clear" w:color="auto" w:fill="D9D9D9" w:themeFill="background1" w:themeFillShade="D9"/>
          </w:tcPr>
          <w:p w:rsidR="0096612F" w:rsidRPr="0096612F" w:rsidRDefault="0096612F" w:rsidP="0096612F">
            <w:pPr>
              <w:jc w:val="center"/>
              <w:rPr>
                <w:b/>
                <w:sz w:val="18"/>
                <w:szCs w:val="18"/>
                <w:lang w:val="en-US"/>
              </w:rPr>
            </w:pPr>
            <w:r w:rsidRPr="0096612F">
              <w:rPr>
                <w:b/>
                <w:sz w:val="18"/>
                <w:szCs w:val="18"/>
                <w:lang w:val="en-US"/>
              </w:rPr>
              <w:t>Additional Salary</w:t>
            </w:r>
            <w:r w:rsidRPr="0096612F">
              <w:rPr>
                <w:b/>
                <w:sz w:val="18"/>
                <w:szCs w:val="18"/>
                <w:lang w:val="en-US"/>
              </w:rPr>
              <w:br/>
              <w:t>(percentage of basic salary)</w:t>
            </w:r>
          </w:p>
        </w:tc>
      </w:tr>
      <w:tr w:rsidR="0096612F" w:rsidRPr="0096612F" w:rsidTr="0096612F">
        <w:tc>
          <w:tcPr>
            <w:tcW w:w="2802" w:type="dxa"/>
            <w:shd w:val="clear" w:color="auto" w:fill="auto"/>
            <w:vAlign w:val="center"/>
          </w:tcPr>
          <w:p w:rsidR="0096612F" w:rsidRPr="0096612F" w:rsidRDefault="0096612F" w:rsidP="0096612F">
            <w:pPr>
              <w:rPr>
                <w:sz w:val="18"/>
                <w:szCs w:val="18"/>
                <w:lang w:val="en-US"/>
              </w:rPr>
            </w:pPr>
            <w:r w:rsidRPr="0096612F">
              <w:rPr>
                <w:sz w:val="18"/>
                <w:szCs w:val="18"/>
                <w:lang w:val="en-US"/>
              </w:rPr>
              <w:t>Leader of a recognised non-government party, other than the Opposition</w:t>
            </w:r>
          </w:p>
        </w:tc>
        <w:tc>
          <w:tcPr>
            <w:tcW w:w="2551" w:type="dxa"/>
            <w:shd w:val="clear" w:color="auto" w:fill="auto"/>
            <w:vAlign w:val="center"/>
          </w:tcPr>
          <w:p w:rsidR="0096612F" w:rsidRPr="0096612F" w:rsidRDefault="0096612F" w:rsidP="0096612F">
            <w:pPr>
              <w:jc w:val="center"/>
              <w:rPr>
                <w:sz w:val="18"/>
                <w:szCs w:val="18"/>
                <w:lang w:val="en-US"/>
              </w:rPr>
            </w:pPr>
            <w:r w:rsidRPr="0096612F">
              <w:rPr>
                <w:sz w:val="18"/>
                <w:szCs w:val="18"/>
                <w:lang w:val="en-US"/>
              </w:rPr>
              <w:t>35</w:t>
            </w:r>
          </w:p>
        </w:tc>
      </w:tr>
    </w:tbl>
    <w:p w:rsidR="0096612F" w:rsidRPr="0096612F" w:rsidRDefault="0096612F" w:rsidP="0096612F">
      <w:pPr>
        <w:ind w:left="360"/>
        <w:jc w:val="both"/>
        <w:rPr>
          <w:sz w:val="18"/>
          <w:szCs w:val="18"/>
          <w:lang w:val="en-US"/>
        </w:rPr>
      </w:pPr>
    </w:p>
    <w:p w:rsidR="00975ECD" w:rsidRDefault="00975ECD">
      <w:pPr>
        <w:spacing w:after="0"/>
        <w:rPr>
          <w:rFonts w:eastAsia="Arial"/>
          <w:b/>
          <w:bCs/>
          <w:iCs/>
          <w:sz w:val="18"/>
          <w:szCs w:val="18"/>
          <w:lang w:val="en-US"/>
        </w:rPr>
      </w:pPr>
      <w:bookmarkStart w:id="11" w:name="_Toc440377792"/>
      <w:r>
        <w:rPr>
          <w:b/>
        </w:rPr>
        <w:br w:type="page"/>
      </w:r>
    </w:p>
    <w:p w:rsidR="0096612F" w:rsidRPr="00E14D34" w:rsidRDefault="0096612F" w:rsidP="00E14D34">
      <w:pPr>
        <w:pStyle w:val="Heading2"/>
        <w:ind w:left="720" w:hanging="720"/>
      </w:pPr>
      <w:bookmarkStart w:id="12" w:name="_Toc443486900"/>
      <w:r w:rsidRPr="00E14D34">
        <w:rPr>
          <w:b/>
        </w:rPr>
        <w:lastRenderedPageBreak/>
        <w:t>3</w:t>
      </w:r>
      <w:r w:rsidRPr="00E14D34">
        <w:rPr>
          <w:b/>
        </w:rPr>
        <w:tab/>
        <w:t>Allowances</w:t>
      </w:r>
      <w:r w:rsidRPr="00E14D34">
        <w:rPr>
          <w:b/>
          <w:vertAlign w:val="superscript"/>
        </w:rPr>
        <w:footnoteReference w:id="3"/>
      </w:r>
      <w:bookmarkEnd w:id="11"/>
      <w:r w:rsidR="001C5565" w:rsidRPr="00E14D34">
        <w:rPr>
          <w:b/>
        </w:rPr>
        <w:t xml:space="preserve"> </w:t>
      </w:r>
      <w:r w:rsidR="00E14D34">
        <w:rPr>
          <w:b/>
        </w:rPr>
        <w:br/>
      </w:r>
      <w:r w:rsidR="001C5565" w:rsidRPr="00E14D34">
        <w:rPr>
          <w:lang w:val="en-AU"/>
        </w:rPr>
        <w:t xml:space="preserve">(refer clause 1(3) of Schedule 2 </w:t>
      </w:r>
      <w:r w:rsidR="00F42474">
        <w:rPr>
          <w:lang w:val="en-AU"/>
        </w:rPr>
        <w:t>to</w:t>
      </w:r>
      <w:r w:rsidR="001C5565" w:rsidRPr="00E14D34">
        <w:rPr>
          <w:lang w:val="en-AU"/>
        </w:rPr>
        <w:t xml:space="preserve"> the 2012 Act)</w:t>
      </w:r>
      <w:bookmarkEnd w:id="12"/>
    </w:p>
    <w:p w:rsidR="0096612F" w:rsidRPr="0096612F" w:rsidRDefault="0096612F" w:rsidP="0096612F">
      <w:pPr>
        <w:pStyle w:val="textbasic"/>
      </w:pPr>
      <w:bookmarkStart w:id="13" w:name="_Toc440377793"/>
      <w:r w:rsidRPr="0096612F">
        <w:t>3.1</w:t>
      </w:r>
      <w:r w:rsidRPr="0096612F">
        <w:tab/>
        <w:t xml:space="preserve">Motor Vehicle Allowance </w:t>
      </w:r>
      <w:bookmarkEnd w:id="13"/>
    </w:p>
    <w:p w:rsidR="0096612F" w:rsidRPr="0096612F" w:rsidRDefault="00F42474" w:rsidP="00E8097F">
      <w:pPr>
        <w:ind w:left="1701" w:hanging="567"/>
        <w:jc w:val="both"/>
        <w:rPr>
          <w:sz w:val="18"/>
          <w:szCs w:val="18"/>
          <w:lang w:val="en-US"/>
        </w:rPr>
      </w:pPr>
      <w:r>
        <w:rPr>
          <w:sz w:val="18"/>
          <w:szCs w:val="18"/>
          <w:lang w:val="en-US"/>
        </w:rPr>
        <w:t>(1)</w:t>
      </w:r>
      <w:r>
        <w:rPr>
          <w:sz w:val="18"/>
          <w:szCs w:val="18"/>
          <w:lang w:val="en-US"/>
        </w:rPr>
        <w:tab/>
        <w:t>F</w:t>
      </w:r>
      <w:r w:rsidR="0096612F" w:rsidRPr="0096612F">
        <w:rPr>
          <w:sz w:val="18"/>
          <w:szCs w:val="18"/>
          <w:lang w:val="en-US"/>
        </w:rPr>
        <w:t xml:space="preserve">rom 1 July 2016 to 30 June 2017, the amount of the Motor Vehicle Allowance </w:t>
      </w:r>
      <w:r w:rsidR="0096612F" w:rsidRPr="00FB43A8">
        <w:rPr>
          <w:sz w:val="18"/>
          <w:szCs w:val="18"/>
          <w:lang w:val="en-US"/>
        </w:rPr>
        <w:t>is $</w:t>
      </w:r>
      <w:r w:rsidR="00D54B33" w:rsidRPr="00FB43A8">
        <w:rPr>
          <w:sz w:val="18"/>
          <w:szCs w:val="18"/>
          <w:lang w:val="en-US"/>
        </w:rPr>
        <w:t>15 613</w:t>
      </w:r>
      <w:r w:rsidR="0096612F" w:rsidRPr="00FB43A8">
        <w:rPr>
          <w:sz w:val="18"/>
          <w:szCs w:val="18"/>
          <w:lang w:val="en-US"/>
        </w:rPr>
        <w:t xml:space="preserve"> </w:t>
      </w:r>
      <w:r w:rsidRPr="00FB43A8">
        <w:rPr>
          <w:sz w:val="18"/>
          <w:szCs w:val="18"/>
          <w:lang w:val="en-US"/>
        </w:rPr>
        <w:t>p</w:t>
      </w:r>
      <w:r w:rsidR="0096612F" w:rsidRPr="00FB43A8">
        <w:rPr>
          <w:sz w:val="18"/>
          <w:szCs w:val="18"/>
          <w:lang w:val="en-US"/>
        </w:rPr>
        <w:t>a</w:t>
      </w:r>
      <w:r w:rsidRPr="00FB43A8">
        <w:rPr>
          <w:sz w:val="18"/>
          <w:szCs w:val="18"/>
          <w:lang w:val="en-US"/>
        </w:rPr>
        <w:t>.</w:t>
      </w:r>
      <w:r w:rsidR="0096612F" w:rsidRPr="0096612F">
        <w:rPr>
          <w:sz w:val="18"/>
          <w:szCs w:val="18"/>
          <w:lang w:val="en-US"/>
        </w:rPr>
        <w:t xml:space="preserve"> </w:t>
      </w:r>
    </w:p>
    <w:p w:rsidR="00F42474" w:rsidRDefault="00F42474" w:rsidP="00E8097F">
      <w:pPr>
        <w:ind w:left="1701" w:hanging="567"/>
        <w:jc w:val="both"/>
        <w:rPr>
          <w:sz w:val="18"/>
          <w:szCs w:val="18"/>
          <w:lang w:val="en-US"/>
        </w:rPr>
      </w:pPr>
      <w:r>
        <w:rPr>
          <w:sz w:val="18"/>
          <w:szCs w:val="18"/>
          <w:lang w:val="en-US"/>
        </w:rPr>
        <w:t>(2)</w:t>
      </w:r>
      <w:r>
        <w:rPr>
          <w:sz w:val="18"/>
          <w:szCs w:val="18"/>
          <w:lang w:val="en-US"/>
        </w:rPr>
        <w:tab/>
        <w:t>F</w:t>
      </w:r>
      <w:r w:rsidR="0096612F" w:rsidRPr="0096612F">
        <w:rPr>
          <w:sz w:val="18"/>
          <w:szCs w:val="18"/>
          <w:lang w:val="en-US"/>
        </w:rPr>
        <w:t xml:space="preserve">rom 1 July 2017 to 30 June 2018 the amount of the Motor Vehicle Allowance is to be </w:t>
      </w:r>
      <w:r w:rsidR="0096612F" w:rsidRPr="00D54B33">
        <w:rPr>
          <w:sz w:val="18"/>
          <w:szCs w:val="18"/>
          <w:lang w:val="en-US"/>
        </w:rPr>
        <w:t>$</w:t>
      </w:r>
      <w:r w:rsidR="00D54B33">
        <w:rPr>
          <w:sz w:val="18"/>
          <w:szCs w:val="18"/>
          <w:lang w:val="en-US"/>
        </w:rPr>
        <w:t>15 613</w:t>
      </w:r>
      <w:r w:rsidR="0096612F" w:rsidRPr="0096612F">
        <w:rPr>
          <w:sz w:val="18"/>
          <w:szCs w:val="18"/>
          <w:lang w:val="en-US"/>
        </w:rPr>
        <w:t xml:space="preserve"> pa plus either</w:t>
      </w:r>
      <w:r>
        <w:rPr>
          <w:sz w:val="18"/>
          <w:szCs w:val="18"/>
          <w:lang w:val="en-US"/>
        </w:rPr>
        <w:t>:</w:t>
      </w:r>
      <w:r w:rsidR="0096612F" w:rsidRPr="0096612F">
        <w:rPr>
          <w:sz w:val="18"/>
          <w:szCs w:val="18"/>
          <w:lang w:val="en-US"/>
        </w:rPr>
        <w:t xml:space="preserve"> </w:t>
      </w:r>
    </w:p>
    <w:p w:rsidR="00F42474" w:rsidRDefault="00F42474" w:rsidP="00E8097F">
      <w:pPr>
        <w:ind w:left="2127" w:hanging="426"/>
        <w:jc w:val="both"/>
        <w:rPr>
          <w:sz w:val="18"/>
          <w:szCs w:val="18"/>
          <w:lang w:val="en-US"/>
        </w:rPr>
      </w:pPr>
      <w:r>
        <w:rPr>
          <w:sz w:val="18"/>
          <w:szCs w:val="18"/>
          <w:lang w:val="en-US"/>
        </w:rPr>
        <w:t>(a)</w:t>
      </w:r>
      <w:r>
        <w:rPr>
          <w:sz w:val="18"/>
          <w:szCs w:val="18"/>
          <w:lang w:val="en-US"/>
        </w:rPr>
        <w:tab/>
      </w:r>
      <w:r w:rsidR="0096612F" w:rsidRPr="0096612F">
        <w:rPr>
          <w:sz w:val="18"/>
          <w:szCs w:val="18"/>
          <w:lang w:val="en-US"/>
        </w:rPr>
        <w:t>an amount equal to $</w:t>
      </w:r>
      <w:r w:rsidR="00D54B33">
        <w:rPr>
          <w:sz w:val="18"/>
          <w:szCs w:val="18"/>
          <w:lang w:val="en-US"/>
        </w:rPr>
        <w:t>15 613</w:t>
      </w:r>
      <w:r w:rsidR="0096612F" w:rsidRPr="0096612F">
        <w:rPr>
          <w:sz w:val="18"/>
          <w:szCs w:val="18"/>
          <w:lang w:val="en-US"/>
        </w:rPr>
        <w:t xml:space="preserve"> </w:t>
      </w:r>
      <w:r w:rsidR="0003140C">
        <w:rPr>
          <w:sz w:val="18"/>
          <w:szCs w:val="18"/>
          <w:lang w:val="en-US"/>
        </w:rPr>
        <w:t>multiplied</w:t>
      </w:r>
      <w:r w:rsidR="0096612F" w:rsidRPr="0096612F">
        <w:rPr>
          <w:sz w:val="18"/>
          <w:szCs w:val="18"/>
          <w:lang w:val="en-US"/>
        </w:rPr>
        <w:t xml:space="preserve"> by the increase in the Consumer Price Index, Hobart, All Groups </w:t>
      </w:r>
      <w:r w:rsidR="00E14D34">
        <w:rPr>
          <w:sz w:val="18"/>
          <w:szCs w:val="18"/>
          <w:lang w:val="en-US"/>
        </w:rPr>
        <w:t>(</w:t>
      </w:r>
      <w:r w:rsidR="0096612F" w:rsidRPr="0096612F">
        <w:rPr>
          <w:sz w:val="18"/>
          <w:szCs w:val="18"/>
          <w:lang w:val="en-US"/>
        </w:rPr>
        <w:t xml:space="preserve">ABS Catalogue </w:t>
      </w:r>
      <w:r w:rsidR="0096612F" w:rsidRPr="0096612F">
        <w:rPr>
          <w:sz w:val="18"/>
          <w:szCs w:val="18"/>
        </w:rPr>
        <w:t>6401.0</w:t>
      </w:r>
      <w:r w:rsidR="00E14D34">
        <w:rPr>
          <w:sz w:val="18"/>
          <w:szCs w:val="18"/>
          <w:lang w:val="en-US"/>
        </w:rPr>
        <w:t>)</w:t>
      </w:r>
      <w:r w:rsidR="0096612F" w:rsidRPr="0096612F">
        <w:rPr>
          <w:sz w:val="18"/>
          <w:szCs w:val="18"/>
          <w:lang w:val="en-US"/>
        </w:rPr>
        <w:t xml:space="preserve"> for the twelve months preceding the December 2016 quarter</w:t>
      </w:r>
      <w:r>
        <w:rPr>
          <w:sz w:val="18"/>
          <w:szCs w:val="18"/>
          <w:lang w:val="en-US"/>
        </w:rPr>
        <w:t>,</w:t>
      </w:r>
      <w:r w:rsidR="0096612F" w:rsidRPr="0096612F">
        <w:rPr>
          <w:sz w:val="18"/>
          <w:szCs w:val="18"/>
          <w:lang w:val="en-US"/>
        </w:rPr>
        <w:t xml:space="preserve"> or </w:t>
      </w:r>
    </w:p>
    <w:p w:rsidR="0096612F" w:rsidRPr="0096612F" w:rsidRDefault="00F42474" w:rsidP="00E8097F">
      <w:pPr>
        <w:ind w:left="2127" w:hanging="426"/>
        <w:jc w:val="both"/>
        <w:rPr>
          <w:sz w:val="18"/>
          <w:szCs w:val="18"/>
          <w:lang w:val="en-US"/>
        </w:rPr>
      </w:pPr>
      <w:r>
        <w:rPr>
          <w:sz w:val="18"/>
          <w:szCs w:val="18"/>
          <w:lang w:val="en-US"/>
        </w:rPr>
        <w:t>(b)</w:t>
      </w:r>
      <w:r>
        <w:rPr>
          <w:sz w:val="18"/>
          <w:szCs w:val="18"/>
          <w:lang w:val="en-US"/>
        </w:rPr>
        <w:tab/>
      </w:r>
      <w:r w:rsidR="0096612F" w:rsidRPr="0096612F">
        <w:rPr>
          <w:sz w:val="18"/>
          <w:szCs w:val="18"/>
          <w:lang w:val="en-US"/>
        </w:rPr>
        <w:t>$0 should that Index not increase in that period.</w:t>
      </w:r>
    </w:p>
    <w:p w:rsidR="0096612F" w:rsidRPr="0096612F" w:rsidRDefault="0096612F" w:rsidP="0096612F">
      <w:pPr>
        <w:pStyle w:val="textbasic"/>
      </w:pPr>
      <w:bookmarkStart w:id="14" w:name="_Toc440377794"/>
      <w:r w:rsidRPr="0096612F">
        <w:t>3.2</w:t>
      </w:r>
      <w:r w:rsidRPr="0096612F">
        <w:tab/>
        <w:t xml:space="preserve">Electorate Allowance </w:t>
      </w:r>
      <w:bookmarkEnd w:id="14"/>
    </w:p>
    <w:p w:rsidR="0096612F" w:rsidRPr="0096612F" w:rsidRDefault="0096612F" w:rsidP="00E8097F">
      <w:pPr>
        <w:ind w:left="1701" w:hanging="567"/>
        <w:jc w:val="both"/>
        <w:rPr>
          <w:sz w:val="18"/>
          <w:szCs w:val="18"/>
          <w:lang w:val="en-US"/>
        </w:rPr>
      </w:pPr>
      <w:r w:rsidRPr="0096612F">
        <w:rPr>
          <w:sz w:val="18"/>
          <w:szCs w:val="18"/>
          <w:lang w:val="en-US"/>
        </w:rPr>
        <w:t>(1)</w:t>
      </w:r>
      <w:r w:rsidRPr="0096612F">
        <w:rPr>
          <w:sz w:val="18"/>
          <w:szCs w:val="18"/>
          <w:lang w:val="en-US"/>
        </w:rPr>
        <w:tab/>
      </w:r>
      <w:r w:rsidR="00F42474">
        <w:rPr>
          <w:sz w:val="18"/>
          <w:szCs w:val="18"/>
          <w:lang w:val="en-US"/>
        </w:rPr>
        <w:t>F</w:t>
      </w:r>
      <w:r w:rsidRPr="0096612F">
        <w:rPr>
          <w:sz w:val="18"/>
          <w:szCs w:val="18"/>
          <w:lang w:val="en-US"/>
        </w:rPr>
        <w:t xml:space="preserve">rom 1 July 2016 to 30 June 2017, the amount of the Electorate Allowance to be paid to a member of Parliament is the amount in the following table </w:t>
      </w:r>
      <w:r w:rsidR="00E14D34">
        <w:rPr>
          <w:sz w:val="18"/>
          <w:szCs w:val="18"/>
          <w:lang w:val="en-US"/>
        </w:rPr>
        <w:t>(</w:t>
      </w:r>
      <w:r w:rsidRPr="0096612F">
        <w:rPr>
          <w:sz w:val="18"/>
          <w:szCs w:val="18"/>
          <w:lang w:val="en-US"/>
        </w:rPr>
        <w:t>Table</w:t>
      </w:r>
      <w:r w:rsidR="00F42474">
        <w:rPr>
          <w:sz w:val="18"/>
          <w:szCs w:val="18"/>
          <w:lang w:val="en-US"/>
        </w:rPr>
        <w:t> </w:t>
      </w:r>
      <w:r>
        <w:rPr>
          <w:sz w:val="18"/>
          <w:szCs w:val="18"/>
          <w:lang w:val="en-US"/>
        </w:rPr>
        <w:t>C</w:t>
      </w:r>
      <w:r w:rsidR="00E14D34">
        <w:rPr>
          <w:sz w:val="18"/>
          <w:szCs w:val="18"/>
          <w:lang w:val="en-US"/>
        </w:rPr>
        <w:t>)</w:t>
      </w:r>
      <w:r w:rsidRPr="0096612F">
        <w:rPr>
          <w:sz w:val="18"/>
          <w:szCs w:val="18"/>
          <w:lang w:val="en-US"/>
        </w:rPr>
        <w:t xml:space="preserve"> specified opposite the electorate to which that member is elected</w:t>
      </w:r>
      <w:r w:rsidR="00F42474">
        <w:rPr>
          <w:sz w:val="18"/>
          <w:szCs w:val="18"/>
          <w:lang w:val="en-US"/>
        </w:rPr>
        <w:t>.</w:t>
      </w:r>
      <w:r w:rsidRPr="0096612F">
        <w:rPr>
          <w:sz w:val="18"/>
          <w:szCs w:val="18"/>
          <w:lang w:val="en-US"/>
        </w:rPr>
        <w:t xml:space="preserve"> </w:t>
      </w:r>
    </w:p>
    <w:p w:rsidR="0096612F" w:rsidRPr="0096612F" w:rsidRDefault="0096612F" w:rsidP="0096612F">
      <w:pPr>
        <w:ind w:left="1080"/>
        <w:jc w:val="both"/>
        <w:rPr>
          <w:b/>
          <w:sz w:val="18"/>
          <w:szCs w:val="18"/>
          <w:lang w:val="en-US"/>
        </w:rPr>
      </w:pPr>
      <w:r w:rsidRPr="0096612F">
        <w:rPr>
          <w:b/>
          <w:sz w:val="18"/>
          <w:szCs w:val="18"/>
          <w:lang w:val="en-US"/>
        </w:rPr>
        <w:t xml:space="preserve">Table </w:t>
      </w:r>
      <w:r>
        <w:rPr>
          <w:b/>
          <w:sz w:val="18"/>
          <w:szCs w:val="18"/>
          <w:lang w:val="en-US"/>
        </w:rPr>
        <w:t>C</w:t>
      </w:r>
      <w:r w:rsidRPr="0096612F">
        <w:rPr>
          <w:b/>
          <w:sz w:val="18"/>
          <w:szCs w:val="18"/>
          <w:lang w:val="en-US"/>
        </w:rPr>
        <w:t xml:space="preserve"> –Electorate Allowance for period 1 July 2016 to 30 June 2017</w:t>
      </w:r>
    </w:p>
    <w:tbl>
      <w:tblPr>
        <w:tblW w:w="878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3081"/>
        <w:gridCol w:w="3081"/>
      </w:tblGrid>
      <w:tr w:rsidR="0096612F" w:rsidRPr="0096612F" w:rsidTr="00327CCC">
        <w:trPr>
          <w:cantSplit/>
          <w:tblHeader/>
        </w:trPr>
        <w:tc>
          <w:tcPr>
            <w:tcW w:w="2621" w:type="dxa"/>
            <w:tcBorders>
              <w:bottom w:val="single" w:sz="4" w:space="0" w:color="auto"/>
            </w:tcBorders>
            <w:shd w:val="clear" w:color="auto" w:fill="D9D9D9" w:themeFill="background1" w:themeFillShade="D9"/>
          </w:tcPr>
          <w:p w:rsidR="0096612F" w:rsidRPr="0096612F" w:rsidRDefault="0096612F" w:rsidP="0096612F">
            <w:pPr>
              <w:jc w:val="both"/>
              <w:rPr>
                <w:sz w:val="18"/>
                <w:szCs w:val="18"/>
              </w:rPr>
            </w:pPr>
          </w:p>
        </w:tc>
        <w:tc>
          <w:tcPr>
            <w:tcW w:w="3081" w:type="dxa"/>
            <w:tcBorders>
              <w:bottom w:val="single" w:sz="4" w:space="0" w:color="auto"/>
            </w:tcBorders>
            <w:shd w:val="clear" w:color="auto" w:fill="D9D9D9" w:themeFill="background1" w:themeFillShade="D9"/>
          </w:tcPr>
          <w:p w:rsidR="0096612F" w:rsidRPr="0096612F" w:rsidRDefault="0096612F" w:rsidP="0096612F">
            <w:pPr>
              <w:jc w:val="both"/>
              <w:rPr>
                <w:b/>
                <w:sz w:val="18"/>
                <w:szCs w:val="18"/>
              </w:rPr>
            </w:pPr>
            <w:r w:rsidRPr="0096612F">
              <w:rPr>
                <w:b/>
                <w:sz w:val="18"/>
                <w:szCs w:val="18"/>
              </w:rPr>
              <w:t>Electorate(s)</w:t>
            </w:r>
          </w:p>
        </w:tc>
        <w:tc>
          <w:tcPr>
            <w:tcW w:w="3081" w:type="dxa"/>
            <w:tcBorders>
              <w:bottom w:val="single" w:sz="4" w:space="0" w:color="auto"/>
            </w:tcBorders>
            <w:shd w:val="clear" w:color="auto" w:fill="D9D9D9" w:themeFill="background1" w:themeFillShade="D9"/>
          </w:tcPr>
          <w:p w:rsidR="0096612F" w:rsidRPr="0096612F" w:rsidRDefault="0096612F" w:rsidP="0096612F">
            <w:pPr>
              <w:jc w:val="both"/>
              <w:rPr>
                <w:b/>
                <w:sz w:val="18"/>
                <w:szCs w:val="18"/>
              </w:rPr>
            </w:pPr>
            <w:r w:rsidRPr="0096612F">
              <w:rPr>
                <w:b/>
                <w:sz w:val="18"/>
                <w:szCs w:val="18"/>
              </w:rPr>
              <w:t>Allowance (per annum)</w:t>
            </w:r>
          </w:p>
        </w:tc>
      </w:tr>
      <w:tr w:rsidR="0096612F" w:rsidRPr="0096612F" w:rsidTr="0096612F">
        <w:tc>
          <w:tcPr>
            <w:tcW w:w="2621" w:type="dxa"/>
            <w:tcBorders>
              <w:right w:val="nil"/>
            </w:tcBorders>
            <w:shd w:val="clear" w:color="auto" w:fill="auto"/>
          </w:tcPr>
          <w:p w:rsidR="0096612F" w:rsidRPr="0096612F" w:rsidRDefault="0096612F" w:rsidP="0096612F">
            <w:pPr>
              <w:jc w:val="both"/>
              <w:rPr>
                <w:i/>
                <w:sz w:val="18"/>
                <w:szCs w:val="18"/>
              </w:rPr>
            </w:pPr>
            <w:r w:rsidRPr="0096612F">
              <w:rPr>
                <w:i/>
                <w:sz w:val="18"/>
                <w:szCs w:val="18"/>
              </w:rPr>
              <w:t>Legislative Council</w:t>
            </w:r>
          </w:p>
        </w:tc>
        <w:tc>
          <w:tcPr>
            <w:tcW w:w="3081" w:type="dxa"/>
            <w:tcBorders>
              <w:left w:val="nil"/>
              <w:right w:val="nil"/>
            </w:tcBorders>
            <w:shd w:val="clear" w:color="auto" w:fill="auto"/>
          </w:tcPr>
          <w:p w:rsidR="0096612F" w:rsidRPr="0096612F" w:rsidRDefault="0096612F" w:rsidP="0096612F">
            <w:pPr>
              <w:jc w:val="both"/>
              <w:rPr>
                <w:sz w:val="18"/>
                <w:szCs w:val="18"/>
              </w:rPr>
            </w:pPr>
          </w:p>
        </w:tc>
        <w:tc>
          <w:tcPr>
            <w:tcW w:w="3081" w:type="dxa"/>
            <w:tcBorders>
              <w:left w:val="nil"/>
            </w:tcBorders>
            <w:shd w:val="clear" w:color="auto" w:fill="auto"/>
          </w:tcPr>
          <w:p w:rsidR="0096612F" w:rsidRPr="0096612F" w:rsidRDefault="0096612F" w:rsidP="0096612F">
            <w:pPr>
              <w:jc w:val="both"/>
              <w:rPr>
                <w:sz w:val="18"/>
                <w:szCs w:val="18"/>
              </w:rPr>
            </w:pPr>
          </w:p>
        </w:tc>
      </w:tr>
      <w:tr w:rsidR="00D54B33" w:rsidRPr="0096612F" w:rsidTr="0096612F">
        <w:tc>
          <w:tcPr>
            <w:tcW w:w="2621" w:type="dxa"/>
            <w:shd w:val="clear" w:color="auto" w:fill="auto"/>
          </w:tcPr>
          <w:p w:rsidR="00D54B33" w:rsidRPr="0096612F" w:rsidRDefault="00D54B33" w:rsidP="0096612F">
            <w:pPr>
              <w:jc w:val="both"/>
              <w:rPr>
                <w:sz w:val="18"/>
                <w:szCs w:val="18"/>
              </w:rPr>
            </w:pPr>
            <w:r w:rsidRPr="0096612F">
              <w:rPr>
                <w:sz w:val="18"/>
                <w:szCs w:val="18"/>
              </w:rPr>
              <w:t>Group 1</w:t>
            </w:r>
          </w:p>
        </w:tc>
        <w:tc>
          <w:tcPr>
            <w:tcW w:w="3081" w:type="dxa"/>
            <w:shd w:val="clear" w:color="auto" w:fill="auto"/>
          </w:tcPr>
          <w:p w:rsidR="00D54B33" w:rsidRPr="0096612F" w:rsidRDefault="00D54B33" w:rsidP="0096612F">
            <w:pPr>
              <w:rPr>
                <w:sz w:val="18"/>
                <w:szCs w:val="18"/>
              </w:rPr>
            </w:pPr>
            <w:r w:rsidRPr="0096612F">
              <w:rPr>
                <w:sz w:val="18"/>
                <w:szCs w:val="18"/>
              </w:rPr>
              <w:t>Apsley</w:t>
            </w:r>
          </w:p>
        </w:tc>
        <w:tc>
          <w:tcPr>
            <w:tcW w:w="3081" w:type="dxa"/>
            <w:shd w:val="clear" w:color="auto" w:fill="auto"/>
          </w:tcPr>
          <w:p w:rsidR="00D54B33" w:rsidRPr="00FB43A8" w:rsidRDefault="00D54B33" w:rsidP="00BB5480">
            <w:pPr>
              <w:jc w:val="center"/>
              <w:rPr>
                <w:sz w:val="16"/>
                <w:szCs w:val="16"/>
              </w:rPr>
            </w:pPr>
            <w:r w:rsidRPr="00FB43A8">
              <w:rPr>
                <w:sz w:val="16"/>
                <w:szCs w:val="16"/>
              </w:rPr>
              <w:t>$49 447</w:t>
            </w:r>
          </w:p>
        </w:tc>
      </w:tr>
      <w:tr w:rsidR="00D54B33" w:rsidRPr="0096612F" w:rsidTr="0096612F">
        <w:tc>
          <w:tcPr>
            <w:tcW w:w="2621" w:type="dxa"/>
            <w:shd w:val="clear" w:color="auto" w:fill="auto"/>
          </w:tcPr>
          <w:p w:rsidR="00D54B33" w:rsidRPr="0096612F" w:rsidRDefault="00D54B33" w:rsidP="0096612F">
            <w:pPr>
              <w:jc w:val="both"/>
              <w:rPr>
                <w:sz w:val="18"/>
                <w:szCs w:val="18"/>
              </w:rPr>
            </w:pPr>
            <w:r w:rsidRPr="0096612F">
              <w:rPr>
                <w:sz w:val="18"/>
                <w:szCs w:val="18"/>
              </w:rPr>
              <w:t>Group 2</w:t>
            </w:r>
          </w:p>
        </w:tc>
        <w:tc>
          <w:tcPr>
            <w:tcW w:w="3081" w:type="dxa"/>
            <w:shd w:val="clear" w:color="auto" w:fill="auto"/>
          </w:tcPr>
          <w:p w:rsidR="00D54B33" w:rsidRPr="0096612F" w:rsidRDefault="00D54B33" w:rsidP="0096612F">
            <w:pPr>
              <w:rPr>
                <w:sz w:val="18"/>
                <w:szCs w:val="18"/>
              </w:rPr>
            </w:pPr>
            <w:r w:rsidRPr="0096612F">
              <w:rPr>
                <w:sz w:val="18"/>
                <w:szCs w:val="18"/>
              </w:rPr>
              <w:t>Murchison, Western Tiers</w:t>
            </w:r>
          </w:p>
        </w:tc>
        <w:tc>
          <w:tcPr>
            <w:tcW w:w="3081" w:type="dxa"/>
            <w:shd w:val="clear" w:color="auto" w:fill="auto"/>
          </w:tcPr>
          <w:p w:rsidR="00D54B33" w:rsidRPr="00FB43A8" w:rsidRDefault="00D54B33" w:rsidP="00BB5480">
            <w:pPr>
              <w:jc w:val="center"/>
              <w:rPr>
                <w:sz w:val="16"/>
                <w:szCs w:val="16"/>
              </w:rPr>
            </w:pPr>
            <w:r w:rsidRPr="00FB43A8">
              <w:rPr>
                <w:sz w:val="16"/>
                <w:szCs w:val="16"/>
              </w:rPr>
              <w:t>$45 541</w:t>
            </w:r>
          </w:p>
        </w:tc>
      </w:tr>
      <w:tr w:rsidR="00D54B33" w:rsidRPr="0096612F" w:rsidTr="0096612F">
        <w:tc>
          <w:tcPr>
            <w:tcW w:w="2621" w:type="dxa"/>
            <w:shd w:val="clear" w:color="auto" w:fill="auto"/>
          </w:tcPr>
          <w:p w:rsidR="00D54B33" w:rsidRPr="0096612F" w:rsidRDefault="00D54B33" w:rsidP="0096612F">
            <w:pPr>
              <w:jc w:val="both"/>
              <w:rPr>
                <w:sz w:val="18"/>
                <w:szCs w:val="18"/>
              </w:rPr>
            </w:pPr>
            <w:r w:rsidRPr="0096612F">
              <w:rPr>
                <w:sz w:val="18"/>
                <w:szCs w:val="18"/>
              </w:rPr>
              <w:t>Group 3</w:t>
            </w:r>
          </w:p>
        </w:tc>
        <w:tc>
          <w:tcPr>
            <w:tcW w:w="3081" w:type="dxa"/>
            <w:shd w:val="clear" w:color="auto" w:fill="auto"/>
          </w:tcPr>
          <w:p w:rsidR="00D54B33" w:rsidRPr="0096612F" w:rsidRDefault="00D54B33" w:rsidP="0096612F">
            <w:pPr>
              <w:rPr>
                <w:sz w:val="18"/>
                <w:szCs w:val="18"/>
              </w:rPr>
            </w:pPr>
            <w:r w:rsidRPr="0096612F">
              <w:rPr>
                <w:sz w:val="18"/>
                <w:szCs w:val="18"/>
              </w:rPr>
              <w:t>Derwent, Huon</w:t>
            </w:r>
          </w:p>
        </w:tc>
        <w:tc>
          <w:tcPr>
            <w:tcW w:w="3081" w:type="dxa"/>
            <w:shd w:val="clear" w:color="auto" w:fill="auto"/>
          </w:tcPr>
          <w:p w:rsidR="00D54B33" w:rsidRPr="00FB43A8" w:rsidRDefault="00D54B33" w:rsidP="00BB5480">
            <w:pPr>
              <w:jc w:val="center"/>
              <w:rPr>
                <w:sz w:val="16"/>
                <w:szCs w:val="16"/>
              </w:rPr>
            </w:pPr>
            <w:r w:rsidRPr="00FB43A8">
              <w:rPr>
                <w:sz w:val="16"/>
                <w:szCs w:val="16"/>
              </w:rPr>
              <w:t>$39 035</w:t>
            </w:r>
          </w:p>
        </w:tc>
      </w:tr>
      <w:tr w:rsidR="00D54B33" w:rsidRPr="0096612F" w:rsidTr="0096612F">
        <w:tc>
          <w:tcPr>
            <w:tcW w:w="2621" w:type="dxa"/>
            <w:shd w:val="clear" w:color="auto" w:fill="auto"/>
          </w:tcPr>
          <w:p w:rsidR="00D54B33" w:rsidRPr="0096612F" w:rsidRDefault="00D54B33" w:rsidP="0096612F">
            <w:pPr>
              <w:jc w:val="both"/>
              <w:rPr>
                <w:sz w:val="18"/>
                <w:szCs w:val="18"/>
              </w:rPr>
            </w:pPr>
            <w:r w:rsidRPr="0096612F">
              <w:rPr>
                <w:sz w:val="18"/>
                <w:szCs w:val="18"/>
              </w:rPr>
              <w:t>Group 4</w:t>
            </w:r>
          </w:p>
        </w:tc>
        <w:tc>
          <w:tcPr>
            <w:tcW w:w="3081" w:type="dxa"/>
            <w:shd w:val="clear" w:color="auto" w:fill="auto"/>
          </w:tcPr>
          <w:p w:rsidR="00D54B33" w:rsidRPr="0096612F" w:rsidRDefault="00D54B33" w:rsidP="0096612F">
            <w:pPr>
              <w:rPr>
                <w:sz w:val="18"/>
                <w:szCs w:val="18"/>
              </w:rPr>
            </w:pPr>
            <w:r w:rsidRPr="0096612F">
              <w:rPr>
                <w:sz w:val="18"/>
                <w:szCs w:val="18"/>
              </w:rPr>
              <w:t>Montgomery, Rumney</w:t>
            </w:r>
          </w:p>
        </w:tc>
        <w:tc>
          <w:tcPr>
            <w:tcW w:w="3081" w:type="dxa"/>
            <w:shd w:val="clear" w:color="auto" w:fill="auto"/>
          </w:tcPr>
          <w:p w:rsidR="00D54B33" w:rsidRPr="00FB43A8" w:rsidRDefault="00D54B33" w:rsidP="00BB5480">
            <w:pPr>
              <w:jc w:val="center"/>
              <w:rPr>
                <w:sz w:val="16"/>
                <w:szCs w:val="16"/>
              </w:rPr>
            </w:pPr>
            <w:r w:rsidRPr="00FB43A8">
              <w:rPr>
                <w:sz w:val="16"/>
                <w:szCs w:val="16"/>
              </w:rPr>
              <w:t>$36 434</w:t>
            </w:r>
          </w:p>
        </w:tc>
      </w:tr>
      <w:tr w:rsidR="00D54B33" w:rsidRPr="0096612F" w:rsidTr="0096612F">
        <w:tc>
          <w:tcPr>
            <w:tcW w:w="2621" w:type="dxa"/>
            <w:tcBorders>
              <w:bottom w:val="single" w:sz="4" w:space="0" w:color="auto"/>
            </w:tcBorders>
            <w:shd w:val="clear" w:color="auto" w:fill="auto"/>
          </w:tcPr>
          <w:p w:rsidR="00D54B33" w:rsidRPr="0096612F" w:rsidRDefault="00D54B33" w:rsidP="0096612F">
            <w:pPr>
              <w:jc w:val="both"/>
              <w:rPr>
                <w:sz w:val="18"/>
                <w:szCs w:val="18"/>
              </w:rPr>
            </w:pPr>
            <w:r w:rsidRPr="0096612F">
              <w:rPr>
                <w:sz w:val="18"/>
                <w:szCs w:val="18"/>
              </w:rPr>
              <w:t>Group 5</w:t>
            </w:r>
          </w:p>
        </w:tc>
        <w:tc>
          <w:tcPr>
            <w:tcW w:w="3081" w:type="dxa"/>
            <w:tcBorders>
              <w:bottom w:val="single" w:sz="4" w:space="0" w:color="auto"/>
            </w:tcBorders>
            <w:shd w:val="clear" w:color="auto" w:fill="auto"/>
          </w:tcPr>
          <w:p w:rsidR="00D54B33" w:rsidRPr="0096612F" w:rsidRDefault="00D54B33" w:rsidP="0096612F">
            <w:pPr>
              <w:rPr>
                <w:sz w:val="18"/>
                <w:szCs w:val="18"/>
              </w:rPr>
            </w:pPr>
            <w:r w:rsidRPr="0096612F">
              <w:rPr>
                <w:sz w:val="18"/>
                <w:szCs w:val="18"/>
              </w:rPr>
              <w:t>Mersey, Rosevears, Windermere, Elwick, Nelson, Launceston, Pembroke, Hobart</w:t>
            </w:r>
          </w:p>
        </w:tc>
        <w:tc>
          <w:tcPr>
            <w:tcW w:w="3081" w:type="dxa"/>
            <w:tcBorders>
              <w:bottom w:val="single" w:sz="4" w:space="0" w:color="auto"/>
            </w:tcBorders>
            <w:shd w:val="clear" w:color="auto" w:fill="auto"/>
          </w:tcPr>
          <w:p w:rsidR="00D54B33" w:rsidRPr="00FB43A8" w:rsidRDefault="00D54B33" w:rsidP="00BB5480">
            <w:pPr>
              <w:jc w:val="center"/>
              <w:rPr>
                <w:sz w:val="16"/>
                <w:szCs w:val="16"/>
              </w:rPr>
            </w:pPr>
            <w:r w:rsidRPr="00FB43A8">
              <w:rPr>
                <w:sz w:val="16"/>
                <w:szCs w:val="16"/>
              </w:rPr>
              <w:t>$31 229</w:t>
            </w:r>
          </w:p>
        </w:tc>
      </w:tr>
      <w:tr w:rsidR="00D54B33" w:rsidRPr="0096612F" w:rsidTr="0096612F">
        <w:tc>
          <w:tcPr>
            <w:tcW w:w="2621" w:type="dxa"/>
            <w:tcBorders>
              <w:right w:val="nil"/>
            </w:tcBorders>
            <w:shd w:val="clear" w:color="auto" w:fill="auto"/>
          </w:tcPr>
          <w:p w:rsidR="00D54B33" w:rsidRPr="0096612F" w:rsidRDefault="00D54B33" w:rsidP="0096612F">
            <w:pPr>
              <w:jc w:val="both"/>
              <w:rPr>
                <w:i/>
                <w:sz w:val="18"/>
                <w:szCs w:val="18"/>
              </w:rPr>
            </w:pPr>
            <w:r w:rsidRPr="0096612F">
              <w:rPr>
                <w:i/>
                <w:sz w:val="18"/>
                <w:szCs w:val="18"/>
              </w:rPr>
              <w:t>House of Assembly</w:t>
            </w:r>
          </w:p>
        </w:tc>
        <w:tc>
          <w:tcPr>
            <w:tcW w:w="3081" w:type="dxa"/>
            <w:tcBorders>
              <w:left w:val="nil"/>
              <w:right w:val="nil"/>
            </w:tcBorders>
            <w:shd w:val="clear" w:color="auto" w:fill="auto"/>
          </w:tcPr>
          <w:p w:rsidR="00D54B33" w:rsidRPr="0096612F" w:rsidRDefault="00D54B33" w:rsidP="0096612F">
            <w:pPr>
              <w:rPr>
                <w:b/>
                <w:sz w:val="18"/>
                <w:szCs w:val="18"/>
              </w:rPr>
            </w:pPr>
          </w:p>
        </w:tc>
        <w:tc>
          <w:tcPr>
            <w:tcW w:w="3081" w:type="dxa"/>
            <w:tcBorders>
              <w:left w:val="nil"/>
            </w:tcBorders>
            <w:shd w:val="clear" w:color="auto" w:fill="auto"/>
          </w:tcPr>
          <w:p w:rsidR="00D54B33" w:rsidRPr="00FB43A8" w:rsidRDefault="00D54B33" w:rsidP="00BB5480">
            <w:pPr>
              <w:jc w:val="center"/>
              <w:rPr>
                <w:b/>
              </w:rPr>
            </w:pPr>
          </w:p>
        </w:tc>
      </w:tr>
      <w:tr w:rsidR="00D54B33" w:rsidRPr="0096612F" w:rsidTr="0096612F">
        <w:tc>
          <w:tcPr>
            <w:tcW w:w="2621" w:type="dxa"/>
            <w:shd w:val="clear" w:color="auto" w:fill="auto"/>
          </w:tcPr>
          <w:p w:rsidR="00D54B33" w:rsidRPr="0096612F" w:rsidRDefault="00D54B33" w:rsidP="0096612F">
            <w:pPr>
              <w:jc w:val="both"/>
              <w:rPr>
                <w:sz w:val="18"/>
                <w:szCs w:val="18"/>
              </w:rPr>
            </w:pPr>
          </w:p>
        </w:tc>
        <w:tc>
          <w:tcPr>
            <w:tcW w:w="3081" w:type="dxa"/>
            <w:shd w:val="clear" w:color="auto" w:fill="auto"/>
          </w:tcPr>
          <w:p w:rsidR="00D54B33" w:rsidRPr="0096612F" w:rsidRDefault="00D54B33" w:rsidP="0096612F">
            <w:pPr>
              <w:rPr>
                <w:sz w:val="18"/>
                <w:szCs w:val="18"/>
              </w:rPr>
            </w:pPr>
            <w:r w:rsidRPr="0096612F">
              <w:rPr>
                <w:sz w:val="18"/>
                <w:szCs w:val="18"/>
              </w:rPr>
              <w:t>Bass</w:t>
            </w:r>
          </w:p>
        </w:tc>
        <w:tc>
          <w:tcPr>
            <w:tcW w:w="3081" w:type="dxa"/>
            <w:shd w:val="clear" w:color="auto" w:fill="auto"/>
          </w:tcPr>
          <w:p w:rsidR="00D54B33" w:rsidRPr="00FB43A8" w:rsidRDefault="00D54B33" w:rsidP="00BB5480">
            <w:pPr>
              <w:jc w:val="center"/>
              <w:rPr>
                <w:sz w:val="16"/>
                <w:szCs w:val="16"/>
              </w:rPr>
            </w:pPr>
            <w:r w:rsidRPr="00FB43A8">
              <w:rPr>
                <w:sz w:val="16"/>
                <w:szCs w:val="16"/>
              </w:rPr>
              <w:t>$42 940</w:t>
            </w:r>
          </w:p>
        </w:tc>
      </w:tr>
      <w:tr w:rsidR="00D54B33" w:rsidRPr="0096612F" w:rsidTr="0096612F">
        <w:tc>
          <w:tcPr>
            <w:tcW w:w="2621" w:type="dxa"/>
            <w:shd w:val="clear" w:color="auto" w:fill="auto"/>
          </w:tcPr>
          <w:p w:rsidR="00D54B33" w:rsidRPr="0096612F" w:rsidRDefault="00D54B33" w:rsidP="0096612F">
            <w:pPr>
              <w:jc w:val="both"/>
              <w:rPr>
                <w:sz w:val="18"/>
                <w:szCs w:val="18"/>
              </w:rPr>
            </w:pPr>
          </w:p>
        </w:tc>
        <w:tc>
          <w:tcPr>
            <w:tcW w:w="3081" w:type="dxa"/>
            <w:shd w:val="clear" w:color="auto" w:fill="auto"/>
          </w:tcPr>
          <w:p w:rsidR="00D54B33" w:rsidRPr="0096612F" w:rsidRDefault="00D54B33" w:rsidP="0096612F">
            <w:pPr>
              <w:rPr>
                <w:sz w:val="18"/>
                <w:szCs w:val="18"/>
              </w:rPr>
            </w:pPr>
            <w:r w:rsidRPr="0096612F">
              <w:rPr>
                <w:sz w:val="18"/>
                <w:szCs w:val="18"/>
              </w:rPr>
              <w:t>Braddon</w:t>
            </w:r>
          </w:p>
        </w:tc>
        <w:tc>
          <w:tcPr>
            <w:tcW w:w="3081" w:type="dxa"/>
            <w:shd w:val="clear" w:color="auto" w:fill="auto"/>
          </w:tcPr>
          <w:p w:rsidR="00D54B33" w:rsidRPr="00FB43A8" w:rsidRDefault="00D54B33" w:rsidP="00BB5480">
            <w:pPr>
              <w:jc w:val="center"/>
              <w:rPr>
                <w:sz w:val="16"/>
                <w:szCs w:val="16"/>
              </w:rPr>
            </w:pPr>
            <w:r w:rsidRPr="00FB43A8">
              <w:rPr>
                <w:sz w:val="16"/>
                <w:szCs w:val="16"/>
              </w:rPr>
              <w:t>$46 843</w:t>
            </w:r>
          </w:p>
        </w:tc>
      </w:tr>
      <w:tr w:rsidR="00D54B33" w:rsidRPr="0096612F" w:rsidTr="0096612F">
        <w:tc>
          <w:tcPr>
            <w:tcW w:w="2621" w:type="dxa"/>
            <w:shd w:val="clear" w:color="auto" w:fill="auto"/>
          </w:tcPr>
          <w:p w:rsidR="00D54B33" w:rsidRPr="0096612F" w:rsidRDefault="00D54B33" w:rsidP="0096612F">
            <w:pPr>
              <w:jc w:val="both"/>
              <w:rPr>
                <w:sz w:val="18"/>
                <w:szCs w:val="18"/>
              </w:rPr>
            </w:pPr>
          </w:p>
        </w:tc>
        <w:tc>
          <w:tcPr>
            <w:tcW w:w="3081" w:type="dxa"/>
            <w:shd w:val="clear" w:color="auto" w:fill="auto"/>
          </w:tcPr>
          <w:p w:rsidR="00D54B33" w:rsidRPr="0096612F" w:rsidRDefault="00D54B33" w:rsidP="0096612F">
            <w:pPr>
              <w:rPr>
                <w:sz w:val="18"/>
                <w:szCs w:val="18"/>
              </w:rPr>
            </w:pPr>
            <w:r w:rsidRPr="0096612F">
              <w:rPr>
                <w:sz w:val="18"/>
                <w:szCs w:val="18"/>
              </w:rPr>
              <w:t>Denison</w:t>
            </w:r>
          </w:p>
        </w:tc>
        <w:tc>
          <w:tcPr>
            <w:tcW w:w="3081" w:type="dxa"/>
            <w:shd w:val="clear" w:color="auto" w:fill="auto"/>
          </w:tcPr>
          <w:p w:rsidR="00D54B33" w:rsidRPr="00FB43A8" w:rsidRDefault="00D54B33" w:rsidP="00BB5480">
            <w:pPr>
              <w:jc w:val="center"/>
              <w:rPr>
                <w:sz w:val="16"/>
                <w:szCs w:val="16"/>
              </w:rPr>
            </w:pPr>
            <w:r w:rsidRPr="00FB43A8">
              <w:rPr>
                <w:sz w:val="16"/>
                <w:szCs w:val="16"/>
              </w:rPr>
              <w:t>$31 229</w:t>
            </w:r>
          </w:p>
        </w:tc>
      </w:tr>
      <w:tr w:rsidR="00D54B33" w:rsidRPr="0096612F" w:rsidTr="0096612F">
        <w:tc>
          <w:tcPr>
            <w:tcW w:w="2621" w:type="dxa"/>
            <w:shd w:val="clear" w:color="auto" w:fill="auto"/>
          </w:tcPr>
          <w:p w:rsidR="00D54B33" w:rsidRPr="0096612F" w:rsidRDefault="00D54B33" w:rsidP="0096612F">
            <w:pPr>
              <w:jc w:val="both"/>
              <w:rPr>
                <w:sz w:val="18"/>
                <w:szCs w:val="18"/>
              </w:rPr>
            </w:pPr>
          </w:p>
        </w:tc>
        <w:tc>
          <w:tcPr>
            <w:tcW w:w="3081" w:type="dxa"/>
            <w:shd w:val="clear" w:color="auto" w:fill="auto"/>
          </w:tcPr>
          <w:p w:rsidR="00D54B33" w:rsidRPr="0096612F" w:rsidRDefault="00D54B33" w:rsidP="0096612F">
            <w:pPr>
              <w:rPr>
                <w:sz w:val="18"/>
                <w:szCs w:val="18"/>
              </w:rPr>
            </w:pPr>
            <w:r w:rsidRPr="0096612F">
              <w:rPr>
                <w:sz w:val="18"/>
                <w:szCs w:val="18"/>
              </w:rPr>
              <w:t>Franklin</w:t>
            </w:r>
          </w:p>
        </w:tc>
        <w:tc>
          <w:tcPr>
            <w:tcW w:w="3081" w:type="dxa"/>
            <w:shd w:val="clear" w:color="auto" w:fill="auto"/>
          </w:tcPr>
          <w:p w:rsidR="00D54B33" w:rsidRPr="00FB43A8" w:rsidRDefault="00D54B33" w:rsidP="00BB5480">
            <w:pPr>
              <w:jc w:val="center"/>
              <w:rPr>
                <w:sz w:val="16"/>
                <w:szCs w:val="16"/>
              </w:rPr>
            </w:pPr>
            <w:r w:rsidRPr="00FB43A8">
              <w:rPr>
                <w:sz w:val="16"/>
                <w:szCs w:val="16"/>
              </w:rPr>
              <w:t>$37 735</w:t>
            </w:r>
          </w:p>
        </w:tc>
      </w:tr>
      <w:tr w:rsidR="00D54B33" w:rsidRPr="0096612F" w:rsidTr="0096612F">
        <w:tc>
          <w:tcPr>
            <w:tcW w:w="2621" w:type="dxa"/>
            <w:shd w:val="clear" w:color="auto" w:fill="auto"/>
          </w:tcPr>
          <w:p w:rsidR="00D54B33" w:rsidRPr="0096612F" w:rsidRDefault="00D54B33" w:rsidP="0096612F">
            <w:pPr>
              <w:jc w:val="both"/>
              <w:rPr>
                <w:sz w:val="18"/>
                <w:szCs w:val="18"/>
              </w:rPr>
            </w:pPr>
          </w:p>
        </w:tc>
        <w:tc>
          <w:tcPr>
            <w:tcW w:w="3081" w:type="dxa"/>
            <w:shd w:val="clear" w:color="auto" w:fill="auto"/>
          </w:tcPr>
          <w:p w:rsidR="00D54B33" w:rsidRPr="0096612F" w:rsidRDefault="00D54B33" w:rsidP="0096612F">
            <w:pPr>
              <w:rPr>
                <w:sz w:val="18"/>
                <w:szCs w:val="18"/>
              </w:rPr>
            </w:pPr>
            <w:r w:rsidRPr="0096612F">
              <w:rPr>
                <w:sz w:val="18"/>
                <w:szCs w:val="18"/>
              </w:rPr>
              <w:t>Lyons</w:t>
            </w:r>
          </w:p>
        </w:tc>
        <w:tc>
          <w:tcPr>
            <w:tcW w:w="3081" w:type="dxa"/>
            <w:shd w:val="clear" w:color="auto" w:fill="auto"/>
          </w:tcPr>
          <w:p w:rsidR="00D54B33" w:rsidRPr="00FB43A8" w:rsidRDefault="00D54B33" w:rsidP="00BB5480">
            <w:pPr>
              <w:jc w:val="center"/>
              <w:rPr>
                <w:sz w:val="16"/>
                <w:szCs w:val="16"/>
              </w:rPr>
            </w:pPr>
            <w:r w:rsidRPr="00FB43A8">
              <w:rPr>
                <w:sz w:val="16"/>
                <w:szCs w:val="16"/>
              </w:rPr>
              <w:t>$52 050</w:t>
            </w:r>
          </w:p>
        </w:tc>
      </w:tr>
    </w:tbl>
    <w:p w:rsidR="0096612F" w:rsidRPr="0096612F" w:rsidRDefault="0096612F" w:rsidP="0096612F">
      <w:pPr>
        <w:jc w:val="both"/>
        <w:rPr>
          <w:sz w:val="18"/>
          <w:szCs w:val="18"/>
        </w:rPr>
      </w:pPr>
    </w:p>
    <w:p w:rsidR="00E8097F" w:rsidRDefault="00E8097F">
      <w:pPr>
        <w:spacing w:after="0"/>
        <w:rPr>
          <w:sz w:val="18"/>
          <w:szCs w:val="18"/>
          <w:lang w:val="en-US"/>
        </w:rPr>
      </w:pPr>
      <w:r>
        <w:rPr>
          <w:sz w:val="18"/>
          <w:szCs w:val="18"/>
          <w:lang w:val="en-US"/>
        </w:rPr>
        <w:br w:type="page"/>
      </w:r>
    </w:p>
    <w:p w:rsidR="00F42474" w:rsidRDefault="0096612F" w:rsidP="00E8097F">
      <w:pPr>
        <w:ind w:left="1701" w:hanging="567"/>
        <w:jc w:val="both"/>
        <w:rPr>
          <w:sz w:val="18"/>
          <w:szCs w:val="18"/>
          <w:lang w:val="en-US"/>
        </w:rPr>
      </w:pPr>
      <w:r w:rsidRPr="0096612F">
        <w:rPr>
          <w:sz w:val="18"/>
          <w:szCs w:val="18"/>
          <w:lang w:val="en-US"/>
        </w:rPr>
        <w:lastRenderedPageBreak/>
        <w:t>(2)</w:t>
      </w:r>
      <w:r w:rsidRPr="0096612F">
        <w:rPr>
          <w:sz w:val="18"/>
          <w:szCs w:val="18"/>
          <w:lang w:val="en-US"/>
        </w:rPr>
        <w:tab/>
      </w:r>
      <w:r w:rsidR="00F42474">
        <w:rPr>
          <w:sz w:val="18"/>
          <w:szCs w:val="18"/>
          <w:lang w:val="en-US"/>
        </w:rPr>
        <w:t>F</w:t>
      </w:r>
      <w:r w:rsidRPr="0096612F">
        <w:rPr>
          <w:sz w:val="18"/>
          <w:szCs w:val="18"/>
          <w:lang w:val="en-US"/>
        </w:rPr>
        <w:t>rom 1 July 2017 to 30 June 2018</w:t>
      </w:r>
      <w:r w:rsidR="00F42474">
        <w:rPr>
          <w:sz w:val="18"/>
          <w:szCs w:val="18"/>
          <w:lang w:val="en-US"/>
        </w:rPr>
        <w:t>,</w:t>
      </w:r>
      <w:r w:rsidRPr="0096612F">
        <w:rPr>
          <w:sz w:val="18"/>
          <w:szCs w:val="18"/>
          <w:lang w:val="en-US"/>
        </w:rPr>
        <w:t xml:space="preserve"> the amount of the Electorate Allowance to be paid to a member of Parliament is the amount in Table </w:t>
      </w:r>
      <w:r>
        <w:rPr>
          <w:sz w:val="18"/>
          <w:szCs w:val="18"/>
          <w:lang w:val="en-US"/>
        </w:rPr>
        <w:t>C</w:t>
      </w:r>
      <w:r w:rsidRPr="0096612F">
        <w:rPr>
          <w:sz w:val="18"/>
          <w:szCs w:val="18"/>
          <w:lang w:val="en-US"/>
        </w:rPr>
        <w:t xml:space="preserve"> specified opposite the electorate to which that member is elected plus either</w:t>
      </w:r>
      <w:r w:rsidR="00F42474">
        <w:rPr>
          <w:sz w:val="18"/>
          <w:szCs w:val="18"/>
          <w:lang w:val="en-US"/>
        </w:rPr>
        <w:t>:</w:t>
      </w:r>
      <w:r w:rsidRPr="0096612F">
        <w:rPr>
          <w:sz w:val="18"/>
          <w:szCs w:val="18"/>
          <w:lang w:val="en-US"/>
        </w:rPr>
        <w:t xml:space="preserve"> </w:t>
      </w:r>
    </w:p>
    <w:p w:rsidR="00F42474" w:rsidRDefault="00F42474" w:rsidP="00E8097F">
      <w:pPr>
        <w:ind w:left="2127" w:hanging="425"/>
        <w:jc w:val="both"/>
        <w:rPr>
          <w:sz w:val="18"/>
          <w:szCs w:val="18"/>
          <w:lang w:val="en-US"/>
        </w:rPr>
      </w:pPr>
      <w:r>
        <w:rPr>
          <w:sz w:val="18"/>
          <w:szCs w:val="18"/>
          <w:lang w:val="en-US"/>
        </w:rPr>
        <w:t>(a)</w:t>
      </w:r>
      <w:r>
        <w:rPr>
          <w:sz w:val="18"/>
          <w:szCs w:val="18"/>
          <w:lang w:val="en-US"/>
        </w:rPr>
        <w:tab/>
      </w:r>
      <w:r w:rsidR="0096612F" w:rsidRPr="0096612F">
        <w:rPr>
          <w:sz w:val="18"/>
          <w:szCs w:val="18"/>
          <w:lang w:val="en-US"/>
        </w:rPr>
        <w:t xml:space="preserve">an amount equal to that amount </w:t>
      </w:r>
      <w:r w:rsidR="0003140C">
        <w:rPr>
          <w:sz w:val="18"/>
          <w:szCs w:val="18"/>
          <w:lang w:val="en-US"/>
        </w:rPr>
        <w:t>multiplied</w:t>
      </w:r>
      <w:r w:rsidR="0096612F" w:rsidRPr="0096612F">
        <w:rPr>
          <w:sz w:val="18"/>
          <w:szCs w:val="18"/>
          <w:lang w:val="en-US"/>
        </w:rPr>
        <w:t xml:space="preserve"> by the increase in the Consumer Price Index, Hobart, All Groups </w:t>
      </w:r>
      <w:r w:rsidR="00E14D34">
        <w:rPr>
          <w:sz w:val="18"/>
          <w:szCs w:val="18"/>
          <w:lang w:val="en-US"/>
        </w:rPr>
        <w:t>(</w:t>
      </w:r>
      <w:r w:rsidR="0096612F" w:rsidRPr="0096612F">
        <w:rPr>
          <w:sz w:val="18"/>
          <w:szCs w:val="18"/>
          <w:lang w:val="en-US"/>
        </w:rPr>
        <w:t xml:space="preserve">ABS Catalogue </w:t>
      </w:r>
      <w:r w:rsidR="0096612F" w:rsidRPr="0096612F">
        <w:rPr>
          <w:sz w:val="18"/>
          <w:szCs w:val="18"/>
        </w:rPr>
        <w:t>6401.0</w:t>
      </w:r>
      <w:r w:rsidR="00E14D34">
        <w:rPr>
          <w:sz w:val="18"/>
          <w:szCs w:val="18"/>
          <w:lang w:val="en-US"/>
        </w:rPr>
        <w:t>)</w:t>
      </w:r>
      <w:r w:rsidR="0096612F" w:rsidRPr="0096612F">
        <w:rPr>
          <w:sz w:val="18"/>
          <w:szCs w:val="18"/>
          <w:lang w:val="en-US"/>
        </w:rPr>
        <w:t xml:space="preserve"> for the twelve months preceding the December 2016 quarter</w:t>
      </w:r>
      <w:r>
        <w:rPr>
          <w:sz w:val="18"/>
          <w:szCs w:val="18"/>
          <w:lang w:val="en-US"/>
        </w:rPr>
        <w:t>,</w:t>
      </w:r>
      <w:r w:rsidR="0096612F" w:rsidRPr="0096612F">
        <w:rPr>
          <w:sz w:val="18"/>
          <w:szCs w:val="18"/>
          <w:lang w:val="en-US"/>
        </w:rPr>
        <w:t xml:space="preserve"> or </w:t>
      </w:r>
    </w:p>
    <w:p w:rsidR="0096612F" w:rsidRPr="0096612F" w:rsidRDefault="00F42474" w:rsidP="00E8097F">
      <w:pPr>
        <w:ind w:left="2127" w:hanging="425"/>
        <w:jc w:val="both"/>
        <w:rPr>
          <w:sz w:val="18"/>
          <w:szCs w:val="18"/>
          <w:lang w:val="en-US"/>
        </w:rPr>
      </w:pPr>
      <w:r>
        <w:rPr>
          <w:sz w:val="18"/>
          <w:szCs w:val="18"/>
          <w:lang w:val="en-US"/>
        </w:rPr>
        <w:t>(b)</w:t>
      </w:r>
      <w:r>
        <w:rPr>
          <w:sz w:val="18"/>
          <w:szCs w:val="18"/>
          <w:lang w:val="en-US"/>
        </w:rPr>
        <w:tab/>
      </w:r>
      <w:r w:rsidR="0096612F" w:rsidRPr="0096612F">
        <w:rPr>
          <w:sz w:val="18"/>
          <w:szCs w:val="18"/>
          <w:lang w:val="en-US"/>
        </w:rPr>
        <w:t>$0 should that Index not increase in that period.</w:t>
      </w:r>
    </w:p>
    <w:p w:rsidR="0096612F" w:rsidRPr="0096612F" w:rsidRDefault="0096612F" w:rsidP="0096612F">
      <w:pPr>
        <w:pStyle w:val="textbasic"/>
      </w:pPr>
      <w:bookmarkStart w:id="15" w:name="_Toc440377795"/>
      <w:r w:rsidRPr="0096612F">
        <w:t>3.3</w:t>
      </w:r>
      <w:r w:rsidRPr="0096612F">
        <w:tab/>
        <w:t>Committee Sitting Fees</w:t>
      </w:r>
      <w:bookmarkEnd w:id="15"/>
    </w:p>
    <w:p w:rsidR="0096612F" w:rsidRPr="0096612F" w:rsidRDefault="0096612F" w:rsidP="00E8097F">
      <w:pPr>
        <w:ind w:left="1134"/>
        <w:jc w:val="both"/>
        <w:rPr>
          <w:sz w:val="18"/>
          <w:szCs w:val="18"/>
          <w:lang w:val="en-US"/>
        </w:rPr>
      </w:pPr>
      <w:r w:rsidRPr="0096612F">
        <w:rPr>
          <w:sz w:val="18"/>
          <w:szCs w:val="18"/>
          <w:lang w:val="en-US"/>
        </w:rPr>
        <w:t>From 1 July 2016 to 30 June 2018, there is payable to the Chair of a Committee, for each day on which the Chair attends a summoned meeting of that Committee at which a quorum is present</w:t>
      </w:r>
      <w:r w:rsidR="00F42474">
        <w:rPr>
          <w:sz w:val="18"/>
          <w:szCs w:val="18"/>
          <w:lang w:val="en-US"/>
        </w:rPr>
        <w:t>,</w:t>
      </w:r>
      <w:r w:rsidRPr="0096612F">
        <w:rPr>
          <w:sz w:val="18"/>
          <w:szCs w:val="18"/>
          <w:lang w:val="en-US"/>
        </w:rPr>
        <w:t xml:space="preserve"> a sitting fee calculated on a daily basis, irrespective of the number of meetings, at the rate of 0.12% of the annual amount of the </w:t>
      </w:r>
      <w:r w:rsidR="00F42474" w:rsidRPr="0096612F">
        <w:rPr>
          <w:sz w:val="18"/>
          <w:szCs w:val="18"/>
          <w:lang w:val="en-US"/>
        </w:rPr>
        <w:t xml:space="preserve">basic salary </w:t>
      </w:r>
      <w:r w:rsidRPr="0096612F">
        <w:rPr>
          <w:sz w:val="18"/>
          <w:szCs w:val="18"/>
          <w:lang w:val="en-US"/>
        </w:rPr>
        <w:t>for the time being.</w:t>
      </w:r>
    </w:p>
    <w:p w:rsidR="0096612F" w:rsidRPr="0096612F" w:rsidRDefault="0096612F" w:rsidP="0096612F">
      <w:pPr>
        <w:pStyle w:val="textbasic"/>
      </w:pPr>
      <w:bookmarkStart w:id="16" w:name="_Toc440377796"/>
      <w:r w:rsidRPr="0096612F">
        <w:t>3.4</w:t>
      </w:r>
      <w:r w:rsidRPr="0096612F">
        <w:tab/>
        <w:t>Telecommunications Allowance</w:t>
      </w:r>
      <w:bookmarkEnd w:id="16"/>
    </w:p>
    <w:p w:rsidR="0096612F" w:rsidRPr="0096612F" w:rsidRDefault="0096612F" w:rsidP="00E8097F">
      <w:pPr>
        <w:ind w:left="1134"/>
        <w:jc w:val="both"/>
        <w:rPr>
          <w:sz w:val="18"/>
          <w:szCs w:val="18"/>
          <w:lang w:val="en-US"/>
        </w:rPr>
      </w:pPr>
      <w:r w:rsidRPr="0096612F">
        <w:rPr>
          <w:sz w:val="18"/>
          <w:szCs w:val="18"/>
          <w:lang w:val="en-US"/>
        </w:rPr>
        <w:t>From 1 July 2016 to 30 June 2018:</w:t>
      </w:r>
    </w:p>
    <w:p w:rsidR="0096612F" w:rsidRPr="0096612F" w:rsidRDefault="0096612F" w:rsidP="0096612F">
      <w:pPr>
        <w:numPr>
          <w:ilvl w:val="0"/>
          <w:numId w:val="14"/>
        </w:numPr>
        <w:tabs>
          <w:tab w:val="left" w:pos="1701"/>
        </w:tabs>
        <w:ind w:left="1701" w:hanging="567"/>
        <w:jc w:val="both"/>
        <w:rPr>
          <w:sz w:val="18"/>
          <w:szCs w:val="18"/>
          <w:lang w:val="en-US"/>
        </w:rPr>
      </w:pPr>
      <w:r w:rsidRPr="0096612F">
        <w:rPr>
          <w:sz w:val="18"/>
          <w:szCs w:val="18"/>
          <w:lang w:val="en-US"/>
        </w:rPr>
        <w:t>There is payable to each member of Parliament a Telecommunications Allowance.</w:t>
      </w:r>
    </w:p>
    <w:p w:rsidR="0096612F" w:rsidRPr="0096612F" w:rsidRDefault="0096612F" w:rsidP="0096612F">
      <w:pPr>
        <w:numPr>
          <w:ilvl w:val="0"/>
          <w:numId w:val="14"/>
        </w:numPr>
        <w:tabs>
          <w:tab w:val="left" w:pos="1701"/>
        </w:tabs>
        <w:ind w:left="1701" w:hanging="567"/>
        <w:jc w:val="both"/>
        <w:rPr>
          <w:sz w:val="18"/>
          <w:szCs w:val="18"/>
          <w:lang w:val="en-US"/>
        </w:rPr>
      </w:pPr>
      <w:r w:rsidRPr="0096612F">
        <w:rPr>
          <w:sz w:val="18"/>
          <w:szCs w:val="18"/>
          <w:lang w:val="en-US"/>
        </w:rPr>
        <w:t>The Telecommunications Allowance is to be paid by way of reimbursement of 90% of all charges for a mobile phone, except as outlined in subclause (3).</w:t>
      </w:r>
    </w:p>
    <w:p w:rsidR="0096612F" w:rsidRPr="0096612F" w:rsidRDefault="0096612F" w:rsidP="0096612F">
      <w:pPr>
        <w:numPr>
          <w:ilvl w:val="0"/>
          <w:numId w:val="14"/>
        </w:numPr>
        <w:tabs>
          <w:tab w:val="left" w:pos="1701"/>
        </w:tabs>
        <w:ind w:left="1701" w:hanging="567"/>
        <w:jc w:val="both"/>
        <w:rPr>
          <w:sz w:val="18"/>
          <w:szCs w:val="18"/>
          <w:lang w:val="en-US"/>
        </w:rPr>
      </w:pPr>
      <w:r w:rsidRPr="0096612F">
        <w:rPr>
          <w:sz w:val="18"/>
          <w:szCs w:val="18"/>
        </w:rPr>
        <w:t xml:space="preserve">The </w:t>
      </w:r>
      <w:r w:rsidRPr="0096612F">
        <w:rPr>
          <w:sz w:val="18"/>
          <w:szCs w:val="18"/>
          <w:lang w:val="en-US"/>
        </w:rPr>
        <w:t xml:space="preserve">Telecommunications </w:t>
      </w:r>
      <w:r w:rsidRPr="0096612F">
        <w:rPr>
          <w:sz w:val="18"/>
          <w:szCs w:val="18"/>
        </w:rPr>
        <w:t xml:space="preserve">Allowance in respect of a mobile telephone for the holder of the offices of the President of the Legislative Council, Speaker of the House of Assembly, Leader of the Opposition and Leader of a recognised non-government party, </w:t>
      </w:r>
      <w:r w:rsidR="00115282" w:rsidRPr="00115282">
        <w:rPr>
          <w:sz w:val="18"/>
          <w:szCs w:val="18"/>
          <w:lang w:val="en-US"/>
        </w:rPr>
        <w:t xml:space="preserve">is to be paid by way of reimbursement of </w:t>
      </w:r>
      <w:r w:rsidR="00115282">
        <w:rPr>
          <w:sz w:val="18"/>
          <w:szCs w:val="18"/>
          <w:lang w:val="en-US"/>
        </w:rPr>
        <w:t>10</w:t>
      </w:r>
      <w:r w:rsidR="00115282" w:rsidRPr="00115282">
        <w:rPr>
          <w:sz w:val="18"/>
          <w:szCs w:val="18"/>
          <w:lang w:val="en-US"/>
        </w:rPr>
        <w:t>0% of all charges for a mobile phone</w:t>
      </w:r>
      <w:r w:rsidRPr="0096612F">
        <w:rPr>
          <w:sz w:val="18"/>
          <w:szCs w:val="18"/>
        </w:rPr>
        <w:t>.</w:t>
      </w:r>
    </w:p>
    <w:p w:rsidR="0096612F" w:rsidRPr="0096612F" w:rsidRDefault="0096612F" w:rsidP="0096612F">
      <w:pPr>
        <w:pStyle w:val="textbasic"/>
      </w:pPr>
      <w:bookmarkStart w:id="17" w:name="_Toc440377797"/>
      <w:r w:rsidRPr="0096612F">
        <w:t>3.5</w:t>
      </w:r>
      <w:r w:rsidRPr="0096612F">
        <w:tab/>
        <w:t>Entertainment Allowance</w:t>
      </w:r>
      <w:bookmarkEnd w:id="17"/>
    </w:p>
    <w:p w:rsidR="0096612F" w:rsidRPr="0096612F" w:rsidRDefault="0096612F" w:rsidP="00E8097F">
      <w:pPr>
        <w:ind w:left="1701" w:hanging="567"/>
        <w:jc w:val="both"/>
        <w:rPr>
          <w:sz w:val="18"/>
          <w:szCs w:val="18"/>
          <w:lang w:val="en-US"/>
        </w:rPr>
      </w:pPr>
      <w:r w:rsidRPr="0096612F">
        <w:rPr>
          <w:sz w:val="18"/>
          <w:szCs w:val="18"/>
          <w:lang w:val="en-US"/>
        </w:rPr>
        <w:t>(1)</w:t>
      </w:r>
      <w:r w:rsidRPr="0096612F">
        <w:rPr>
          <w:sz w:val="18"/>
          <w:szCs w:val="18"/>
          <w:lang w:val="en-US"/>
        </w:rPr>
        <w:tab/>
        <w:t xml:space="preserve">From 1 July 2016 to 30 June 2018, there is payable to a person holding an office specified in the first column of </w:t>
      </w:r>
      <w:r w:rsidR="0003140C">
        <w:rPr>
          <w:sz w:val="18"/>
          <w:szCs w:val="18"/>
          <w:lang w:val="en-US"/>
        </w:rPr>
        <w:t>Table D</w:t>
      </w:r>
      <w:r w:rsidRPr="0096612F">
        <w:rPr>
          <w:sz w:val="18"/>
          <w:szCs w:val="18"/>
          <w:lang w:val="en-US"/>
        </w:rPr>
        <w:t xml:space="preserve"> an Entertainment Allowance of an amount equivalent to the percentage of the basic salary as specified in the second column. </w:t>
      </w:r>
    </w:p>
    <w:p w:rsidR="0096612F" w:rsidRPr="0096612F" w:rsidRDefault="0096612F" w:rsidP="0096612F">
      <w:pPr>
        <w:ind w:left="1134"/>
        <w:jc w:val="both"/>
        <w:rPr>
          <w:b/>
          <w:sz w:val="18"/>
          <w:szCs w:val="18"/>
          <w:lang w:val="en-US"/>
        </w:rPr>
      </w:pPr>
      <w:r w:rsidRPr="0096612F">
        <w:rPr>
          <w:b/>
          <w:sz w:val="18"/>
          <w:szCs w:val="18"/>
          <w:lang w:val="en-US"/>
        </w:rPr>
        <w:t>Table D – Entertainment Allowance</w:t>
      </w:r>
    </w:p>
    <w:tbl>
      <w:tblPr>
        <w:tblW w:w="0" w:type="auto"/>
        <w:tblInd w:w="1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tblGrid>
      <w:tr w:rsidR="0096612F" w:rsidRPr="0096612F" w:rsidTr="00327CCC">
        <w:tc>
          <w:tcPr>
            <w:tcW w:w="3119" w:type="dxa"/>
            <w:shd w:val="clear" w:color="auto" w:fill="D9D9D9" w:themeFill="background1" w:themeFillShade="D9"/>
          </w:tcPr>
          <w:p w:rsidR="0096612F" w:rsidRPr="0096612F" w:rsidRDefault="0096612F" w:rsidP="0096612F">
            <w:pPr>
              <w:ind w:left="318"/>
              <w:rPr>
                <w:b/>
                <w:sz w:val="18"/>
                <w:szCs w:val="18"/>
                <w:lang w:val="en-US"/>
              </w:rPr>
            </w:pPr>
            <w:r w:rsidRPr="0096612F">
              <w:rPr>
                <w:b/>
                <w:bCs/>
                <w:sz w:val="18"/>
                <w:szCs w:val="18"/>
              </w:rPr>
              <w:t>Column 1</w:t>
            </w:r>
            <w:r w:rsidRPr="0096612F">
              <w:rPr>
                <w:b/>
                <w:bCs/>
                <w:sz w:val="18"/>
                <w:szCs w:val="18"/>
              </w:rPr>
              <w:br/>
              <w:t>Office</w:t>
            </w:r>
          </w:p>
        </w:tc>
        <w:tc>
          <w:tcPr>
            <w:tcW w:w="3118" w:type="dxa"/>
            <w:shd w:val="clear" w:color="auto" w:fill="D9D9D9" w:themeFill="background1" w:themeFillShade="D9"/>
          </w:tcPr>
          <w:p w:rsidR="0096612F" w:rsidRPr="0096612F" w:rsidRDefault="0096612F" w:rsidP="0096612F">
            <w:pPr>
              <w:ind w:left="317"/>
              <w:rPr>
                <w:b/>
                <w:sz w:val="18"/>
                <w:szCs w:val="18"/>
                <w:lang w:val="en-US"/>
              </w:rPr>
            </w:pPr>
            <w:r w:rsidRPr="0096612F">
              <w:rPr>
                <w:b/>
                <w:bCs/>
                <w:sz w:val="18"/>
                <w:szCs w:val="18"/>
              </w:rPr>
              <w:t>Column 2</w:t>
            </w:r>
            <w:r w:rsidRPr="0096612F">
              <w:rPr>
                <w:b/>
                <w:bCs/>
                <w:sz w:val="18"/>
                <w:szCs w:val="18"/>
              </w:rPr>
              <w:br/>
              <w:t>(% of basic salary)</w:t>
            </w:r>
          </w:p>
        </w:tc>
      </w:tr>
      <w:tr w:rsidR="0096612F" w:rsidRPr="0096612F" w:rsidTr="0096612F">
        <w:tc>
          <w:tcPr>
            <w:tcW w:w="3119" w:type="dxa"/>
            <w:shd w:val="clear" w:color="auto" w:fill="auto"/>
          </w:tcPr>
          <w:p w:rsidR="0096612F" w:rsidRPr="0096612F" w:rsidRDefault="0096612F" w:rsidP="0096612F">
            <w:pPr>
              <w:ind w:left="318"/>
              <w:rPr>
                <w:b/>
                <w:sz w:val="18"/>
                <w:szCs w:val="18"/>
                <w:lang w:val="en-US"/>
              </w:rPr>
            </w:pPr>
            <w:r w:rsidRPr="0096612F">
              <w:rPr>
                <w:sz w:val="18"/>
                <w:szCs w:val="18"/>
              </w:rPr>
              <w:t>Premier</w:t>
            </w:r>
          </w:p>
        </w:tc>
        <w:tc>
          <w:tcPr>
            <w:tcW w:w="3118" w:type="dxa"/>
            <w:shd w:val="clear" w:color="auto" w:fill="auto"/>
          </w:tcPr>
          <w:p w:rsidR="0096612F" w:rsidRPr="0096612F" w:rsidRDefault="006C212F" w:rsidP="00F42474">
            <w:pPr>
              <w:ind w:left="15"/>
              <w:jc w:val="center"/>
              <w:rPr>
                <w:b/>
                <w:sz w:val="18"/>
                <w:szCs w:val="18"/>
                <w:lang w:val="en-US"/>
              </w:rPr>
            </w:pPr>
            <w:r>
              <w:rPr>
                <w:sz w:val="18"/>
                <w:szCs w:val="18"/>
              </w:rPr>
              <w:t>12</w:t>
            </w:r>
          </w:p>
        </w:tc>
      </w:tr>
      <w:tr w:rsidR="0096612F" w:rsidRPr="0096612F" w:rsidTr="0096612F">
        <w:tc>
          <w:tcPr>
            <w:tcW w:w="3119" w:type="dxa"/>
            <w:shd w:val="clear" w:color="auto" w:fill="auto"/>
          </w:tcPr>
          <w:p w:rsidR="0096612F" w:rsidRPr="0096612F" w:rsidRDefault="0096612F" w:rsidP="0096612F">
            <w:pPr>
              <w:ind w:left="318"/>
              <w:rPr>
                <w:b/>
                <w:sz w:val="18"/>
                <w:szCs w:val="18"/>
                <w:lang w:val="en-US"/>
              </w:rPr>
            </w:pPr>
            <w:r w:rsidRPr="0096612F">
              <w:rPr>
                <w:sz w:val="18"/>
                <w:szCs w:val="18"/>
              </w:rPr>
              <w:t>President of the Legislative Council</w:t>
            </w:r>
          </w:p>
        </w:tc>
        <w:tc>
          <w:tcPr>
            <w:tcW w:w="3118" w:type="dxa"/>
            <w:shd w:val="clear" w:color="auto" w:fill="auto"/>
          </w:tcPr>
          <w:p w:rsidR="0096612F" w:rsidRPr="0096612F" w:rsidRDefault="006C212F" w:rsidP="00F42474">
            <w:pPr>
              <w:ind w:left="15"/>
              <w:jc w:val="center"/>
              <w:rPr>
                <w:b/>
                <w:sz w:val="18"/>
                <w:szCs w:val="18"/>
                <w:lang w:val="en-US"/>
              </w:rPr>
            </w:pPr>
            <w:r>
              <w:rPr>
                <w:sz w:val="18"/>
                <w:szCs w:val="18"/>
              </w:rPr>
              <w:t>6</w:t>
            </w:r>
          </w:p>
        </w:tc>
      </w:tr>
      <w:tr w:rsidR="0096612F" w:rsidRPr="0096612F" w:rsidTr="0096612F">
        <w:tc>
          <w:tcPr>
            <w:tcW w:w="3119" w:type="dxa"/>
            <w:shd w:val="clear" w:color="auto" w:fill="auto"/>
          </w:tcPr>
          <w:p w:rsidR="0096612F" w:rsidRPr="0096612F" w:rsidRDefault="0096612F" w:rsidP="0096612F">
            <w:pPr>
              <w:ind w:left="318"/>
              <w:rPr>
                <w:b/>
                <w:sz w:val="18"/>
                <w:szCs w:val="18"/>
                <w:lang w:val="en-US"/>
              </w:rPr>
            </w:pPr>
            <w:r w:rsidRPr="0096612F">
              <w:rPr>
                <w:sz w:val="18"/>
                <w:szCs w:val="18"/>
              </w:rPr>
              <w:t>Speaker of the House of Assembly</w:t>
            </w:r>
          </w:p>
        </w:tc>
        <w:tc>
          <w:tcPr>
            <w:tcW w:w="3118" w:type="dxa"/>
            <w:shd w:val="clear" w:color="auto" w:fill="auto"/>
            <w:vAlign w:val="center"/>
          </w:tcPr>
          <w:p w:rsidR="0096612F" w:rsidRPr="0096612F" w:rsidRDefault="006C212F" w:rsidP="00F42474">
            <w:pPr>
              <w:ind w:left="15"/>
              <w:jc w:val="center"/>
              <w:rPr>
                <w:sz w:val="18"/>
                <w:szCs w:val="18"/>
              </w:rPr>
            </w:pPr>
            <w:r>
              <w:rPr>
                <w:sz w:val="18"/>
                <w:szCs w:val="18"/>
              </w:rPr>
              <w:t>6</w:t>
            </w:r>
          </w:p>
        </w:tc>
      </w:tr>
    </w:tbl>
    <w:p w:rsidR="0096612F" w:rsidRDefault="0096612F" w:rsidP="0096612F">
      <w:pPr>
        <w:pStyle w:val="textbasic"/>
      </w:pPr>
      <w:bookmarkStart w:id="18" w:name="_Toc440377798"/>
    </w:p>
    <w:p w:rsidR="00E8097F" w:rsidRDefault="00E8097F">
      <w:pPr>
        <w:spacing w:after="0"/>
        <w:rPr>
          <w:sz w:val="18"/>
          <w:szCs w:val="18"/>
          <w:lang w:val="en-US"/>
        </w:rPr>
      </w:pPr>
      <w:r>
        <w:br w:type="page"/>
      </w:r>
    </w:p>
    <w:p w:rsidR="0096612F" w:rsidRPr="0096612F" w:rsidRDefault="0096612F" w:rsidP="0096612F">
      <w:pPr>
        <w:pStyle w:val="textbasic"/>
      </w:pPr>
      <w:r w:rsidRPr="0096612F">
        <w:lastRenderedPageBreak/>
        <w:t>3.6</w:t>
      </w:r>
      <w:r w:rsidRPr="0096612F">
        <w:tab/>
        <w:t>Away from Home Travelling Allowance</w:t>
      </w:r>
      <w:bookmarkEnd w:id="18"/>
    </w:p>
    <w:p w:rsidR="0096612F" w:rsidRPr="0096612F" w:rsidRDefault="0096612F" w:rsidP="0096612F">
      <w:pPr>
        <w:ind w:left="1080"/>
        <w:jc w:val="both"/>
        <w:rPr>
          <w:sz w:val="18"/>
          <w:szCs w:val="18"/>
          <w:lang w:val="en-US"/>
        </w:rPr>
      </w:pPr>
      <w:r w:rsidRPr="0096612F">
        <w:rPr>
          <w:sz w:val="18"/>
          <w:szCs w:val="18"/>
          <w:lang w:val="en-US"/>
        </w:rPr>
        <w:t>From 1 July 2016 to 30 June 2018:</w:t>
      </w:r>
    </w:p>
    <w:p w:rsidR="0096612F" w:rsidRPr="0096612F" w:rsidRDefault="0096612F" w:rsidP="00E8097F">
      <w:pPr>
        <w:spacing w:before="100" w:beforeAutospacing="1" w:after="100" w:afterAutospacing="1"/>
        <w:ind w:left="1701" w:hanging="567"/>
        <w:jc w:val="both"/>
        <w:rPr>
          <w:rFonts w:eastAsia="Times New Roman"/>
          <w:sz w:val="18"/>
          <w:szCs w:val="18"/>
          <w:lang w:eastAsia="en-AU"/>
        </w:rPr>
      </w:pPr>
      <w:r w:rsidRPr="0096612F">
        <w:rPr>
          <w:rFonts w:eastAsia="Times New Roman"/>
          <w:bCs/>
          <w:sz w:val="18"/>
          <w:szCs w:val="18"/>
          <w:lang w:eastAsia="en-AU"/>
        </w:rPr>
        <w:t>(1)</w:t>
      </w:r>
      <w:r w:rsidRPr="0096612F">
        <w:rPr>
          <w:rFonts w:eastAsia="Times New Roman"/>
          <w:bCs/>
          <w:sz w:val="18"/>
          <w:szCs w:val="18"/>
          <w:lang w:eastAsia="en-AU"/>
        </w:rPr>
        <w:tab/>
      </w:r>
      <w:r w:rsidRPr="0096612F">
        <w:rPr>
          <w:rFonts w:eastAsia="Times New Roman"/>
          <w:sz w:val="18"/>
          <w:szCs w:val="18"/>
          <w:lang w:eastAsia="en-AU"/>
        </w:rPr>
        <w:t>There is payable to a member of Parliament an Away From Home Travelling Allowance for expenses incurred while travelling on official parliamentary business.</w:t>
      </w:r>
    </w:p>
    <w:p w:rsidR="0096612F" w:rsidRPr="0096612F" w:rsidRDefault="0096612F" w:rsidP="00E8097F">
      <w:pPr>
        <w:spacing w:before="100" w:beforeAutospacing="1" w:after="100" w:afterAutospacing="1"/>
        <w:ind w:left="1701" w:hanging="567"/>
        <w:jc w:val="both"/>
        <w:rPr>
          <w:rFonts w:eastAsia="Times New Roman"/>
          <w:sz w:val="18"/>
          <w:szCs w:val="18"/>
          <w:lang w:eastAsia="en-AU"/>
        </w:rPr>
      </w:pPr>
      <w:r w:rsidRPr="0096612F">
        <w:rPr>
          <w:rFonts w:eastAsia="Times New Roman"/>
          <w:bCs/>
          <w:sz w:val="18"/>
          <w:szCs w:val="18"/>
          <w:lang w:eastAsia="en-AU"/>
        </w:rPr>
        <w:t>(2)</w:t>
      </w:r>
      <w:r w:rsidRPr="0096612F">
        <w:rPr>
          <w:rFonts w:eastAsia="Times New Roman"/>
          <w:sz w:val="18"/>
          <w:szCs w:val="18"/>
          <w:lang w:eastAsia="en-AU"/>
        </w:rPr>
        <w:t xml:space="preserve"> </w:t>
      </w:r>
      <w:r w:rsidRPr="0096612F">
        <w:rPr>
          <w:rFonts w:eastAsia="Times New Roman"/>
          <w:sz w:val="18"/>
          <w:szCs w:val="18"/>
          <w:lang w:eastAsia="en-AU"/>
        </w:rPr>
        <w:tab/>
      </w:r>
      <w:r w:rsidRPr="0096612F">
        <w:rPr>
          <w:rFonts w:eastAsia="Times New Roman"/>
          <w:sz w:val="18"/>
          <w:szCs w:val="18"/>
          <w:lang w:val="en-US" w:eastAsia="en-AU"/>
        </w:rPr>
        <w:t xml:space="preserve">The rate of and the circumstances under which the </w:t>
      </w:r>
      <w:r w:rsidR="00F42474">
        <w:rPr>
          <w:rFonts w:eastAsia="Times New Roman"/>
          <w:sz w:val="18"/>
          <w:szCs w:val="18"/>
          <w:lang w:val="en-US" w:eastAsia="en-AU"/>
        </w:rPr>
        <w:t>a</w:t>
      </w:r>
      <w:r w:rsidR="00F42474" w:rsidRPr="0096612F">
        <w:rPr>
          <w:rFonts w:eastAsia="Times New Roman"/>
          <w:sz w:val="18"/>
          <w:szCs w:val="18"/>
          <w:lang w:val="en-US" w:eastAsia="en-AU"/>
        </w:rPr>
        <w:t xml:space="preserve">llowance </w:t>
      </w:r>
      <w:r w:rsidRPr="0096612F">
        <w:rPr>
          <w:rFonts w:eastAsia="Times New Roman"/>
          <w:sz w:val="18"/>
          <w:szCs w:val="18"/>
          <w:lang w:val="en-US" w:eastAsia="en-AU"/>
        </w:rPr>
        <w:t>is payable shall be in accordance with the Travel Allowance and Meal Allowance components prescribed from time to time by the Tasmanian State Service Award of the Commission.</w:t>
      </w:r>
    </w:p>
    <w:p w:rsidR="0096612F" w:rsidRPr="0096612F" w:rsidRDefault="0096612F" w:rsidP="00E8097F">
      <w:pPr>
        <w:spacing w:before="100" w:beforeAutospacing="1" w:after="100" w:afterAutospacing="1"/>
        <w:ind w:left="1701" w:hanging="567"/>
        <w:jc w:val="both"/>
        <w:rPr>
          <w:rFonts w:eastAsia="Times New Roman"/>
          <w:sz w:val="18"/>
          <w:szCs w:val="18"/>
          <w:lang w:eastAsia="en-AU"/>
        </w:rPr>
      </w:pPr>
      <w:r w:rsidRPr="0096612F">
        <w:rPr>
          <w:rFonts w:eastAsia="Times New Roman"/>
          <w:bCs/>
          <w:sz w:val="18"/>
          <w:szCs w:val="18"/>
          <w:lang w:eastAsia="en-AU"/>
        </w:rPr>
        <w:t>(3)</w:t>
      </w:r>
      <w:r w:rsidRPr="0096612F">
        <w:rPr>
          <w:rFonts w:eastAsia="Times New Roman"/>
          <w:sz w:val="18"/>
          <w:szCs w:val="18"/>
          <w:lang w:eastAsia="en-AU"/>
        </w:rPr>
        <w:t xml:space="preserve"> </w:t>
      </w:r>
      <w:r w:rsidRPr="0096612F">
        <w:rPr>
          <w:rFonts w:eastAsia="Times New Roman"/>
          <w:sz w:val="18"/>
          <w:szCs w:val="18"/>
          <w:lang w:eastAsia="en-AU"/>
        </w:rPr>
        <w:tab/>
        <w:t xml:space="preserve">Where a member of Parliament exceeds the </w:t>
      </w:r>
      <w:r w:rsidR="00F42474">
        <w:rPr>
          <w:rFonts w:eastAsia="Times New Roman"/>
          <w:sz w:val="18"/>
          <w:szCs w:val="18"/>
          <w:lang w:eastAsia="en-AU"/>
        </w:rPr>
        <w:t>a</w:t>
      </w:r>
      <w:r w:rsidRPr="0096612F">
        <w:rPr>
          <w:rFonts w:eastAsia="Times New Roman"/>
          <w:sz w:val="18"/>
          <w:szCs w:val="18"/>
          <w:lang w:eastAsia="en-AU"/>
        </w:rPr>
        <w:t>llowance to which he or she is entitled, the member may, subject to any guidelines issued from time to time by the Government, claim an allowance by way of reimbursement of expenses, at the rate equivalent to the actual expenses incurred, on submission of documentary evidence of those expenses.</w:t>
      </w:r>
    </w:p>
    <w:p w:rsidR="0096612F" w:rsidRPr="0096612F" w:rsidRDefault="0096612F" w:rsidP="00E8097F">
      <w:pPr>
        <w:spacing w:before="100" w:beforeAutospacing="1" w:after="100" w:afterAutospacing="1"/>
        <w:ind w:left="1701" w:hanging="567"/>
        <w:jc w:val="both"/>
        <w:rPr>
          <w:rFonts w:eastAsia="Times New Roman"/>
          <w:sz w:val="18"/>
          <w:szCs w:val="18"/>
          <w:lang w:eastAsia="en-AU"/>
        </w:rPr>
      </w:pPr>
      <w:r w:rsidRPr="0096612F">
        <w:rPr>
          <w:rFonts w:eastAsia="Times New Roman"/>
          <w:bCs/>
          <w:sz w:val="18"/>
          <w:szCs w:val="18"/>
          <w:lang w:eastAsia="en-AU"/>
        </w:rPr>
        <w:t>(4)</w:t>
      </w:r>
      <w:r w:rsidRPr="0096612F">
        <w:rPr>
          <w:rFonts w:eastAsia="Times New Roman"/>
          <w:sz w:val="18"/>
          <w:szCs w:val="18"/>
          <w:lang w:eastAsia="en-AU"/>
        </w:rPr>
        <w:t xml:space="preserve"> </w:t>
      </w:r>
      <w:r w:rsidRPr="0096612F">
        <w:rPr>
          <w:rFonts w:eastAsia="Times New Roman"/>
          <w:sz w:val="18"/>
          <w:szCs w:val="18"/>
          <w:lang w:eastAsia="en-AU"/>
        </w:rPr>
        <w:tab/>
        <w:t xml:space="preserve">The </w:t>
      </w:r>
      <w:r w:rsidR="00F42474">
        <w:rPr>
          <w:rFonts w:eastAsia="Times New Roman"/>
          <w:sz w:val="18"/>
          <w:szCs w:val="18"/>
          <w:lang w:eastAsia="en-AU"/>
        </w:rPr>
        <w:t>a</w:t>
      </w:r>
      <w:r w:rsidRPr="0096612F">
        <w:rPr>
          <w:rFonts w:eastAsia="Times New Roman"/>
          <w:sz w:val="18"/>
          <w:szCs w:val="18"/>
          <w:lang w:eastAsia="en-AU"/>
        </w:rPr>
        <w:t xml:space="preserve">llowances referred to in subclauses (2) and (3) are mutually exclusive and a member must claim either the </w:t>
      </w:r>
      <w:r w:rsidR="00F42474">
        <w:rPr>
          <w:rFonts w:eastAsia="Times New Roman"/>
          <w:sz w:val="18"/>
          <w:szCs w:val="18"/>
          <w:lang w:eastAsia="en-AU"/>
        </w:rPr>
        <w:t>al</w:t>
      </w:r>
      <w:r w:rsidRPr="0096612F">
        <w:rPr>
          <w:rFonts w:eastAsia="Times New Roman"/>
          <w:sz w:val="18"/>
          <w:szCs w:val="18"/>
          <w:lang w:eastAsia="en-AU"/>
        </w:rPr>
        <w:t>lowance referred to in subclause (2) or the reimbursement of actual expenses referred to in subclause (3).</w:t>
      </w:r>
    </w:p>
    <w:p w:rsidR="0096612F" w:rsidRPr="0096612F" w:rsidRDefault="0096612F" w:rsidP="0096612F">
      <w:pPr>
        <w:pStyle w:val="textbasic"/>
      </w:pPr>
      <w:bookmarkStart w:id="19" w:name="_Toc440377799"/>
      <w:r w:rsidRPr="0096612F">
        <w:t>3.7</w:t>
      </w:r>
      <w:r w:rsidRPr="0096612F">
        <w:tab/>
        <w:t xml:space="preserve">Bass Strait Islands Travelling Allowance </w:t>
      </w:r>
      <w:bookmarkEnd w:id="19"/>
    </w:p>
    <w:p w:rsidR="0096612F" w:rsidRPr="0096612F" w:rsidRDefault="0096612F" w:rsidP="0096612F">
      <w:pPr>
        <w:ind w:left="1080"/>
        <w:jc w:val="both"/>
        <w:rPr>
          <w:sz w:val="18"/>
          <w:szCs w:val="18"/>
          <w:lang w:val="en-US"/>
        </w:rPr>
      </w:pPr>
      <w:r w:rsidRPr="0096612F">
        <w:rPr>
          <w:sz w:val="18"/>
          <w:szCs w:val="18"/>
          <w:lang w:val="en-US"/>
        </w:rPr>
        <w:t>From 1 July 2016 to 30 June 2018:</w:t>
      </w:r>
    </w:p>
    <w:p w:rsidR="0096612F" w:rsidRPr="0096612F" w:rsidRDefault="0096612F" w:rsidP="00E8097F">
      <w:pPr>
        <w:spacing w:before="100" w:beforeAutospacing="1" w:after="100" w:afterAutospacing="1"/>
        <w:ind w:left="1701" w:hanging="567"/>
        <w:jc w:val="both"/>
        <w:rPr>
          <w:rFonts w:eastAsia="Times New Roman"/>
          <w:sz w:val="18"/>
          <w:szCs w:val="18"/>
          <w:lang w:eastAsia="en-AU"/>
        </w:rPr>
      </w:pPr>
      <w:bookmarkStart w:id="20" w:name="JS6@GC7@Gc1@EN"/>
      <w:bookmarkEnd w:id="20"/>
      <w:r w:rsidRPr="0096612F">
        <w:rPr>
          <w:rFonts w:eastAsia="Times New Roman"/>
          <w:bCs/>
          <w:sz w:val="18"/>
          <w:szCs w:val="18"/>
          <w:lang w:eastAsia="en-AU"/>
        </w:rPr>
        <w:t>(1)</w:t>
      </w:r>
      <w:r w:rsidRPr="0096612F">
        <w:rPr>
          <w:rFonts w:eastAsia="Times New Roman"/>
          <w:bCs/>
          <w:sz w:val="18"/>
          <w:szCs w:val="18"/>
          <w:lang w:eastAsia="en-AU"/>
        </w:rPr>
        <w:tab/>
      </w:r>
      <w:r w:rsidRPr="0096612F">
        <w:rPr>
          <w:rFonts w:eastAsia="Times New Roman"/>
          <w:sz w:val="18"/>
          <w:szCs w:val="18"/>
          <w:lang w:eastAsia="en-AU"/>
        </w:rPr>
        <w:t>There is payable to any member of Parliament travelling to the Bass Strait Islands on official parliamentary business a Bass Strait Islands Travelling Allowance.</w:t>
      </w:r>
    </w:p>
    <w:p w:rsidR="0096612F" w:rsidRPr="0096612F" w:rsidRDefault="0096612F" w:rsidP="00E8097F">
      <w:pPr>
        <w:spacing w:before="100" w:beforeAutospacing="1" w:after="100" w:afterAutospacing="1"/>
        <w:ind w:left="1701" w:hanging="567"/>
        <w:jc w:val="both"/>
        <w:rPr>
          <w:rFonts w:eastAsia="Times New Roman"/>
          <w:sz w:val="18"/>
          <w:szCs w:val="18"/>
          <w:lang w:eastAsia="en-AU"/>
        </w:rPr>
      </w:pPr>
      <w:bookmarkStart w:id="21" w:name="JS6@GC7@Gc2@EN"/>
      <w:bookmarkEnd w:id="21"/>
      <w:r w:rsidRPr="0096612F">
        <w:rPr>
          <w:rFonts w:eastAsia="Times New Roman"/>
          <w:bCs/>
          <w:sz w:val="18"/>
          <w:szCs w:val="18"/>
          <w:lang w:eastAsia="en-AU"/>
        </w:rPr>
        <w:t>(2)</w:t>
      </w:r>
      <w:r w:rsidRPr="0096612F">
        <w:rPr>
          <w:rFonts w:eastAsia="Times New Roman"/>
          <w:bCs/>
          <w:sz w:val="18"/>
          <w:szCs w:val="18"/>
          <w:lang w:eastAsia="en-AU"/>
        </w:rPr>
        <w:tab/>
      </w:r>
      <w:r w:rsidRPr="0096612F">
        <w:rPr>
          <w:rFonts w:eastAsia="Times New Roman"/>
          <w:sz w:val="18"/>
          <w:szCs w:val="18"/>
          <w:lang w:eastAsia="en-AU"/>
        </w:rPr>
        <w:t>The Bass Strait Islands Travelling Allowance is payable by way of reimbursement of expenses incurred by members of Parliament.</w:t>
      </w:r>
    </w:p>
    <w:p w:rsidR="0096612F" w:rsidRPr="0015640D" w:rsidRDefault="0096612F" w:rsidP="0096612F">
      <w:pPr>
        <w:pStyle w:val="Heading2"/>
        <w:rPr>
          <w:b/>
        </w:rPr>
      </w:pPr>
      <w:bookmarkStart w:id="22" w:name="_Toc440377800"/>
      <w:bookmarkStart w:id="23" w:name="_Toc443486901"/>
      <w:r w:rsidRPr="0015640D">
        <w:rPr>
          <w:b/>
        </w:rPr>
        <w:t>4</w:t>
      </w:r>
      <w:r w:rsidRPr="0015640D">
        <w:rPr>
          <w:b/>
        </w:rPr>
        <w:tab/>
        <w:t>Date of Effect</w:t>
      </w:r>
      <w:bookmarkEnd w:id="22"/>
      <w:bookmarkEnd w:id="23"/>
    </w:p>
    <w:p w:rsidR="0096612F" w:rsidRPr="0096612F" w:rsidRDefault="0096612F" w:rsidP="0096612F">
      <w:pPr>
        <w:jc w:val="both"/>
        <w:rPr>
          <w:sz w:val="18"/>
          <w:szCs w:val="18"/>
          <w:lang w:val="en-US"/>
        </w:rPr>
      </w:pPr>
      <w:r w:rsidRPr="0096612F">
        <w:rPr>
          <w:sz w:val="18"/>
          <w:szCs w:val="18"/>
          <w:lang w:val="en-US"/>
        </w:rPr>
        <w:t>The date on which this Determination takes effect is 1 July 2016.</w:t>
      </w:r>
    </w:p>
    <w:p w:rsidR="0096612F" w:rsidRPr="0015640D" w:rsidRDefault="0096612F" w:rsidP="0096612F">
      <w:pPr>
        <w:pStyle w:val="Heading2"/>
        <w:rPr>
          <w:b/>
        </w:rPr>
      </w:pPr>
      <w:bookmarkStart w:id="24" w:name="_Toc440377801"/>
      <w:bookmarkStart w:id="25" w:name="_Toc443486902"/>
      <w:r w:rsidRPr="0015640D">
        <w:rPr>
          <w:b/>
        </w:rPr>
        <w:t>5</w:t>
      </w:r>
      <w:r w:rsidRPr="0015640D">
        <w:rPr>
          <w:b/>
        </w:rPr>
        <w:tab/>
        <w:t>Date of Ceasing to have Effect</w:t>
      </w:r>
      <w:bookmarkEnd w:id="24"/>
      <w:bookmarkEnd w:id="25"/>
    </w:p>
    <w:p w:rsidR="0096612F" w:rsidRPr="0096612F" w:rsidRDefault="0096612F" w:rsidP="0096612F">
      <w:pPr>
        <w:jc w:val="both"/>
        <w:rPr>
          <w:sz w:val="18"/>
          <w:szCs w:val="18"/>
          <w:lang w:val="en-US"/>
        </w:rPr>
      </w:pPr>
      <w:r w:rsidRPr="0096612F">
        <w:rPr>
          <w:sz w:val="18"/>
          <w:szCs w:val="18"/>
          <w:lang w:val="en-US"/>
        </w:rPr>
        <w:t>The date on which this Determination ceases to have effect is 30 June 2018.</w:t>
      </w:r>
      <w:r w:rsidRPr="0096612F">
        <w:rPr>
          <w:sz w:val="18"/>
          <w:szCs w:val="18"/>
          <w:vertAlign w:val="superscript"/>
          <w:lang w:val="en-US"/>
        </w:rPr>
        <w:footnoteReference w:id="4"/>
      </w:r>
    </w:p>
    <w:p w:rsidR="0096612F" w:rsidRPr="0015640D" w:rsidRDefault="0096612F" w:rsidP="0096612F">
      <w:pPr>
        <w:pStyle w:val="Heading2"/>
        <w:rPr>
          <w:b/>
        </w:rPr>
      </w:pPr>
      <w:bookmarkStart w:id="28" w:name="_Toc440377802"/>
      <w:bookmarkStart w:id="29" w:name="_Toc443486903"/>
      <w:r w:rsidRPr="0015640D">
        <w:rPr>
          <w:b/>
        </w:rPr>
        <w:t xml:space="preserve">6 </w:t>
      </w:r>
      <w:r w:rsidRPr="0015640D">
        <w:rPr>
          <w:b/>
        </w:rPr>
        <w:tab/>
        <w:t xml:space="preserve">Date of </w:t>
      </w:r>
      <w:r w:rsidR="0015640D" w:rsidRPr="0015640D">
        <w:rPr>
          <w:b/>
        </w:rPr>
        <w:t xml:space="preserve">Next </w:t>
      </w:r>
      <w:r w:rsidRPr="0015640D">
        <w:rPr>
          <w:b/>
        </w:rPr>
        <w:t>Inquiry and Report</w:t>
      </w:r>
      <w:bookmarkEnd w:id="28"/>
      <w:bookmarkEnd w:id="29"/>
    </w:p>
    <w:p w:rsidR="0096612F" w:rsidRPr="0096612F" w:rsidRDefault="0096612F" w:rsidP="00E8097F">
      <w:pPr>
        <w:spacing w:after="120"/>
        <w:jc w:val="both"/>
        <w:rPr>
          <w:sz w:val="18"/>
          <w:szCs w:val="18"/>
          <w:lang w:val="en-US"/>
        </w:rPr>
      </w:pPr>
      <w:r w:rsidRPr="0096612F">
        <w:rPr>
          <w:sz w:val="18"/>
          <w:szCs w:val="18"/>
          <w:lang w:val="en-US"/>
        </w:rPr>
        <w:t>The date by which a report is to be provided to the Clerk of each House of Parliament in relation to a further inquiry by the Commission in accordance with section 3C(1) of the 2012 Act is 1 March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118"/>
        <w:gridCol w:w="3322"/>
      </w:tblGrid>
      <w:tr w:rsidR="009363DE" w:rsidTr="007C39E8">
        <w:tc>
          <w:tcPr>
            <w:tcW w:w="2802" w:type="dxa"/>
          </w:tcPr>
          <w:p w:rsidR="009363DE" w:rsidRDefault="009363DE" w:rsidP="009363DE">
            <w:pPr>
              <w:spacing w:before="240" w:after="0"/>
              <w:rPr>
                <w:sz w:val="18"/>
                <w:szCs w:val="18"/>
                <w:lang w:val="en-US"/>
              </w:rPr>
            </w:pPr>
            <w:r w:rsidRPr="0096612F">
              <w:rPr>
                <w:sz w:val="18"/>
                <w:szCs w:val="18"/>
                <w:lang w:val="en-US"/>
              </w:rPr>
              <w:t xml:space="preserve">Tim Abey </w:t>
            </w:r>
            <w:r>
              <w:rPr>
                <w:sz w:val="18"/>
                <w:szCs w:val="18"/>
                <w:lang w:val="en-US"/>
              </w:rPr>
              <w:br/>
            </w:r>
            <w:r w:rsidRPr="0096612F">
              <w:rPr>
                <w:sz w:val="18"/>
                <w:szCs w:val="18"/>
                <w:lang w:val="en-US"/>
              </w:rPr>
              <w:t>(President)</w:t>
            </w:r>
            <w:r>
              <w:rPr>
                <w:sz w:val="18"/>
                <w:szCs w:val="18"/>
                <w:lang w:val="en-US"/>
              </w:rPr>
              <w:br/>
              <w:t>29 February 2016</w:t>
            </w:r>
          </w:p>
        </w:tc>
        <w:tc>
          <w:tcPr>
            <w:tcW w:w="3118" w:type="dxa"/>
          </w:tcPr>
          <w:p w:rsidR="009363DE" w:rsidRDefault="009363DE" w:rsidP="009363DE">
            <w:pPr>
              <w:spacing w:before="240" w:after="0"/>
              <w:rPr>
                <w:sz w:val="18"/>
                <w:szCs w:val="18"/>
                <w:lang w:val="en-US"/>
              </w:rPr>
            </w:pPr>
            <w:r w:rsidRPr="0096612F">
              <w:rPr>
                <w:sz w:val="18"/>
                <w:szCs w:val="18"/>
                <w:lang w:val="en-US"/>
              </w:rPr>
              <w:t xml:space="preserve">Nicole Wells </w:t>
            </w:r>
            <w:r>
              <w:rPr>
                <w:sz w:val="18"/>
                <w:szCs w:val="18"/>
                <w:lang w:val="en-US"/>
              </w:rPr>
              <w:br/>
            </w:r>
            <w:r w:rsidRPr="0096612F">
              <w:rPr>
                <w:sz w:val="18"/>
                <w:szCs w:val="18"/>
                <w:lang w:val="en-US"/>
              </w:rPr>
              <w:t>(Deputy President)</w:t>
            </w:r>
          </w:p>
        </w:tc>
        <w:tc>
          <w:tcPr>
            <w:tcW w:w="3322" w:type="dxa"/>
          </w:tcPr>
          <w:p w:rsidR="009363DE" w:rsidRDefault="009363DE" w:rsidP="009363DE">
            <w:pPr>
              <w:spacing w:before="240" w:after="0"/>
              <w:rPr>
                <w:sz w:val="18"/>
                <w:szCs w:val="18"/>
                <w:lang w:val="en-US"/>
              </w:rPr>
            </w:pPr>
            <w:r w:rsidRPr="0096612F">
              <w:rPr>
                <w:sz w:val="18"/>
                <w:szCs w:val="18"/>
                <w:lang w:val="en-US"/>
              </w:rPr>
              <w:t xml:space="preserve">Michael Roberts </w:t>
            </w:r>
            <w:r>
              <w:rPr>
                <w:sz w:val="18"/>
                <w:szCs w:val="18"/>
                <w:lang w:val="en-US"/>
              </w:rPr>
              <w:br/>
            </w:r>
            <w:r w:rsidRPr="0096612F">
              <w:rPr>
                <w:sz w:val="18"/>
                <w:szCs w:val="18"/>
                <w:lang w:val="en-US"/>
              </w:rPr>
              <w:t>(Commissioner)</w:t>
            </w:r>
          </w:p>
        </w:tc>
      </w:tr>
    </w:tbl>
    <w:p w:rsidR="00211FD1" w:rsidRDefault="00211FD1" w:rsidP="00446F49">
      <w:pPr>
        <w:rPr>
          <w:lang w:val="en-US"/>
        </w:rPr>
        <w:sectPr w:rsidR="00211FD1" w:rsidSect="008B4B99">
          <w:headerReference w:type="default" r:id="rId13"/>
          <w:footerReference w:type="default" r:id="rId14"/>
          <w:pgSz w:w="11906" w:h="16838"/>
          <w:pgMar w:top="1440" w:right="1440" w:bottom="1440" w:left="1440" w:header="708" w:footer="708" w:gutter="0"/>
          <w:pgNumType w:fmt="upperLetter" w:start="1"/>
          <w:cols w:space="708"/>
          <w:docGrid w:linePitch="360"/>
        </w:sectPr>
      </w:pPr>
    </w:p>
    <w:p w:rsidR="006E4257" w:rsidRPr="00211FD1" w:rsidRDefault="00211FD1" w:rsidP="00211FD1">
      <w:pPr>
        <w:jc w:val="center"/>
        <w:rPr>
          <w:sz w:val="16"/>
          <w:szCs w:val="16"/>
          <w:lang w:val="en-US"/>
        </w:rPr>
      </w:pPr>
      <w:r w:rsidRPr="00211FD1">
        <w:rPr>
          <w:sz w:val="16"/>
          <w:szCs w:val="16"/>
          <w:lang w:val="en-US"/>
        </w:rPr>
        <w:lastRenderedPageBreak/>
        <w:t>This page is blank</w:t>
      </w:r>
    </w:p>
    <w:p w:rsidR="00211FD1" w:rsidRDefault="00211FD1" w:rsidP="00446F49">
      <w:pPr>
        <w:rPr>
          <w:lang w:val="en-US"/>
        </w:rPr>
      </w:pPr>
    </w:p>
    <w:p w:rsidR="00446F49" w:rsidRDefault="00446F49" w:rsidP="00446F49">
      <w:pPr>
        <w:rPr>
          <w:lang w:val="en-US"/>
        </w:rPr>
        <w:sectPr w:rsidR="00446F49" w:rsidSect="008B4B99">
          <w:footerReference w:type="default" r:id="rId15"/>
          <w:pgSz w:w="11906" w:h="16838"/>
          <w:pgMar w:top="1440" w:right="1440" w:bottom="1440" w:left="1440" w:header="708" w:footer="708" w:gutter="0"/>
          <w:pgNumType w:fmt="upperLetter" w:start="1"/>
          <w:cols w:space="708"/>
          <w:docGrid w:linePitch="360"/>
        </w:sectPr>
      </w:pPr>
    </w:p>
    <w:p w:rsidR="00516208" w:rsidRDefault="00516208" w:rsidP="00516208">
      <w:pPr>
        <w:pStyle w:val="Title"/>
      </w:pPr>
      <w:bookmarkStart w:id="30" w:name="_Toc443486904"/>
      <w:r>
        <w:lastRenderedPageBreak/>
        <w:t>Information and Recommendations</w:t>
      </w:r>
      <w:bookmarkEnd w:id="30"/>
    </w:p>
    <w:p w:rsidR="00D5167E" w:rsidRPr="009A616D" w:rsidRDefault="00870928" w:rsidP="00F700FC">
      <w:pPr>
        <w:pStyle w:val="Heading1"/>
      </w:pPr>
      <w:bookmarkStart w:id="31" w:name="_Toc443486905"/>
      <w:r>
        <w:t>1</w:t>
      </w:r>
      <w:r>
        <w:tab/>
      </w:r>
      <w:r w:rsidR="00C40A7F" w:rsidRPr="009A616D">
        <w:t>Introduction</w:t>
      </w:r>
      <w:bookmarkEnd w:id="31"/>
    </w:p>
    <w:p w:rsidR="00202168" w:rsidRPr="00591FA3" w:rsidRDefault="00202168" w:rsidP="00F324DE">
      <w:pPr>
        <w:pStyle w:val="textbasic"/>
      </w:pPr>
      <w:r w:rsidRPr="00591FA3">
        <w:t xml:space="preserve">The </w:t>
      </w:r>
      <w:r w:rsidR="00D5167E" w:rsidRPr="00E14D34">
        <w:rPr>
          <w:i/>
        </w:rPr>
        <w:t>Parliamentary Salaries, Superannuation and Allowances Act 2012</w:t>
      </w:r>
      <w:r w:rsidRPr="00591FA3">
        <w:t xml:space="preserve"> (</w:t>
      </w:r>
      <w:r w:rsidR="004B7749">
        <w:t>the 2012 Act</w:t>
      </w:r>
      <w:r w:rsidRPr="00591FA3">
        <w:t xml:space="preserve">) provides for the basic salary of Members of the Tasmanian Parliament (MPs). </w:t>
      </w:r>
    </w:p>
    <w:p w:rsidR="00202168" w:rsidRDefault="00202168" w:rsidP="00F324DE">
      <w:pPr>
        <w:pStyle w:val="textbasic"/>
      </w:pPr>
      <w:r>
        <w:t>It also provides for additional salary payable to some MPs for the various offices to which they are appointed (eg President of the Legislative Council, Speaker of the House of Assembly, Minister of the Crown, etc)</w:t>
      </w:r>
      <w:r w:rsidR="00D5167E">
        <w:t xml:space="preserve">. </w:t>
      </w:r>
      <w:r w:rsidR="001D5578">
        <w:t xml:space="preserve">These are specified in </w:t>
      </w:r>
      <w:r w:rsidR="001D5578" w:rsidRPr="001D5578">
        <w:t xml:space="preserve">Part 2 of Schedule 1 </w:t>
      </w:r>
      <w:r w:rsidR="00F42474">
        <w:t>to</w:t>
      </w:r>
      <w:r w:rsidR="001D5578" w:rsidRPr="001D5578">
        <w:t xml:space="preserve"> the </w:t>
      </w:r>
      <w:r w:rsidR="009C2293">
        <w:t>2012 Act</w:t>
      </w:r>
      <w:r w:rsidR="001D5578">
        <w:t>.</w:t>
      </w:r>
    </w:p>
    <w:p w:rsidR="00202168" w:rsidRDefault="00202168" w:rsidP="00F324DE">
      <w:pPr>
        <w:pStyle w:val="textbasic"/>
      </w:pPr>
      <w:r>
        <w:t>Further</w:t>
      </w:r>
      <w:r w:rsidR="00F42474">
        <w:t>,</w:t>
      </w:r>
      <w:r>
        <w:t xml:space="preserve"> there is a range of allowances </w:t>
      </w:r>
      <w:r w:rsidR="001D5578">
        <w:t xml:space="preserve">and benefits </w:t>
      </w:r>
      <w:r>
        <w:t xml:space="preserve">specified </w:t>
      </w:r>
      <w:r w:rsidR="001D5578">
        <w:t xml:space="preserve">in </w:t>
      </w:r>
      <w:r w:rsidR="001D5578" w:rsidRPr="001D5578">
        <w:t xml:space="preserve">Schedule 2 </w:t>
      </w:r>
      <w:r w:rsidR="00F42474">
        <w:t>to</w:t>
      </w:r>
      <w:r w:rsidR="001D5578" w:rsidRPr="001D5578">
        <w:t xml:space="preserve"> the </w:t>
      </w:r>
      <w:r w:rsidR="009C2293">
        <w:t>2012 Act</w:t>
      </w:r>
      <w:r w:rsidR="001D5578" w:rsidRPr="001D5578">
        <w:t xml:space="preserve"> </w:t>
      </w:r>
      <w:r>
        <w:t>to which MPs may be entitled.</w:t>
      </w:r>
    </w:p>
    <w:p w:rsidR="00202168" w:rsidRDefault="00202168" w:rsidP="00F324DE">
      <w:pPr>
        <w:pStyle w:val="textbasic"/>
      </w:pPr>
      <w:r>
        <w:t xml:space="preserve">Until </w:t>
      </w:r>
      <w:r w:rsidR="0016388C">
        <w:t>13 July 2015</w:t>
      </w:r>
      <w:r w:rsidR="00A1292A">
        <w:t>,</w:t>
      </w:r>
      <w:r>
        <w:t xml:space="preserve"> the </w:t>
      </w:r>
      <w:r w:rsidR="009C2293">
        <w:t>2012 Act</w:t>
      </w:r>
      <w:r>
        <w:t xml:space="preserve"> did not provide a mechanism by which the salaries and allowances could be varied.  The salaries and allowances were ‘frozen’ at the levels that were in effect from 1 July 2013.</w:t>
      </w:r>
    </w:p>
    <w:p w:rsidR="00B47DBF" w:rsidRDefault="001D5578" w:rsidP="00F324DE">
      <w:pPr>
        <w:pStyle w:val="textbasic"/>
      </w:pPr>
      <w:r>
        <w:t xml:space="preserve">The </w:t>
      </w:r>
      <w:r w:rsidR="009C2293">
        <w:t>2012 Act</w:t>
      </w:r>
      <w:r>
        <w:t xml:space="preserve"> did provide for a Tribunal</w:t>
      </w:r>
      <w:r w:rsidR="0033321C">
        <w:rPr>
          <w:rStyle w:val="FootnoteReference"/>
        </w:rPr>
        <w:footnoteReference w:id="5"/>
      </w:r>
      <w:r>
        <w:t xml:space="preserve"> established by an Order-in-Council </w:t>
      </w:r>
      <w:r w:rsidR="00B47DBF">
        <w:t xml:space="preserve">dated 26 June 2013 </w:t>
      </w:r>
      <w:r>
        <w:t xml:space="preserve">to review the basic salary and allowances payable to MPs.  </w:t>
      </w:r>
      <w:r w:rsidR="0015640D">
        <w:t>The</w:t>
      </w:r>
      <w:r>
        <w:t xml:space="preserve"> Tribunal was established and it did prepare a report of its review</w:t>
      </w:r>
      <w:r w:rsidR="00C40A7F">
        <w:t xml:space="preserve"> </w:t>
      </w:r>
      <w:r w:rsidR="00870928">
        <w:t>(</w:t>
      </w:r>
      <w:r w:rsidR="00C40A7F">
        <w:t>the 2014 Report)</w:t>
      </w:r>
      <w:r>
        <w:t>.</w:t>
      </w:r>
      <w:r w:rsidR="0015640D">
        <w:rPr>
          <w:rStyle w:val="FootnoteReference"/>
        </w:rPr>
        <w:footnoteReference w:id="6"/>
      </w:r>
      <w:r>
        <w:t xml:space="preserve">  </w:t>
      </w:r>
    </w:p>
    <w:p w:rsidR="00C30078" w:rsidRDefault="00C30078" w:rsidP="00F324DE">
      <w:pPr>
        <w:pStyle w:val="textbasic"/>
      </w:pPr>
      <w:r>
        <w:t xml:space="preserve">The </w:t>
      </w:r>
      <w:r w:rsidR="00C40A7F">
        <w:t>2014 R</w:t>
      </w:r>
      <w:r>
        <w:t xml:space="preserve">eport </w:t>
      </w:r>
      <w:r w:rsidR="00B47DBF">
        <w:t xml:space="preserve">was </w:t>
      </w:r>
      <w:r w:rsidR="004E762D">
        <w:t>tabled in Parliament on 3 June 2014</w:t>
      </w:r>
      <w:r w:rsidR="00B47DBF">
        <w:t xml:space="preserve">.  The </w:t>
      </w:r>
      <w:r w:rsidR="00C40A7F">
        <w:t>2014 R</w:t>
      </w:r>
      <w:r w:rsidR="00B47DBF">
        <w:t xml:space="preserve">eport </w:t>
      </w:r>
      <w:r>
        <w:t>made recommendations about</w:t>
      </w:r>
      <w:r w:rsidR="004E762D">
        <w:t xml:space="preserve"> the basic salary to be applicable from 1 July 2014 and 1</w:t>
      </w:r>
      <w:r w:rsidR="00B47DBF">
        <w:t> </w:t>
      </w:r>
      <w:r w:rsidR="004E762D">
        <w:t xml:space="preserve">January 2015 and </w:t>
      </w:r>
      <w:r w:rsidR="00A1292A">
        <w:t xml:space="preserve">included </w:t>
      </w:r>
      <w:r w:rsidR="00353390">
        <w:t>a proposed approach to future</w:t>
      </w:r>
      <w:r w:rsidR="004E762D">
        <w:t xml:space="preserve"> adjustments.  It also made recommendations about the current allowances and the establishment of a new allowance – a Resettlement Allowance.</w:t>
      </w:r>
    </w:p>
    <w:p w:rsidR="001D5578" w:rsidRPr="001D5578" w:rsidRDefault="00C30078" w:rsidP="00F324DE">
      <w:pPr>
        <w:pStyle w:val="textbasic"/>
      </w:pPr>
      <w:r>
        <w:t>The</w:t>
      </w:r>
      <w:r w:rsidR="004E762D">
        <w:t>se</w:t>
      </w:r>
      <w:r>
        <w:t xml:space="preserve"> recommendations were not implemented.  Any implementation required amendment to the </w:t>
      </w:r>
      <w:r w:rsidR="009C2293">
        <w:t>2012 Act</w:t>
      </w:r>
      <w:r>
        <w:t>.</w:t>
      </w:r>
      <w:r w:rsidR="001D5578">
        <w:t xml:space="preserve"> </w:t>
      </w:r>
      <w:r w:rsidR="004E762D">
        <w:t xml:space="preserve"> Neither the Government nor a</w:t>
      </w:r>
      <w:r w:rsidR="0003140C">
        <w:t>n individual</w:t>
      </w:r>
      <w:r w:rsidR="004E762D">
        <w:t xml:space="preserve"> MP introduced any </w:t>
      </w:r>
      <w:r w:rsidR="00A1292A">
        <w:t xml:space="preserve">amending </w:t>
      </w:r>
      <w:r w:rsidR="004E762D">
        <w:t>legislation</w:t>
      </w:r>
      <w:r w:rsidR="00353390">
        <w:t xml:space="preserve"> </w:t>
      </w:r>
      <w:r w:rsidR="00A1292A">
        <w:t>for that purpose</w:t>
      </w:r>
      <w:r w:rsidR="004E762D">
        <w:t>.</w:t>
      </w:r>
    </w:p>
    <w:p w:rsidR="001D5578" w:rsidRPr="001D5578" w:rsidRDefault="00C30078" w:rsidP="00F324DE">
      <w:pPr>
        <w:pStyle w:val="textbasic"/>
      </w:pPr>
      <w:r>
        <w:t>However</w:t>
      </w:r>
      <w:r w:rsidR="00A1292A">
        <w:t>,</w:t>
      </w:r>
      <w:r>
        <w:t xml:space="preserve"> an </w:t>
      </w:r>
      <w:r w:rsidR="00353390">
        <w:t>A</w:t>
      </w:r>
      <w:r>
        <w:t>mendment Act, t</w:t>
      </w:r>
      <w:r w:rsidR="001D5578">
        <w:t>he</w:t>
      </w:r>
      <w:r w:rsidR="001D5578" w:rsidRPr="001D5578">
        <w:t xml:space="preserve"> </w:t>
      </w:r>
      <w:r w:rsidR="001D5578" w:rsidRPr="001D5578">
        <w:rPr>
          <w:i/>
        </w:rPr>
        <w:t xml:space="preserve">Parliamentary Salaries, Superannuation and Allowances </w:t>
      </w:r>
      <w:r w:rsidR="001D5578">
        <w:rPr>
          <w:i/>
        </w:rPr>
        <w:t xml:space="preserve">Amendment </w:t>
      </w:r>
      <w:r w:rsidR="001D5578" w:rsidRPr="001D5578">
        <w:rPr>
          <w:i/>
        </w:rPr>
        <w:t>Act 201</w:t>
      </w:r>
      <w:r w:rsidR="001D5578">
        <w:rPr>
          <w:i/>
        </w:rPr>
        <w:t xml:space="preserve">5 </w:t>
      </w:r>
      <w:r w:rsidR="001D5578" w:rsidRPr="001D5578">
        <w:t>(the 2015 Act)</w:t>
      </w:r>
      <w:r w:rsidR="00A1292A">
        <w:t>,</w:t>
      </w:r>
      <w:r w:rsidR="004E762D">
        <w:t xml:space="preserve"> was passed by the Parliament</w:t>
      </w:r>
      <w:r w:rsidR="001D5578">
        <w:rPr>
          <w:i/>
        </w:rPr>
        <w:t xml:space="preserve"> </w:t>
      </w:r>
      <w:r w:rsidR="004E762D" w:rsidRPr="004E762D">
        <w:t>and</w:t>
      </w:r>
      <w:r w:rsidR="004E762D">
        <w:rPr>
          <w:i/>
        </w:rPr>
        <w:t xml:space="preserve"> </w:t>
      </w:r>
      <w:r w:rsidR="001D5578" w:rsidRPr="001D5578">
        <w:t xml:space="preserve">received Royal Assent on </w:t>
      </w:r>
      <w:r w:rsidR="001D5578">
        <w:t>13 July 2015.</w:t>
      </w:r>
    </w:p>
    <w:p w:rsidR="001D5578" w:rsidRDefault="001D5578" w:rsidP="00F324DE">
      <w:pPr>
        <w:pStyle w:val="textbasic"/>
      </w:pPr>
      <w:r>
        <w:t xml:space="preserve">The </w:t>
      </w:r>
      <w:r w:rsidR="00B47DBF">
        <w:t xml:space="preserve">amendments provided for by the </w:t>
      </w:r>
      <w:r>
        <w:t>2015 Act</w:t>
      </w:r>
      <w:r w:rsidRPr="001D5578">
        <w:t xml:space="preserve"> </w:t>
      </w:r>
      <w:r w:rsidR="00B47DBF">
        <w:t xml:space="preserve">set the basic salary </w:t>
      </w:r>
      <w:r w:rsidR="00646293">
        <w:t xml:space="preserve">of an MP </w:t>
      </w:r>
      <w:r w:rsidR="00A1292A">
        <w:t>at</w:t>
      </w:r>
      <w:r w:rsidR="00B47DBF">
        <w:t xml:space="preserve"> $120</w:t>
      </w:r>
      <w:r w:rsidR="00C40A7F">
        <w:t> </w:t>
      </w:r>
      <w:r w:rsidR="00B47DBF">
        <w:t>835 pa from 1</w:t>
      </w:r>
      <w:r w:rsidR="00A1292A">
        <w:t> </w:t>
      </w:r>
      <w:r w:rsidR="00B47DBF">
        <w:t xml:space="preserve">July 2015 and </w:t>
      </w:r>
      <w:r w:rsidRPr="001D5578">
        <w:t>establishe</w:t>
      </w:r>
      <w:r>
        <w:t>d</w:t>
      </w:r>
      <w:r w:rsidRPr="001D5578">
        <w:t xml:space="preserve"> that a </w:t>
      </w:r>
      <w:r w:rsidR="00A1292A" w:rsidRPr="001D5578">
        <w:t xml:space="preserve">Full Bench </w:t>
      </w:r>
      <w:r w:rsidRPr="001D5578">
        <w:t>of the Tasmanian Industrial Commission (the</w:t>
      </w:r>
      <w:r w:rsidR="00A1292A">
        <w:t> </w:t>
      </w:r>
      <w:r w:rsidRPr="001D5578">
        <w:t xml:space="preserve">Commission) must </w:t>
      </w:r>
      <w:r w:rsidR="00B47DBF">
        <w:t xml:space="preserve">from then </w:t>
      </w:r>
      <w:r w:rsidR="00C40A7F">
        <w:t xml:space="preserve">on </w:t>
      </w:r>
      <w:r w:rsidRPr="001D5578">
        <w:t xml:space="preserve">periodically inquire into, report on and make determinations about the salaries and allowances to which MPs are entitled. </w:t>
      </w:r>
    </w:p>
    <w:p w:rsidR="00074065" w:rsidRPr="001D5578" w:rsidRDefault="00074065" w:rsidP="00F324DE">
      <w:pPr>
        <w:pStyle w:val="textbasic"/>
      </w:pPr>
      <w:r w:rsidRPr="001D5578">
        <w:t xml:space="preserve">Any future </w:t>
      </w:r>
      <w:r w:rsidR="00B47DBF">
        <w:t>amounts of</w:t>
      </w:r>
      <w:r w:rsidRPr="001D5578">
        <w:t xml:space="preserve"> the basic salary</w:t>
      </w:r>
      <w:r w:rsidR="00B47DBF">
        <w:t>, additional salaries and allowances</w:t>
      </w:r>
      <w:r w:rsidRPr="001D5578">
        <w:t xml:space="preserve"> of MPs after 30 June 2016 </w:t>
      </w:r>
      <w:r w:rsidR="00B47DBF">
        <w:t>are</w:t>
      </w:r>
      <w:r>
        <w:t xml:space="preserve"> to</w:t>
      </w:r>
      <w:r w:rsidRPr="001D5578">
        <w:t xml:space="preserve"> be determined by the Commission. </w:t>
      </w:r>
    </w:p>
    <w:p w:rsidR="00074065" w:rsidRPr="001D5578" w:rsidRDefault="00074065" w:rsidP="00F324DE">
      <w:pPr>
        <w:pStyle w:val="textbasic"/>
      </w:pPr>
      <w:r>
        <w:t>The first report of the Commission</w:t>
      </w:r>
      <w:r w:rsidR="00353390">
        <w:t>,</w:t>
      </w:r>
      <w:r w:rsidR="00B47DBF">
        <w:t xml:space="preserve"> including </w:t>
      </w:r>
      <w:r w:rsidR="00646293">
        <w:t>a</w:t>
      </w:r>
      <w:r w:rsidR="00B47DBF">
        <w:t xml:space="preserve"> determination</w:t>
      </w:r>
      <w:r w:rsidR="00646293">
        <w:t xml:space="preserve"> about these matters</w:t>
      </w:r>
      <w:r w:rsidR="00353390">
        <w:t>,</w:t>
      </w:r>
      <w:r>
        <w:t xml:space="preserve"> is required to be tabled in Parliament by 1 March 2016.</w:t>
      </w:r>
      <w:r w:rsidR="003F2DAF">
        <w:t xml:space="preserve">  This document is that first report.</w:t>
      </w:r>
    </w:p>
    <w:p w:rsidR="0033321C" w:rsidRPr="0033321C" w:rsidRDefault="0033321C" w:rsidP="00F324DE">
      <w:pPr>
        <w:pStyle w:val="textbasic"/>
      </w:pPr>
      <w:r>
        <w:t>Unlike</w:t>
      </w:r>
      <w:r w:rsidR="00C40A7F">
        <w:t xml:space="preserve"> </w:t>
      </w:r>
      <w:r w:rsidR="002E3804">
        <w:t>the recommendations of</w:t>
      </w:r>
      <w:r>
        <w:t xml:space="preserve"> the Tribunal, a</w:t>
      </w:r>
      <w:r w:rsidRPr="0033321C">
        <w:t xml:space="preserve"> determination of the Commission </w:t>
      </w:r>
      <w:r>
        <w:t xml:space="preserve">under the </w:t>
      </w:r>
      <w:r w:rsidR="009C2293">
        <w:t>2012 Act</w:t>
      </w:r>
      <w:r>
        <w:t xml:space="preserve"> </w:t>
      </w:r>
      <w:r w:rsidRPr="0033321C">
        <w:t>will be implemented automatically unless</w:t>
      </w:r>
      <w:r w:rsidR="00A1292A">
        <w:t>,</w:t>
      </w:r>
      <w:r w:rsidRPr="0033321C">
        <w:t xml:space="preserve"> within 10 sitting</w:t>
      </w:r>
      <w:r w:rsidR="00A1292A">
        <w:t>-</w:t>
      </w:r>
      <w:r w:rsidRPr="0033321C">
        <w:t xml:space="preserve">days of the determination being tabled </w:t>
      </w:r>
      <w:r w:rsidR="003F2DAF">
        <w:t xml:space="preserve">in the Parliament </w:t>
      </w:r>
      <w:r w:rsidRPr="0033321C">
        <w:t xml:space="preserve">(or within a longer period if a House so resolves), both Houses pass a resolution requesting that the determination be disallowed (and so not be implemented). </w:t>
      </w:r>
    </w:p>
    <w:p w:rsidR="0033321C" w:rsidRPr="0033321C" w:rsidRDefault="0033321C" w:rsidP="00F324DE">
      <w:pPr>
        <w:pStyle w:val="textbasic"/>
      </w:pPr>
      <w:r w:rsidRPr="0033321C">
        <w:lastRenderedPageBreak/>
        <w:t xml:space="preserve">If a determination is not disallowed, the Commission will gazette a notice setting out the determination </w:t>
      </w:r>
      <w:r w:rsidR="00353390">
        <w:t>which will</w:t>
      </w:r>
      <w:r w:rsidRPr="0033321C">
        <w:t xml:space="preserve"> specify the amounts of the basic salary, additional salary payable to the Premier, Deputy Premier, Ministers of the Crown, Secretary to Cabinet and Certain Officers of the Parliament, and the allowances and benefits to which MPs are entitled. </w:t>
      </w:r>
    </w:p>
    <w:p w:rsidR="0033321C" w:rsidRPr="0033321C" w:rsidRDefault="0033321C" w:rsidP="00F324DE">
      <w:pPr>
        <w:pStyle w:val="textbasic"/>
      </w:pPr>
      <w:r w:rsidRPr="0033321C">
        <w:t>If a determination does not come into effect when it is due to, because it has not be</w:t>
      </w:r>
      <w:r w:rsidR="00887C0D">
        <w:t>en</w:t>
      </w:r>
      <w:r w:rsidRPr="0033321C">
        <w:t xml:space="preserve"> made, or the disallowance period has not expired, or it has been disallowed, the basic salary, additional salary, and the allowances and benefits to which MPs are entitled</w:t>
      </w:r>
      <w:r w:rsidR="00A1292A">
        <w:t>,</w:t>
      </w:r>
      <w:r w:rsidRPr="0033321C">
        <w:t xml:space="preserve"> immediately before the determination was due to take effect</w:t>
      </w:r>
      <w:r w:rsidR="00B90338">
        <w:t>,</w:t>
      </w:r>
      <w:r w:rsidRPr="0033321C">
        <w:t xml:space="preserve"> continue until a new determination is made. </w:t>
      </w:r>
    </w:p>
    <w:p w:rsidR="0033321C" w:rsidRDefault="0033321C" w:rsidP="00F324DE">
      <w:pPr>
        <w:pStyle w:val="textbasic"/>
      </w:pPr>
      <w:r w:rsidRPr="0033321C">
        <w:t>If a determination is disallowed</w:t>
      </w:r>
      <w:r w:rsidR="00A1292A">
        <w:t>,</w:t>
      </w:r>
      <w:r w:rsidRPr="0033321C">
        <w:t xml:space="preserve"> the Commission has 12 months from the date of disallowance to make a new determination. </w:t>
      </w:r>
    </w:p>
    <w:p w:rsidR="00D5167E" w:rsidRDefault="0033321C" w:rsidP="00F324DE">
      <w:pPr>
        <w:pStyle w:val="textbasic"/>
      </w:pPr>
      <w:r>
        <w:t xml:space="preserve">The members of the Commission for the purpose of </w:t>
      </w:r>
      <w:r w:rsidR="002E3804">
        <w:t xml:space="preserve">conducting this </w:t>
      </w:r>
      <w:r w:rsidR="0057767E">
        <w:t xml:space="preserve">inquiry, preparing the report and making the first determination </w:t>
      </w:r>
      <w:r w:rsidR="00044B11">
        <w:t>are Tim Abey (President of the Commission), Nicole Wells (Deputy President) and Michael Roberts (Commissioner)</w:t>
      </w:r>
      <w:r w:rsidR="00D5167E">
        <w:t>.</w:t>
      </w:r>
    </w:p>
    <w:p w:rsidR="00D5167E" w:rsidRPr="00F700FC" w:rsidRDefault="00870928" w:rsidP="00F700FC">
      <w:pPr>
        <w:pStyle w:val="Heading1"/>
      </w:pPr>
      <w:bookmarkStart w:id="32" w:name="_Toc443486906"/>
      <w:r w:rsidRPr="00F700FC">
        <w:t>2</w:t>
      </w:r>
      <w:r w:rsidRPr="00F700FC">
        <w:tab/>
      </w:r>
      <w:r w:rsidR="00D5167E" w:rsidRPr="00F700FC">
        <w:t>Matters to be Determined</w:t>
      </w:r>
      <w:bookmarkEnd w:id="32"/>
    </w:p>
    <w:p w:rsidR="008A6C1A" w:rsidRDefault="008A6C1A" w:rsidP="00F324DE">
      <w:pPr>
        <w:pStyle w:val="textbasic"/>
      </w:pPr>
      <w:r w:rsidRPr="008A6C1A">
        <w:t xml:space="preserve">The </w:t>
      </w:r>
      <w:r w:rsidR="009C2293">
        <w:t>2012 Act</w:t>
      </w:r>
      <w:r w:rsidR="00B47DBF">
        <w:t xml:space="preserve"> as amended by the </w:t>
      </w:r>
      <w:r w:rsidRPr="008A6C1A">
        <w:t>2015 Act provides</w:t>
      </w:r>
      <w:r w:rsidR="002E3804">
        <w:rPr>
          <w:rStyle w:val="FootnoteReference"/>
        </w:rPr>
        <w:footnoteReference w:id="7"/>
      </w:r>
      <w:r w:rsidRPr="008A6C1A">
        <w:t xml:space="preserve"> for the Commission to: </w:t>
      </w:r>
    </w:p>
    <w:p w:rsidR="008A6C1A" w:rsidRPr="00591FA3" w:rsidRDefault="008A6C1A" w:rsidP="00314D5A">
      <w:pPr>
        <w:pStyle w:val="texti"/>
      </w:pPr>
      <w:r w:rsidRPr="00591FA3">
        <w:t>(i)</w:t>
      </w:r>
      <w:r w:rsidRPr="00591FA3">
        <w:tab/>
      </w:r>
      <w:r w:rsidR="00932D2A" w:rsidRPr="00591FA3">
        <w:t xml:space="preserve">Review </w:t>
      </w:r>
      <w:r w:rsidRPr="00591FA3">
        <w:t xml:space="preserve">and determine the amount </w:t>
      </w:r>
      <w:r w:rsidR="00932D2A">
        <w:t xml:space="preserve">of basic salary payable to </w:t>
      </w:r>
      <w:r w:rsidR="006D5495">
        <w:t>an MP</w:t>
      </w:r>
      <w:r w:rsidR="00932D2A">
        <w:t>,</w:t>
      </w:r>
    </w:p>
    <w:p w:rsidR="00074065" w:rsidRPr="00591FA3" w:rsidRDefault="008A6C1A" w:rsidP="00314D5A">
      <w:pPr>
        <w:pStyle w:val="texti"/>
      </w:pPr>
      <w:r w:rsidRPr="00591FA3">
        <w:t>(ii</w:t>
      </w:r>
      <w:r w:rsidR="00314D5A">
        <w:t>)</w:t>
      </w:r>
      <w:r w:rsidRPr="00591FA3">
        <w:tab/>
      </w:r>
      <w:r w:rsidR="00932D2A" w:rsidRPr="00591FA3">
        <w:t xml:space="preserve">Review </w:t>
      </w:r>
      <w:r w:rsidRPr="00591FA3">
        <w:t>and determine the amounts of any additional salary payable to the Premier, Deputy Premier, Ministers of the Crown, Secretary to Cabinet and Certain Officers of the Parliament provided for in Pa</w:t>
      </w:r>
      <w:r w:rsidR="00737092" w:rsidRPr="00591FA3">
        <w:t xml:space="preserve">rt 2 of Schedule 1 </w:t>
      </w:r>
      <w:r w:rsidR="00A1292A">
        <w:t>to</w:t>
      </w:r>
      <w:r w:rsidR="00737092" w:rsidRPr="00591FA3">
        <w:t xml:space="preserve"> the </w:t>
      </w:r>
      <w:r w:rsidR="009C2293" w:rsidRPr="00591FA3">
        <w:t>2012 Act</w:t>
      </w:r>
      <w:r w:rsidR="00932D2A">
        <w:t>,</w:t>
      </w:r>
    </w:p>
    <w:p w:rsidR="008A6C1A" w:rsidRPr="00591FA3" w:rsidRDefault="00074065" w:rsidP="00314D5A">
      <w:pPr>
        <w:pStyle w:val="texti"/>
      </w:pPr>
      <w:r w:rsidRPr="00591FA3">
        <w:t>(iii)</w:t>
      </w:r>
      <w:r w:rsidRPr="00591FA3">
        <w:tab/>
      </w:r>
      <w:r w:rsidR="00932D2A" w:rsidRPr="00591FA3">
        <w:t xml:space="preserve">Consider </w:t>
      </w:r>
      <w:r w:rsidRPr="00591FA3">
        <w:t xml:space="preserve">if there are </w:t>
      </w:r>
      <w:r w:rsidR="008A6C1A" w:rsidRPr="00591FA3">
        <w:t xml:space="preserve">any other offices </w:t>
      </w:r>
      <w:r w:rsidRPr="00591FA3">
        <w:t xml:space="preserve">of the Parliament not currently provided for in Part 2 of Schedule 1 </w:t>
      </w:r>
      <w:r w:rsidR="00A1292A">
        <w:t>to</w:t>
      </w:r>
      <w:r w:rsidRPr="00591FA3">
        <w:t xml:space="preserve"> the </w:t>
      </w:r>
      <w:r w:rsidR="009C2293" w:rsidRPr="00591FA3">
        <w:t>2012 Act</w:t>
      </w:r>
      <w:r w:rsidRPr="00591FA3">
        <w:t xml:space="preserve"> </w:t>
      </w:r>
      <w:r w:rsidR="008A6C1A" w:rsidRPr="00591FA3">
        <w:t xml:space="preserve">that the Commission </w:t>
      </w:r>
      <w:r w:rsidRPr="00591FA3">
        <w:t xml:space="preserve">may </w:t>
      </w:r>
      <w:r w:rsidR="008A6C1A" w:rsidRPr="00591FA3">
        <w:t xml:space="preserve">decide </w:t>
      </w:r>
      <w:r w:rsidR="00A1292A">
        <w:t xml:space="preserve">are </w:t>
      </w:r>
      <w:r w:rsidRPr="00591FA3">
        <w:t>require</w:t>
      </w:r>
      <w:r w:rsidR="00A1292A">
        <w:t>d</w:t>
      </w:r>
      <w:r w:rsidRPr="00591FA3">
        <w:t xml:space="preserve"> to be paid additional salary and determine the amounts of any additional salary payable for </w:t>
      </w:r>
      <w:r w:rsidR="00737092" w:rsidRPr="00591FA3">
        <w:t>such</w:t>
      </w:r>
      <w:r w:rsidRPr="00591FA3">
        <w:t xml:space="preserve"> offices</w:t>
      </w:r>
      <w:r w:rsidR="00932D2A">
        <w:t>,</w:t>
      </w:r>
      <w:r w:rsidR="008A6C1A" w:rsidRPr="00591FA3">
        <w:t xml:space="preserve"> </w:t>
      </w:r>
    </w:p>
    <w:p w:rsidR="008A6C1A" w:rsidRPr="00591FA3" w:rsidRDefault="00074065" w:rsidP="00314D5A">
      <w:pPr>
        <w:pStyle w:val="texti"/>
      </w:pPr>
      <w:r w:rsidRPr="00591FA3">
        <w:t>(iv</w:t>
      </w:r>
      <w:r w:rsidR="008A6C1A" w:rsidRPr="00591FA3">
        <w:t xml:space="preserve">) </w:t>
      </w:r>
      <w:r w:rsidR="008A6C1A" w:rsidRPr="00591FA3">
        <w:tab/>
      </w:r>
      <w:r w:rsidR="00932D2A" w:rsidRPr="00591FA3">
        <w:t xml:space="preserve">Review </w:t>
      </w:r>
      <w:r w:rsidR="000E59E2" w:rsidRPr="00591FA3">
        <w:t>the entitlements of</w:t>
      </w:r>
      <w:r w:rsidR="00B90338">
        <w:t>,</w:t>
      </w:r>
      <w:r w:rsidR="000E59E2" w:rsidRPr="00591FA3">
        <w:t xml:space="preserve"> and benefits to</w:t>
      </w:r>
      <w:r w:rsidR="00B90338">
        <w:t>,</w:t>
      </w:r>
      <w:r w:rsidR="000E59E2" w:rsidRPr="00591FA3">
        <w:t xml:space="preserve"> MPs provided for in Schedule 2 </w:t>
      </w:r>
      <w:r w:rsidR="00A1292A">
        <w:t>to</w:t>
      </w:r>
      <w:r w:rsidR="000E59E2" w:rsidRPr="00591FA3">
        <w:t xml:space="preserve"> the </w:t>
      </w:r>
      <w:r w:rsidR="009C2293" w:rsidRPr="00591FA3">
        <w:t>2012</w:t>
      </w:r>
      <w:r w:rsidR="00A1292A">
        <w:t> </w:t>
      </w:r>
      <w:r w:rsidR="009C2293" w:rsidRPr="00591FA3">
        <w:t>Act</w:t>
      </w:r>
      <w:r w:rsidR="000E59E2" w:rsidRPr="00591FA3">
        <w:t xml:space="preserve"> (ie </w:t>
      </w:r>
      <w:r w:rsidR="000E59E2" w:rsidRPr="00591FA3">
        <w:rPr>
          <w:lang w:val="en-US"/>
        </w:rPr>
        <w:t>Motor Vehicle Allowance; Electorate Allowance</w:t>
      </w:r>
      <w:r w:rsidR="00353390" w:rsidRPr="00591FA3">
        <w:rPr>
          <w:lang w:val="en-US"/>
        </w:rPr>
        <w:t>;</w:t>
      </w:r>
      <w:r w:rsidR="000E59E2" w:rsidRPr="00591FA3">
        <w:rPr>
          <w:lang w:val="en-US"/>
        </w:rPr>
        <w:t xml:space="preserve"> Committee </w:t>
      </w:r>
      <w:r w:rsidR="00887C0D" w:rsidRPr="00591FA3">
        <w:rPr>
          <w:lang w:val="en-US"/>
        </w:rPr>
        <w:t>Sitting Fees</w:t>
      </w:r>
      <w:r w:rsidR="00353390" w:rsidRPr="00591FA3">
        <w:rPr>
          <w:lang w:val="en-US"/>
        </w:rPr>
        <w:t>;</w:t>
      </w:r>
      <w:r w:rsidR="000E59E2" w:rsidRPr="00591FA3">
        <w:rPr>
          <w:lang w:val="en-US"/>
        </w:rPr>
        <w:t xml:space="preserve"> Telecommunications Allowance; Entertainment Allowance; Away From Home Travelling Allowance; Bass Strait Islands </w:t>
      </w:r>
      <w:r w:rsidR="00A1292A" w:rsidRPr="00591FA3">
        <w:rPr>
          <w:lang w:val="en-US"/>
        </w:rPr>
        <w:t xml:space="preserve">Travelling </w:t>
      </w:r>
      <w:r w:rsidR="000E59E2" w:rsidRPr="00591FA3">
        <w:rPr>
          <w:lang w:val="en-US"/>
        </w:rPr>
        <w:t>Allowance; and Taxi Allowance</w:t>
      </w:r>
      <w:r w:rsidR="00353390" w:rsidRPr="00591FA3">
        <w:rPr>
          <w:lang w:val="en-US"/>
        </w:rPr>
        <w:t>)</w:t>
      </w:r>
      <w:r w:rsidR="000E59E2" w:rsidRPr="00591FA3">
        <w:rPr>
          <w:lang w:val="en-US"/>
        </w:rPr>
        <w:t xml:space="preserve"> </w:t>
      </w:r>
      <w:r w:rsidR="000E59E2" w:rsidRPr="00591FA3">
        <w:t xml:space="preserve">including whether they remain appropriate to the needs of </w:t>
      </w:r>
      <w:r w:rsidR="00737092" w:rsidRPr="00591FA3">
        <w:t>MPs</w:t>
      </w:r>
      <w:r w:rsidR="000E59E2" w:rsidRPr="00591FA3">
        <w:t xml:space="preserve">, </w:t>
      </w:r>
      <w:r w:rsidR="008A6C1A" w:rsidRPr="00591FA3">
        <w:t xml:space="preserve">and determine the amounts of </w:t>
      </w:r>
      <w:r w:rsidR="000E59E2" w:rsidRPr="00591FA3">
        <w:t>th</w:t>
      </w:r>
      <w:r w:rsidR="00353390" w:rsidRPr="00591FA3">
        <w:t>os</w:t>
      </w:r>
      <w:r w:rsidR="000E59E2" w:rsidRPr="00591FA3">
        <w:t xml:space="preserve">e </w:t>
      </w:r>
      <w:r w:rsidR="008A6C1A" w:rsidRPr="00591FA3">
        <w:t xml:space="preserve">allowances </w:t>
      </w:r>
      <w:r w:rsidRPr="00591FA3">
        <w:t xml:space="preserve">and benefits </w:t>
      </w:r>
      <w:r w:rsidR="000E59E2" w:rsidRPr="00591FA3">
        <w:t>still considered appropriate</w:t>
      </w:r>
      <w:r w:rsidR="00932D2A">
        <w:t>,</w:t>
      </w:r>
      <w:r w:rsidR="008A6C1A" w:rsidRPr="00591FA3">
        <w:t xml:space="preserve"> </w:t>
      </w:r>
    </w:p>
    <w:p w:rsidR="008A6C1A" w:rsidRPr="00591FA3" w:rsidRDefault="008A6C1A" w:rsidP="00314D5A">
      <w:pPr>
        <w:pStyle w:val="texti"/>
      </w:pPr>
      <w:r w:rsidRPr="00591FA3">
        <w:t xml:space="preserve">(v) </w:t>
      </w:r>
      <w:r w:rsidRPr="00591FA3">
        <w:tab/>
      </w:r>
      <w:r w:rsidR="00932D2A" w:rsidRPr="00591FA3">
        <w:t xml:space="preserve">Consider </w:t>
      </w:r>
      <w:r w:rsidRPr="00591FA3">
        <w:t>whether the</w:t>
      </w:r>
      <w:r w:rsidR="000E59E2" w:rsidRPr="00591FA3">
        <w:t>re are any new</w:t>
      </w:r>
      <w:r w:rsidRPr="00591FA3">
        <w:t xml:space="preserve"> entitlements</w:t>
      </w:r>
      <w:r w:rsidR="00737092" w:rsidRPr="00591FA3">
        <w:t>, allowances</w:t>
      </w:r>
      <w:r w:rsidRPr="00591FA3">
        <w:t xml:space="preserve"> </w:t>
      </w:r>
      <w:r w:rsidR="00074065" w:rsidRPr="00591FA3">
        <w:t>or</w:t>
      </w:r>
      <w:r w:rsidRPr="00591FA3">
        <w:t xml:space="preserve"> benefits </w:t>
      </w:r>
      <w:r w:rsidR="000E59E2" w:rsidRPr="00591FA3">
        <w:t>considered</w:t>
      </w:r>
      <w:r w:rsidRPr="00591FA3">
        <w:t xml:space="preserve"> appropriate to the </w:t>
      </w:r>
      <w:r w:rsidR="00737092" w:rsidRPr="00591FA3">
        <w:t xml:space="preserve">current </w:t>
      </w:r>
      <w:r w:rsidRPr="00591FA3">
        <w:t xml:space="preserve">needs of </w:t>
      </w:r>
      <w:r w:rsidR="000E59E2" w:rsidRPr="00591FA3">
        <w:t>MPs</w:t>
      </w:r>
      <w:r w:rsidRPr="00591FA3">
        <w:t xml:space="preserve"> </w:t>
      </w:r>
      <w:r w:rsidR="00074065" w:rsidRPr="00591FA3">
        <w:t xml:space="preserve">and </w:t>
      </w:r>
      <w:r w:rsidR="0003140C">
        <w:t>make recommendations about</w:t>
      </w:r>
      <w:r w:rsidR="00074065" w:rsidRPr="00591FA3">
        <w:t xml:space="preserve"> the amounts of </w:t>
      </w:r>
      <w:r w:rsidR="00737092" w:rsidRPr="00591FA3">
        <w:t>such</w:t>
      </w:r>
      <w:r w:rsidR="00074065" w:rsidRPr="00591FA3">
        <w:t xml:space="preserve"> </w:t>
      </w:r>
      <w:r w:rsidR="00737092" w:rsidRPr="00591FA3">
        <w:t xml:space="preserve">entitlements, </w:t>
      </w:r>
      <w:r w:rsidR="00074065" w:rsidRPr="00591FA3">
        <w:t>allowances and benefits</w:t>
      </w:r>
      <w:r w:rsidRPr="00591FA3">
        <w:t xml:space="preserve">. </w:t>
      </w:r>
    </w:p>
    <w:p w:rsidR="002E3804" w:rsidRDefault="00074065" w:rsidP="00F324DE">
      <w:pPr>
        <w:pStyle w:val="textbasic"/>
      </w:pPr>
      <w:r>
        <w:t xml:space="preserve">Under the </w:t>
      </w:r>
      <w:r w:rsidR="009C2293">
        <w:t>2012 Act</w:t>
      </w:r>
      <w:r w:rsidR="00737092">
        <w:t>,</w:t>
      </w:r>
      <w:r w:rsidR="008A6C1A" w:rsidRPr="008A6C1A">
        <w:t xml:space="preserve"> the Premier </w:t>
      </w:r>
      <w:r w:rsidR="00353390">
        <w:t xml:space="preserve">also </w:t>
      </w:r>
      <w:r w:rsidR="008A6C1A" w:rsidRPr="008A6C1A">
        <w:t xml:space="preserve">may require that some matters </w:t>
      </w:r>
      <w:r w:rsidR="00737092" w:rsidRPr="008A6C1A">
        <w:t xml:space="preserve">related </w:t>
      </w:r>
      <w:r w:rsidR="00737092">
        <w:t xml:space="preserve">to the </w:t>
      </w:r>
      <w:r w:rsidR="00DF5665">
        <w:t xml:space="preserve">matters listed above </w:t>
      </w:r>
      <w:r w:rsidR="008A6C1A" w:rsidRPr="008A6C1A">
        <w:t xml:space="preserve">be considered by the Commission as part of its inquiry. The Commission must inquire into these related matters. </w:t>
      </w:r>
      <w:r w:rsidR="00DF5665">
        <w:t xml:space="preserve"> </w:t>
      </w:r>
      <w:r>
        <w:t>Any</w:t>
      </w:r>
      <w:r w:rsidR="008A6C1A" w:rsidRPr="008A6C1A">
        <w:t xml:space="preserve"> </w:t>
      </w:r>
      <w:r w:rsidR="00DF5665">
        <w:t>requirement</w:t>
      </w:r>
      <w:r w:rsidR="008A6C1A" w:rsidRPr="008A6C1A">
        <w:t xml:space="preserve"> from the Premier must be tabled in Parliament</w:t>
      </w:r>
      <w:r w:rsidR="00B90338">
        <w:t>.</w:t>
      </w:r>
      <w:r w:rsidR="002E3804">
        <w:rPr>
          <w:rStyle w:val="FootnoteReference"/>
        </w:rPr>
        <w:footnoteReference w:id="8"/>
      </w:r>
      <w:r>
        <w:t xml:space="preserve"> </w:t>
      </w:r>
    </w:p>
    <w:p w:rsidR="008A6C1A" w:rsidRDefault="0029629F" w:rsidP="00F324DE">
      <w:pPr>
        <w:pStyle w:val="textbasic"/>
      </w:pPr>
      <w:r>
        <w:t>No</w:t>
      </w:r>
      <w:r w:rsidR="00074065">
        <w:t xml:space="preserve"> </w:t>
      </w:r>
      <w:r w:rsidR="00DF5665">
        <w:t>requirement</w:t>
      </w:r>
      <w:r w:rsidR="00074065">
        <w:t xml:space="preserve"> </w:t>
      </w:r>
      <w:r>
        <w:t>was</w:t>
      </w:r>
      <w:r w:rsidR="00074065">
        <w:t xml:space="preserve"> received from the Premier in relation to this </w:t>
      </w:r>
      <w:r w:rsidR="003F2DAF">
        <w:t xml:space="preserve">inquiry and </w:t>
      </w:r>
      <w:r w:rsidR="00074065">
        <w:t>determination.</w:t>
      </w:r>
    </w:p>
    <w:p w:rsidR="00074065" w:rsidRDefault="00074065" w:rsidP="00F324DE">
      <w:pPr>
        <w:pStyle w:val="textbasic"/>
      </w:pPr>
      <w:r>
        <w:t xml:space="preserve">In making its first determination the Commission </w:t>
      </w:r>
      <w:r w:rsidR="00A1292A">
        <w:t>i</w:t>
      </w:r>
      <w:r>
        <w:t xml:space="preserve">s to </w:t>
      </w:r>
      <w:r w:rsidR="00DF5665">
        <w:t xml:space="preserve">also </w:t>
      </w:r>
      <w:r>
        <w:t xml:space="preserve">inquire into and report on the </w:t>
      </w:r>
      <w:r w:rsidR="0029629F">
        <w:t>2014 Report</w:t>
      </w:r>
      <w:r w:rsidR="00B90338">
        <w:t>.</w:t>
      </w:r>
      <w:r w:rsidR="003B1485">
        <w:rPr>
          <w:rStyle w:val="FootnoteReference"/>
        </w:rPr>
        <w:footnoteReference w:id="9"/>
      </w:r>
    </w:p>
    <w:p w:rsidR="00074065" w:rsidRPr="008A6C1A" w:rsidRDefault="00074065" w:rsidP="00932D2A">
      <w:pPr>
        <w:pStyle w:val="textbasic"/>
      </w:pPr>
      <w:r w:rsidRPr="008A6C1A">
        <w:lastRenderedPageBreak/>
        <w:t xml:space="preserve">In making a determination the Commission </w:t>
      </w:r>
      <w:r w:rsidR="00A1292A">
        <w:t>is to</w:t>
      </w:r>
      <w:r w:rsidRPr="008A6C1A">
        <w:t xml:space="preserve"> </w:t>
      </w:r>
      <w:r>
        <w:t xml:space="preserve">also </w:t>
      </w:r>
      <w:r w:rsidRPr="008A6C1A">
        <w:t>specify a due date for the next determination to be made</w:t>
      </w:r>
      <w:r w:rsidR="00B90338">
        <w:t>.</w:t>
      </w:r>
      <w:r w:rsidR="003B1485">
        <w:rPr>
          <w:rStyle w:val="FootnoteReference"/>
        </w:rPr>
        <w:footnoteReference w:id="10"/>
      </w:r>
      <w:r w:rsidR="00B90338">
        <w:t xml:space="preserve"> </w:t>
      </w:r>
      <w:r w:rsidRPr="008A6C1A">
        <w:t xml:space="preserve"> The period of a determination may extend beyond one year (but not be for a lesser period). </w:t>
      </w:r>
    </w:p>
    <w:p w:rsidR="00F9739E" w:rsidRDefault="00870928" w:rsidP="00F700FC">
      <w:pPr>
        <w:pStyle w:val="Heading1"/>
      </w:pPr>
      <w:bookmarkStart w:id="33" w:name="_Toc443486907"/>
      <w:r>
        <w:t>3</w:t>
      </w:r>
      <w:r>
        <w:tab/>
        <w:t xml:space="preserve">The </w:t>
      </w:r>
      <w:r w:rsidR="00F9739E">
        <w:t>201</w:t>
      </w:r>
      <w:r>
        <w:t>4</w:t>
      </w:r>
      <w:r w:rsidR="00F9739E">
        <w:t xml:space="preserve"> </w:t>
      </w:r>
      <w:r>
        <w:t>Report</w:t>
      </w:r>
      <w:bookmarkEnd w:id="33"/>
    </w:p>
    <w:p w:rsidR="00646293" w:rsidRDefault="00646293" w:rsidP="00F324DE">
      <w:pPr>
        <w:pStyle w:val="textbasic"/>
      </w:pPr>
      <w:r>
        <w:t xml:space="preserve">The </w:t>
      </w:r>
      <w:r w:rsidR="00C40A7F">
        <w:t>2014 R</w:t>
      </w:r>
      <w:r>
        <w:t>eport is available at</w:t>
      </w:r>
      <w:r w:rsidR="00870928">
        <w:t xml:space="preserve"> www.tic.tas.gov.au</w:t>
      </w:r>
    </w:p>
    <w:p w:rsidR="00646293" w:rsidRDefault="00646293" w:rsidP="00F324DE">
      <w:pPr>
        <w:pStyle w:val="textbasic"/>
      </w:pPr>
      <w:r>
        <w:t xml:space="preserve">The key recommendations </w:t>
      </w:r>
      <w:r w:rsidR="00DF5665">
        <w:t xml:space="preserve">contained in that report </w:t>
      </w:r>
      <w:r>
        <w:t>were:</w:t>
      </w:r>
    </w:p>
    <w:p w:rsidR="00646293" w:rsidRPr="00591FA3" w:rsidRDefault="00646293" w:rsidP="00712653">
      <w:pPr>
        <w:jc w:val="both"/>
        <w:rPr>
          <w:sz w:val="18"/>
          <w:szCs w:val="18"/>
          <w:u w:val="single"/>
        </w:rPr>
      </w:pPr>
      <w:r w:rsidRPr="00591FA3">
        <w:rPr>
          <w:sz w:val="18"/>
          <w:szCs w:val="18"/>
          <w:u w:val="single"/>
        </w:rPr>
        <w:t>Basic Salary</w:t>
      </w:r>
    </w:p>
    <w:p w:rsidR="00646293" w:rsidRPr="00591FA3" w:rsidRDefault="00646293" w:rsidP="00932D2A">
      <w:pPr>
        <w:numPr>
          <w:ilvl w:val="0"/>
          <w:numId w:val="1"/>
        </w:numPr>
        <w:spacing w:after="120" w:line="300" w:lineRule="exact"/>
        <w:ind w:left="361"/>
        <w:jc w:val="both"/>
        <w:rPr>
          <w:sz w:val="18"/>
          <w:szCs w:val="18"/>
        </w:rPr>
      </w:pPr>
      <w:r w:rsidRPr="00591FA3">
        <w:rPr>
          <w:sz w:val="18"/>
          <w:szCs w:val="18"/>
        </w:rPr>
        <w:t xml:space="preserve">The basic salary to be: $124 000 </w:t>
      </w:r>
      <w:r w:rsidR="00C40A7F" w:rsidRPr="00591FA3">
        <w:rPr>
          <w:sz w:val="18"/>
          <w:szCs w:val="18"/>
        </w:rPr>
        <w:t xml:space="preserve">pa </w:t>
      </w:r>
      <w:r w:rsidRPr="00591FA3">
        <w:rPr>
          <w:sz w:val="18"/>
          <w:szCs w:val="18"/>
        </w:rPr>
        <w:t xml:space="preserve">from 1 July 2014 and $128 000 </w:t>
      </w:r>
      <w:r w:rsidR="00C40A7F" w:rsidRPr="00591FA3">
        <w:rPr>
          <w:sz w:val="18"/>
          <w:szCs w:val="18"/>
        </w:rPr>
        <w:t xml:space="preserve">pa </w:t>
      </w:r>
      <w:r w:rsidRPr="00591FA3">
        <w:rPr>
          <w:sz w:val="18"/>
          <w:szCs w:val="18"/>
        </w:rPr>
        <w:t>from 1 January 2015</w:t>
      </w:r>
      <w:r w:rsidR="00A1292A">
        <w:rPr>
          <w:sz w:val="18"/>
          <w:szCs w:val="18"/>
        </w:rPr>
        <w:t>.</w:t>
      </w:r>
    </w:p>
    <w:p w:rsidR="00646293" w:rsidRPr="00591FA3" w:rsidRDefault="00646293" w:rsidP="00932D2A">
      <w:pPr>
        <w:numPr>
          <w:ilvl w:val="0"/>
          <w:numId w:val="1"/>
        </w:numPr>
        <w:spacing w:after="120" w:line="300" w:lineRule="exact"/>
        <w:ind w:left="361"/>
        <w:jc w:val="both"/>
        <w:rPr>
          <w:sz w:val="18"/>
          <w:szCs w:val="18"/>
        </w:rPr>
      </w:pPr>
      <w:r w:rsidRPr="00591FA3">
        <w:rPr>
          <w:sz w:val="18"/>
          <w:szCs w:val="18"/>
        </w:rPr>
        <w:t xml:space="preserve">From 1 July 2015 and </w:t>
      </w:r>
      <w:r w:rsidR="00DD5F80">
        <w:rPr>
          <w:sz w:val="18"/>
          <w:szCs w:val="18"/>
        </w:rPr>
        <w:t>1</w:t>
      </w:r>
      <w:r w:rsidR="00A1292A">
        <w:rPr>
          <w:sz w:val="18"/>
          <w:szCs w:val="18"/>
        </w:rPr>
        <w:t xml:space="preserve"> July </w:t>
      </w:r>
      <w:r w:rsidRPr="00591FA3">
        <w:rPr>
          <w:sz w:val="18"/>
          <w:szCs w:val="18"/>
        </w:rPr>
        <w:t>2016, the basic salary be adjusted in line with movements in the Wage Price Index (WPI) for Tasmania</w:t>
      </w:r>
      <w:r w:rsidR="00A1292A">
        <w:rPr>
          <w:sz w:val="18"/>
          <w:szCs w:val="18"/>
        </w:rPr>
        <w:t>.</w:t>
      </w:r>
      <w:r w:rsidRPr="00591FA3">
        <w:rPr>
          <w:sz w:val="18"/>
          <w:szCs w:val="18"/>
        </w:rPr>
        <w:t xml:space="preserve"> </w:t>
      </w:r>
    </w:p>
    <w:p w:rsidR="00646293" w:rsidRPr="00591FA3" w:rsidRDefault="00646293" w:rsidP="00932D2A">
      <w:pPr>
        <w:numPr>
          <w:ilvl w:val="0"/>
          <w:numId w:val="1"/>
        </w:numPr>
        <w:spacing w:after="120" w:line="300" w:lineRule="exact"/>
        <w:ind w:left="361"/>
        <w:jc w:val="both"/>
        <w:rPr>
          <w:sz w:val="18"/>
          <w:szCs w:val="18"/>
        </w:rPr>
      </w:pPr>
      <w:r w:rsidRPr="00591FA3">
        <w:rPr>
          <w:sz w:val="18"/>
          <w:szCs w:val="18"/>
        </w:rPr>
        <w:t>In 2016-17 there be further review by an independent tribunal, with a view to any changes taking effect from 1 July 2017.</w:t>
      </w:r>
    </w:p>
    <w:p w:rsidR="00646293" w:rsidRPr="00591FA3" w:rsidRDefault="00646293" w:rsidP="00932D2A">
      <w:pPr>
        <w:spacing w:after="120" w:line="300" w:lineRule="exact"/>
        <w:jc w:val="both"/>
        <w:rPr>
          <w:sz w:val="18"/>
          <w:szCs w:val="18"/>
          <w:u w:val="single"/>
        </w:rPr>
      </w:pPr>
      <w:r w:rsidRPr="00591FA3">
        <w:rPr>
          <w:sz w:val="18"/>
          <w:szCs w:val="18"/>
          <w:u w:val="single"/>
        </w:rPr>
        <w:t xml:space="preserve">Motor Vehicle Allowance </w:t>
      </w:r>
    </w:p>
    <w:p w:rsidR="00646293" w:rsidRPr="00591FA3" w:rsidRDefault="00646293" w:rsidP="00932D2A">
      <w:pPr>
        <w:spacing w:after="120" w:line="300" w:lineRule="exact"/>
        <w:jc w:val="both"/>
        <w:rPr>
          <w:sz w:val="18"/>
          <w:szCs w:val="18"/>
        </w:rPr>
      </w:pPr>
      <w:r w:rsidRPr="00591FA3">
        <w:rPr>
          <w:sz w:val="18"/>
          <w:szCs w:val="18"/>
        </w:rPr>
        <w:t>The existing arrangements concerning the provision of a fully maintained motor vehicle, or the payment of an allowance, to continue, but with the allowance to be adjusted in line with movements in the Consumer Price Index (CPI), rather than the basic salary.</w:t>
      </w:r>
    </w:p>
    <w:p w:rsidR="00646293" w:rsidRPr="00591FA3" w:rsidRDefault="00646293" w:rsidP="00932D2A">
      <w:pPr>
        <w:spacing w:after="120" w:line="300" w:lineRule="exact"/>
        <w:jc w:val="both"/>
        <w:rPr>
          <w:sz w:val="18"/>
          <w:szCs w:val="18"/>
          <w:u w:val="single"/>
        </w:rPr>
      </w:pPr>
      <w:r w:rsidRPr="00591FA3">
        <w:rPr>
          <w:sz w:val="18"/>
          <w:szCs w:val="18"/>
          <w:u w:val="single"/>
        </w:rPr>
        <w:t>Telecommunication Allowances</w:t>
      </w:r>
    </w:p>
    <w:p w:rsidR="00646293" w:rsidRPr="00591FA3" w:rsidRDefault="00646293" w:rsidP="00932D2A">
      <w:pPr>
        <w:numPr>
          <w:ilvl w:val="0"/>
          <w:numId w:val="2"/>
        </w:numPr>
        <w:spacing w:after="120" w:line="300" w:lineRule="exact"/>
        <w:ind w:left="361"/>
        <w:jc w:val="both"/>
        <w:rPr>
          <w:sz w:val="18"/>
          <w:szCs w:val="18"/>
        </w:rPr>
      </w:pPr>
      <w:r w:rsidRPr="00591FA3">
        <w:rPr>
          <w:sz w:val="18"/>
          <w:szCs w:val="18"/>
        </w:rPr>
        <w:t>The existing arrangements in relation to the provision of equipment and reimbursement of 80 per cent of mobile telephone charges to continue.</w:t>
      </w:r>
    </w:p>
    <w:p w:rsidR="00646293" w:rsidRPr="00591FA3" w:rsidRDefault="00646293" w:rsidP="00932D2A">
      <w:pPr>
        <w:numPr>
          <w:ilvl w:val="0"/>
          <w:numId w:val="2"/>
        </w:numPr>
        <w:spacing w:after="120" w:line="300" w:lineRule="exact"/>
        <w:ind w:left="361"/>
        <w:jc w:val="both"/>
        <w:rPr>
          <w:sz w:val="18"/>
          <w:szCs w:val="18"/>
        </w:rPr>
      </w:pPr>
      <w:r w:rsidRPr="00591FA3">
        <w:rPr>
          <w:sz w:val="18"/>
          <w:szCs w:val="18"/>
        </w:rPr>
        <w:t>The exis</w:t>
      </w:r>
      <w:r w:rsidR="00DD5F80">
        <w:rPr>
          <w:sz w:val="18"/>
          <w:szCs w:val="18"/>
        </w:rPr>
        <w:t>ting arrangement for home land</w:t>
      </w:r>
      <w:r w:rsidRPr="00591FA3">
        <w:rPr>
          <w:sz w:val="18"/>
          <w:szCs w:val="18"/>
        </w:rPr>
        <w:t xml:space="preserve">line telephone services to be replaced with an allowance of $50 per month. </w:t>
      </w:r>
    </w:p>
    <w:p w:rsidR="00646293" w:rsidRPr="00591FA3" w:rsidRDefault="00646293" w:rsidP="00932D2A">
      <w:pPr>
        <w:spacing w:after="120" w:line="300" w:lineRule="exact"/>
        <w:jc w:val="both"/>
        <w:rPr>
          <w:sz w:val="18"/>
          <w:szCs w:val="18"/>
          <w:u w:val="single"/>
        </w:rPr>
      </w:pPr>
      <w:r w:rsidRPr="00591FA3">
        <w:rPr>
          <w:sz w:val="18"/>
          <w:szCs w:val="18"/>
          <w:u w:val="single"/>
        </w:rPr>
        <w:t>Committee Sitting Fees</w:t>
      </w:r>
    </w:p>
    <w:p w:rsidR="00646293" w:rsidRPr="00591FA3" w:rsidRDefault="00646293" w:rsidP="00932D2A">
      <w:pPr>
        <w:numPr>
          <w:ilvl w:val="0"/>
          <w:numId w:val="3"/>
        </w:numPr>
        <w:spacing w:after="120" w:line="300" w:lineRule="exact"/>
        <w:ind w:left="361"/>
        <w:jc w:val="both"/>
        <w:rPr>
          <w:sz w:val="18"/>
          <w:szCs w:val="18"/>
        </w:rPr>
      </w:pPr>
      <w:r w:rsidRPr="00591FA3">
        <w:rPr>
          <w:sz w:val="18"/>
          <w:szCs w:val="18"/>
        </w:rPr>
        <w:t xml:space="preserve">Sitting fees for members of Standing Committees to be abolished from 1 July 2014. </w:t>
      </w:r>
    </w:p>
    <w:p w:rsidR="00646293" w:rsidRPr="00591FA3" w:rsidRDefault="00646293" w:rsidP="00932D2A">
      <w:pPr>
        <w:numPr>
          <w:ilvl w:val="0"/>
          <w:numId w:val="3"/>
        </w:numPr>
        <w:spacing w:after="120" w:line="300" w:lineRule="exact"/>
        <w:ind w:left="361"/>
        <w:jc w:val="both"/>
        <w:rPr>
          <w:sz w:val="18"/>
          <w:szCs w:val="18"/>
        </w:rPr>
      </w:pPr>
      <w:r w:rsidRPr="00591FA3">
        <w:rPr>
          <w:sz w:val="18"/>
          <w:szCs w:val="18"/>
        </w:rPr>
        <w:t>Sitting fees for Committee Chairs to continue but include the Chairs of all Standing and Select Committees.</w:t>
      </w:r>
    </w:p>
    <w:p w:rsidR="00646293" w:rsidRPr="00591FA3" w:rsidRDefault="00646293" w:rsidP="00932D2A">
      <w:pPr>
        <w:spacing w:after="120" w:line="300" w:lineRule="exact"/>
        <w:jc w:val="both"/>
        <w:rPr>
          <w:sz w:val="18"/>
          <w:szCs w:val="18"/>
          <w:u w:val="single"/>
        </w:rPr>
      </w:pPr>
      <w:r w:rsidRPr="00591FA3">
        <w:rPr>
          <w:sz w:val="18"/>
          <w:szCs w:val="18"/>
          <w:u w:val="single"/>
        </w:rPr>
        <w:t xml:space="preserve">Away From Home Travelling Allowances </w:t>
      </w:r>
    </w:p>
    <w:p w:rsidR="00646293" w:rsidRPr="00591FA3" w:rsidRDefault="00646293" w:rsidP="00932D2A">
      <w:pPr>
        <w:spacing w:after="120" w:line="300" w:lineRule="exact"/>
        <w:jc w:val="both"/>
        <w:rPr>
          <w:sz w:val="18"/>
          <w:szCs w:val="18"/>
        </w:rPr>
      </w:pPr>
      <w:r w:rsidRPr="00591FA3">
        <w:rPr>
          <w:sz w:val="18"/>
          <w:szCs w:val="18"/>
        </w:rPr>
        <w:t>Apart from a minor change to ensure consistency with the State Service provision, the existing arrangements to continue.</w:t>
      </w:r>
    </w:p>
    <w:p w:rsidR="00646293" w:rsidRPr="00591FA3" w:rsidRDefault="00646293" w:rsidP="00932D2A">
      <w:pPr>
        <w:spacing w:after="120" w:line="300" w:lineRule="exact"/>
        <w:jc w:val="both"/>
        <w:rPr>
          <w:sz w:val="18"/>
          <w:szCs w:val="18"/>
          <w:u w:val="single"/>
        </w:rPr>
      </w:pPr>
      <w:r w:rsidRPr="00591FA3">
        <w:rPr>
          <w:sz w:val="18"/>
          <w:szCs w:val="18"/>
          <w:u w:val="single"/>
        </w:rPr>
        <w:t>Bass Strait Travelling Allowance</w:t>
      </w:r>
    </w:p>
    <w:p w:rsidR="00646293" w:rsidRPr="00591FA3" w:rsidRDefault="00646293" w:rsidP="00932D2A">
      <w:pPr>
        <w:spacing w:after="120" w:line="300" w:lineRule="exact"/>
        <w:jc w:val="both"/>
        <w:rPr>
          <w:sz w:val="18"/>
          <w:szCs w:val="18"/>
        </w:rPr>
      </w:pPr>
      <w:r w:rsidRPr="00591FA3">
        <w:rPr>
          <w:sz w:val="18"/>
          <w:szCs w:val="18"/>
        </w:rPr>
        <w:t xml:space="preserve">This allowance to </w:t>
      </w:r>
      <w:r w:rsidR="00B90338">
        <w:rPr>
          <w:sz w:val="18"/>
          <w:szCs w:val="18"/>
        </w:rPr>
        <w:t>continue</w:t>
      </w:r>
      <w:r w:rsidRPr="00591FA3">
        <w:rPr>
          <w:sz w:val="18"/>
          <w:szCs w:val="18"/>
        </w:rPr>
        <w:t xml:space="preserve"> unchanged.</w:t>
      </w:r>
    </w:p>
    <w:p w:rsidR="00646293" w:rsidRPr="00591FA3" w:rsidRDefault="00646293" w:rsidP="00932D2A">
      <w:pPr>
        <w:spacing w:after="120" w:line="300" w:lineRule="exact"/>
        <w:jc w:val="both"/>
        <w:rPr>
          <w:sz w:val="18"/>
          <w:szCs w:val="18"/>
          <w:u w:val="single"/>
        </w:rPr>
      </w:pPr>
      <w:r w:rsidRPr="00591FA3">
        <w:rPr>
          <w:sz w:val="18"/>
          <w:szCs w:val="18"/>
          <w:u w:val="single"/>
        </w:rPr>
        <w:t>Taxi Allowance</w:t>
      </w:r>
    </w:p>
    <w:p w:rsidR="00646293" w:rsidRPr="00591FA3" w:rsidRDefault="00646293" w:rsidP="00932D2A">
      <w:pPr>
        <w:spacing w:after="120" w:line="300" w:lineRule="exact"/>
        <w:jc w:val="both"/>
        <w:rPr>
          <w:sz w:val="18"/>
          <w:szCs w:val="18"/>
        </w:rPr>
      </w:pPr>
      <w:r w:rsidRPr="00591FA3">
        <w:rPr>
          <w:sz w:val="18"/>
          <w:szCs w:val="18"/>
        </w:rPr>
        <w:t>This allowance to be abolished.</w:t>
      </w:r>
    </w:p>
    <w:p w:rsidR="00646293" w:rsidRPr="00591FA3" w:rsidRDefault="00646293" w:rsidP="00932D2A">
      <w:pPr>
        <w:spacing w:after="120" w:line="300" w:lineRule="exact"/>
        <w:jc w:val="both"/>
        <w:rPr>
          <w:sz w:val="18"/>
          <w:szCs w:val="18"/>
          <w:u w:val="single"/>
        </w:rPr>
      </w:pPr>
      <w:r w:rsidRPr="00591FA3">
        <w:rPr>
          <w:sz w:val="18"/>
          <w:szCs w:val="18"/>
          <w:u w:val="single"/>
        </w:rPr>
        <w:t xml:space="preserve">Entertainment Allowance </w:t>
      </w:r>
    </w:p>
    <w:p w:rsidR="00646293" w:rsidRPr="00591FA3" w:rsidRDefault="00646293" w:rsidP="00932D2A">
      <w:pPr>
        <w:spacing w:after="120" w:line="300" w:lineRule="exact"/>
        <w:jc w:val="both"/>
        <w:rPr>
          <w:sz w:val="18"/>
          <w:szCs w:val="18"/>
        </w:rPr>
      </w:pPr>
      <w:r w:rsidRPr="00591FA3">
        <w:rPr>
          <w:sz w:val="18"/>
          <w:szCs w:val="18"/>
        </w:rPr>
        <w:t>This allowance to continue unchanged.</w:t>
      </w:r>
    </w:p>
    <w:p w:rsidR="00646293" w:rsidRPr="00591FA3" w:rsidRDefault="00646293" w:rsidP="00932D2A">
      <w:pPr>
        <w:spacing w:after="120" w:line="300" w:lineRule="exact"/>
        <w:jc w:val="both"/>
        <w:rPr>
          <w:sz w:val="18"/>
          <w:szCs w:val="18"/>
          <w:u w:val="single"/>
        </w:rPr>
      </w:pPr>
      <w:r w:rsidRPr="00591FA3">
        <w:rPr>
          <w:sz w:val="18"/>
          <w:szCs w:val="18"/>
          <w:u w:val="single"/>
        </w:rPr>
        <w:lastRenderedPageBreak/>
        <w:t xml:space="preserve">Electorate Allowance </w:t>
      </w:r>
    </w:p>
    <w:p w:rsidR="00646293" w:rsidRPr="00591FA3" w:rsidRDefault="00646293" w:rsidP="00932D2A">
      <w:pPr>
        <w:spacing w:after="120" w:line="300" w:lineRule="exact"/>
        <w:jc w:val="both"/>
        <w:rPr>
          <w:sz w:val="18"/>
          <w:szCs w:val="18"/>
        </w:rPr>
      </w:pPr>
      <w:r w:rsidRPr="00591FA3">
        <w:rPr>
          <w:sz w:val="18"/>
          <w:szCs w:val="18"/>
        </w:rPr>
        <w:t>Existing allowances to be increased by 2.76 per cent effective from 1 July 2014 and in future be adjusted in line with the CPI rather than the basic salary.</w:t>
      </w:r>
    </w:p>
    <w:p w:rsidR="00646293" w:rsidRPr="00591FA3" w:rsidRDefault="00646293" w:rsidP="00932D2A">
      <w:pPr>
        <w:spacing w:after="120" w:line="300" w:lineRule="exact"/>
        <w:jc w:val="both"/>
        <w:rPr>
          <w:sz w:val="18"/>
          <w:szCs w:val="18"/>
          <w:u w:val="single"/>
        </w:rPr>
      </w:pPr>
      <w:r w:rsidRPr="00591FA3">
        <w:rPr>
          <w:sz w:val="18"/>
          <w:szCs w:val="18"/>
          <w:u w:val="single"/>
        </w:rPr>
        <w:t xml:space="preserve">Resettlement Allowance </w:t>
      </w:r>
    </w:p>
    <w:p w:rsidR="00212FF3" w:rsidRPr="00591FA3" w:rsidRDefault="00646293" w:rsidP="00932D2A">
      <w:pPr>
        <w:spacing w:after="120" w:line="300" w:lineRule="exact"/>
        <w:jc w:val="both"/>
        <w:rPr>
          <w:sz w:val="18"/>
          <w:szCs w:val="18"/>
          <w:lang w:val="en-US"/>
        </w:rPr>
      </w:pPr>
      <w:r w:rsidRPr="00591FA3">
        <w:rPr>
          <w:sz w:val="18"/>
          <w:szCs w:val="18"/>
        </w:rPr>
        <w:t xml:space="preserve">Introduce a new Resettlement Allowance to provide for the payment of 12 weeks’ salary to eligible MPs defeated at a General </w:t>
      </w:r>
      <w:r w:rsidR="00115282" w:rsidRPr="00591FA3">
        <w:rPr>
          <w:sz w:val="18"/>
          <w:szCs w:val="18"/>
        </w:rPr>
        <w:t>Election</w:t>
      </w:r>
      <w:r w:rsidRPr="00591FA3">
        <w:rPr>
          <w:sz w:val="18"/>
          <w:szCs w:val="18"/>
        </w:rPr>
        <w:t xml:space="preserve">, or who lose party </w:t>
      </w:r>
      <w:r w:rsidR="00353390" w:rsidRPr="00591FA3">
        <w:rPr>
          <w:sz w:val="18"/>
          <w:szCs w:val="18"/>
          <w:lang w:val="en-US"/>
        </w:rPr>
        <w:t>endorsement.</w:t>
      </w:r>
      <w:r w:rsidR="00212FF3" w:rsidRPr="00591FA3">
        <w:rPr>
          <w:sz w:val="18"/>
          <w:szCs w:val="18"/>
          <w:lang w:val="en-US"/>
        </w:rPr>
        <w:t xml:space="preserve"> </w:t>
      </w:r>
      <w:r w:rsidR="00032E21" w:rsidRPr="00591FA3">
        <w:rPr>
          <w:sz w:val="18"/>
          <w:szCs w:val="18"/>
          <w:lang w:val="en-US"/>
        </w:rPr>
        <w:t>To be eligible</w:t>
      </w:r>
      <w:r w:rsidR="00115282">
        <w:rPr>
          <w:sz w:val="18"/>
          <w:szCs w:val="18"/>
          <w:lang w:val="en-US"/>
        </w:rPr>
        <w:t>,</w:t>
      </w:r>
      <w:r w:rsidR="00032E21" w:rsidRPr="00591FA3">
        <w:rPr>
          <w:sz w:val="18"/>
          <w:szCs w:val="18"/>
          <w:lang w:val="en-US"/>
        </w:rPr>
        <w:t xml:space="preserve"> </w:t>
      </w:r>
      <w:r w:rsidR="006D5495">
        <w:rPr>
          <w:sz w:val="18"/>
          <w:szCs w:val="18"/>
          <w:lang w:val="en-US"/>
        </w:rPr>
        <w:t>an MP</w:t>
      </w:r>
      <w:r w:rsidR="00032E21" w:rsidRPr="00591FA3">
        <w:rPr>
          <w:sz w:val="18"/>
          <w:szCs w:val="18"/>
          <w:lang w:val="en-US"/>
        </w:rPr>
        <w:t xml:space="preserve"> must meet the following criteria:</w:t>
      </w:r>
    </w:p>
    <w:p w:rsidR="00032E21" w:rsidRPr="002D1AF0" w:rsidRDefault="002D1AF0" w:rsidP="0033523C">
      <w:pPr>
        <w:pStyle w:val="texti"/>
      </w:pPr>
      <w:r w:rsidRPr="002D1AF0">
        <w:t>(i)</w:t>
      </w:r>
      <w:r w:rsidRPr="002D1AF0">
        <w:tab/>
      </w:r>
      <w:r w:rsidR="00032E21" w:rsidRPr="002D1AF0">
        <w:t>An MP must have served at least one full term i</w:t>
      </w:r>
      <w:r w:rsidR="00115282">
        <w:t>mmediately prior to an election</w:t>
      </w:r>
      <w:r w:rsidR="00032E21" w:rsidRPr="002D1AF0">
        <w:t xml:space="preserve"> and be defeated at a subsequent election or lose party endorsement.</w:t>
      </w:r>
    </w:p>
    <w:p w:rsidR="00032E21" w:rsidRPr="002D1AF0" w:rsidRDefault="002D1AF0" w:rsidP="0033523C">
      <w:pPr>
        <w:pStyle w:val="texti"/>
      </w:pPr>
      <w:r>
        <w:t>(ii)</w:t>
      </w:r>
      <w:r>
        <w:tab/>
      </w:r>
      <w:r w:rsidR="00032E21" w:rsidRPr="002D1AF0">
        <w:t>A</w:t>
      </w:r>
      <w:r w:rsidR="009247CE">
        <w:t>n</w:t>
      </w:r>
      <w:r w:rsidR="00032E21" w:rsidRPr="002D1AF0">
        <w:t xml:space="preserve"> MP elected at a by-election or a recount will not be eligible until they have served at least one full term.</w:t>
      </w:r>
    </w:p>
    <w:p w:rsidR="00032E21" w:rsidRPr="002D1AF0" w:rsidRDefault="002D1AF0" w:rsidP="0033523C">
      <w:pPr>
        <w:pStyle w:val="texti"/>
      </w:pPr>
      <w:r>
        <w:t>(iii)</w:t>
      </w:r>
      <w:r>
        <w:tab/>
      </w:r>
      <w:r w:rsidR="00032E21" w:rsidRPr="002D1AF0">
        <w:t>A</w:t>
      </w:r>
      <w:r w:rsidR="009247CE">
        <w:t>n</w:t>
      </w:r>
      <w:r w:rsidR="00032E21" w:rsidRPr="002D1AF0">
        <w:t xml:space="preserve"> MP who chooses to resign from one House or electorate and nominate for another House or electorate (other than as a consequence of electoral reform) and </w:t>
      </w:r>
      <w:r w:rsidR="00DD5F80">
        <w:t>is</w:t>
      </w:r>
      <w:r w:rsidR="00032E21" w:rsidRPr="002D1AF0">
        <w:t xml:space="preserve"> subsequently defeated is not eligible for the </w:t>
      </w:r>
      <w:r w:rsidR="00DD5F80" w:rsidRPr="002D1AF0">
        <w:t>Resettlement Allowance</w:t>
      </w:r>
      <w:r w:rsidR="00032E21" w:rsidRPr="002D1AF0">
        <w:t>.</w:t>
      </w:r>
    </w:p>
    <w:p w:rsidR="00212FF3" w:rsidRPr="00591FA3" w:rsidRDefault="00646293" w:rsidP="00F324DE">
      <w:pPr>
        <w:pStyle w:val="textbasic"/>
      </w:pPr>
      <w:r w:rsidRPr="00591FA3">
        <w:t>As mentioned above</w:t>
      </w:r>
      <w:r w:rsidR="00DD5F80">
        <w:t>,</w:t>
      </w:r>
      <w:r w:rsidRPr="00591FA3">
        <w:t xml:space="preserve"> the recommendations contained in the </w:t>
      </w:r>
      <w:r w:rsidR="00032E21" w:rsidRPr="00591FA3">
        <w:t>2014 R</w:t>
      </w:r>
      <w:r w:rsidRPr="00591FA3">
        <w:t xml:space="preserve">eport were not </w:t>
      </w:r>
      <w:r w:rsidR="00353390" w:rsidRPr="00591FA3">
        <w:t>implemented</w:t>
      </w:r>
      <w:r w:rsidR="00212FF3" w:rsidRPr="00591FA3">
        <w:t>.</w:t>
      </w:r>
      <w:r w:rsidRPr="00591FA3">
        <w:t xml:space="preserve">  Without specific amendment to the </w:t>
      </w:r>
      <w:r w:rsidR="009C2293" w:rsidRPr="00591FA3">
        <w:t>2012 Act</w:t>
      </w:r>
      <w:r w:rsidRPr="00591FA3">
        <w:t xml:space="preserve"> </w:t>
      </w:r>
      <w:r w:rsidR="008F6F40" w:rsidRPr="00591FA3">
        <w:t xml:space="preserve">the recommendations </w:t>
      </w:r>
      <w:r w:rsidR="00DF5665" w:rsidRPr="00591FA3">
        <w:t xml:space="preserve">of the 2013 Tribunal </w:t>
      </w:r>
      <w:r w:rsidR="008F6F40" w:rsidRPr="00591FA3">
        <w:t>about salaries and allowances had no legal effect.</w:t>
      </w:r>
    </w:p>
    <w:p w:rsidR="008F6F40" w:rsidRPr="00591FA3" w:rsidRDefault="008F6F40" w:rsidP="00F324DE">
      <w:pPr>
        <w:pStyle w:val="textbasic"/>
      </w:pPr>
      <w:r w:rsidRPr="00591FA3">
        <w:t xml:space="preserve">The </w:t>
      </w:r>
      <w:r w:rsidR="009C2293" w:rsidRPr="00591FA3">
        <w:t>2012 Act</w:t>
      </w:r>
      <w:r w:rsidRPr="00591FA3">
        <w:t xml:space="preserve"> require</w:t>
      </w:r>
      <w:r w:rsidR="003F2DAF" w:rsidRPr="00591FA3">
        <w:t>s</w:t>
      </w:r>
      <w:r w:rsidRPr="00591FA3">
        <w:t xml:space="preserve"> that the first inquiry and report of the Commission under that Act must include consideration of the 201</w:t>
      </w:r>
      <w:r w:rsidR="0029629F" w:rsidRPr="00591FA3">
        <w:t>4 R</w:t>
      </w:r>
      <w:r w:rsidRPr="00591FA3">
        <w:t>eport.</w:t>
      </w:r>
      <w:r w:rsidR="00212FF3" w:rsidRPr="00591FA3">
        <w:t xml:space="preserve"> </w:t>
      </w:r>
    </w:p>
    <w:p w:rsidR="000B1FC6" w:rsidRPr="00591FA3" w:rsidRDefault="008F6F40" w:rsidP="00F324DE">
      <w:pPr>
        <w:pStyle w:val="textbasic"/>
      </w:pPr>
      <w:r w:rsidRPr="00591FA3">
        <w:t xml:space="preserve">The </w:t>
      </w:r>
      <w:r w:rsidR="00C40A7F" w:rsidRPr="00591FA3">
        <w:t>2014 Report, and an Issues Paper</w:t>
      </w:r>
      <w:r w:rsidR="00BF4E1E" w:rsidRPr="00591FA3">
        <w:t xml:space="preserve"> (the 2013 Issues Paper</w:t>
      </w:r>
      <w:r w:rsidR="003428DF" w:rsidRPr="00591FA3">
        <w:t>)</w:t>
      </w:r>
      <w:r w:rsidR="00C40A7F" w:rsidRPr="00591FA3">
        <w:rPr>
          <w:rStyle w:val="FootnoteReference"/>
        </w:rPr>
        <w:footnoteReference w:id="11"/>
      </w:r>
      <w:r w:rsidR="00C40A7F" w:rsidRPr="00591FA3">
        <w:t xml:space="preserve"> that preceded it, contain</w:t>
      </w:r>
      <w:r w:rsidRPr="00591FA3">
        <w:t xml:space="preserve"> </w:t>
      </w:r>
      <w:r w:rsidR="00212FF3" w:rsidRPr="00591FA3">
        <w:t xml:space="preserve">some significant research material which </w:t>
      </w:r>
      <w:r w:rsidR="003F2DAF" w:rsidRPr="00591FA3">
        <w:t>was still relevant</w:t>
      </w:r>
      <w:r w:rsidR="00212FF3" w:rsidRPr="00591FA3">
        <w:t xml:space="preserve"> </w:t>
      </w:r>
      <w:r w:rsidR="003F2DAF" w:rsidRPr="00591FA3">
        <w:t>to</w:t>
      </w:r>
      <w:r w:rsidR="00212FF3" w:rsidRPr="00591FA3">
        <w:t xml:space="preserve"> </w:t>
      </w:r>
      <w:r w:rsidR="00057844">
        <w:t xml:space="preserve">the </w:t>
      </w:r>
      <w:r w:rsidR="00212FF3" w:rsidRPr="00591FA3">
        <w:t>current inquiry</w:t>
      </w:r>
      <w:r w:rsidRPr="00591FA3">
        <w:t xml:space="preserve">.  In particular </w:t>
      </w:r>
      <w:r w:rsidR="000B1FC6" w:rsidRPr="00591FA3">
        <w:t xml:space="preserve">the </w:t>
      </w:r>
      <w:r w:rsidR="003F2DAF" w:rsidRPr="00591FA3">
        <w:t>2014 R</w:t>
      </w:r>
      <w:r w:rsidR="000B1FC6" w:rsidRPr="00591FA3">
        <w:t>eport considered:</w:t>
      </w:r>
    </w:p>
    <w:p w:rsidR="00153970" w:rsidRPr="00591FA3" w:rsidRDefault="004B7749" w:rsidP="004B7749">
      <w:pPr>
        <w:pStyle w:val="texti"/>
      </w:pPr>
      <w:r>
        <w:t>(i)</w:t>
      </w:r>
      <w:r>
        <w:tab/>
      </w:r>
      <w:r w:rsidR="00153970" w:rsidRPr="00591FA3">
        <w:t xml:space="preserve">The history of </w:t>
      </w:r>
      <w:r w:rsidR="00DD5F80" w:rsidRPr="00591FA3">
        <w:t xml:space="preserve">salary determination </w:t>
      </w:r>
      <w:r w:rsidR="00153970" w:rsidRPr="00591FA3">
        <w:t>for Tasmanian MPs</w:t>
      </w:r>
      <w:r w:rsidR="00B90338">
        <w:t>,</w:t>
      </w:r>
    </w:p>
    <w:p w:rsidR="00153970" w:rsidRPr="002D1AF0" w:rsidRDefault="002D1AF0" w:rsidP="0033523C">
      <w:pPr>
        <w:pStyle w:val="texti"/>
      </w:pPr>
      <w:r>
        <w:t>(i</w:t>
      </w:r>
      <w:r w:rsidR="004B7749">
        <w:t>i</w:t>
      </w:r>
      <w:r>
        <w:t>)</w:t>
      </w:r>
      <w:r>
        <w:tab/>
      </w:r>
      <w:r w:rsidR="00153970" w:rsidRPr="002D1AF0">
        <w:t xml:space="preserve">A discussion of the role of </w:t>
      </w:r>
      <w:r w:rsidR="006D5495">
        <w:t>an MP</w:t>
      </w:r>
      <w:r w:rsidR="00B90338">
        <w:t>,</w:t>
      </w:r>
    </w:p>
    <w:p w:rsidR="00153970" w:rsidRPr="002D1AF0" w:rsidRDefault="002D1AF0" w:rsidP="0033523C">
      <w:pPr>
        <w:pStyle w:val="texti"/>
      </w:pPr>
      <w:r>
        <w:t>(ii</w:t>
      </w:r>
      <w:r w:rsidR="004B7749">
        <w:t>i</w:t>
      </w:r>
      <w:r>
        <w:t>)</w:t>
      </w:r>
      <w:r>
        <w:tab/>
      </w:r>
      <w:r w:rsidR="00153970" w:rsidRPr="002D1AF0">
        <w:t>The history of changes to the basic salary</w:t>
      </w:r>
      <w:r w:rsidR="00B90338">
        <w:t>,</w:t>
      </w:r>
    </w:p>
    <w:p w:rsidR="00153970" w:rsidRPr="002D1AF0" w:rsidRDefault="002D1AF0" w:rsidP="0033523C">
      <w:pPr>
        <w:pStyle w:val="texti"/>
      </w:pPr>
      <w:r>
        <w:t>(i</w:t>
      </w:r>
      <w:r w:rsidR="004B7749">
        <w:t>v</w:t>
      </w:r>
      <w:r>
        <w:t>)</w:t>
      </w:r>
      <w:r>
        <w:tab/>
      </w:r>
      <w:r w:rsidR="00153970" w:rsidRPr="002D1AF0">
        <w:t>A discussion about appropriate mechanisms for adjustments to the basic salary</w:t>
      </w:r>
      <w:r w:rsidR="00B90338">
        <w:t>,</w:t>
      </w:r>
    </w:p>
    <w:p w:rsidR="00153970" w:rsidRPr="002D1AF0" w:rsidRDefault="004B7749" w:rsidP="0033523C">
      <w:pPr>
        <w:pStyle w:val="texti"/>
      </w:pPr>
      <w:r>
        <w:t>(</w:t>
      </w:r>
      <w:r w:rsidR="002D1AF0">
        <w:t>v)</w:t>
      </w:r>
      <w:r w:rsidR="002D1AF0">
        <w:tab/>
      </w:r>
      <w:r w:rsidR="00153970" w:rsidRPr="002D1AF0">
        <w:t>Comparative information about salaries</w:t>
      </w:r>
      <w:r w:rsidR="00B90338">
        <w:t>,</w:t>
      </w:r>
      <w:r w:rsidR="00402F0A">
        <w:t xml:space="preserve"> and</w:t>
      </w:r>
    </w:p>
    <w:p w:rsidR="00212FF3" w:rsidRPr="002D1AF0" w:rsidRDefault="002D1AF0" w:rsidP="0033523C">
      <w:pPr>
        <w:pStyle w:val="texti"/>
      </w:pPr>
      <w:r>
        <w:t>(v</w:t>
      </w:r>
      <w:r w:rsidR="004B7749">
        <w:t>i</w:t>
      </w:r>
      <w:r>
        <w:t>)</w:t>
      </w:r>
      <w:r>
        <w:tab/>
      </w:r>
      <w:r w:rsidR="00153970" w:rsidRPr="002D1AF0">
        <w:t>Activity indicators and statistical information</w:t>
      </w:r>
      <w:r w:rsidR="00B90338">
        <w:t>.</w:t>
      </w:r>
    </w:p>
    <w:p w:rsidR="00153970" w:rsidRPr="00591FA3" w:rsidRDefault="00353390" w:rsidP="00F324DE">
      <w:pPr>
        <w:pStyle w:val="textbasic"/>
      </w:pPr>
      <w:r w:rsidRPr="00591FA3">
        <w:t>Individuals and organisations</w:t>
      </w:r>
      <w:r w:rsidR="00153970" w:rsidRPr="00591FA3">
        <w:t xml:space="preserve"> intending to make submissions to the Commission </w:t>
      </w:r>
      <w:r w:rsidR="003F2DAF" w:rsidRPr="00591FA3">
        <w:t>were referred to</w:t>
      </w:r>
      <w:r w:rsidR="00153970" w:rsidRPr="00591FA3">
        <w:t xml:space="preserve"> this report </w:t>
      </w:r>
      <w:r w:rsidR="003F2DAF" w:rsidRPr="00591FA3">
        <w:t xml:space="preserve">as </w:t>
      </w:r>
      <w:r w:rsidR="00153970" w:rsidRPr="00591FA3">
        <w:t>useful background information.</w:t>
      </w:r>
    </w:p>
    <w:p w:rsidR="0029629F" w:rsidRDefault="0029629F" w:rsidP="00F700FC">
      <w:pPr>
        <w:pStyle w:val="Heading1"/>
      </w:pPr>
      <w:bookmarkStart w:id="34" w:name="_Toc443486908"/>
      <w:r>
        <w:t>4</w:t>
      </w:r>
      <w:r>
        <w:tab/>
        <w:t>Process and Methodology</w:t>
      </w:r>
      <w:bookmarkEnd w:id="34"/>
    </w:p>
    <w:p w:rsidR="00D029E0" w:rsidRPr="002D1AF0" w:rsidRDefault="00D029E0" w:rsidP="00F324DE">
      <w:pPr>
        <w:pStyle w:val="textbasic"/>
      </w:pPr>
      <w:r w:rsidRPr="002D1AF0">
        <w:t>The Commission published an Issues Paper in September 2015 (the 2015 Issues Paper)</w:t>
      </w:r>
      <w:r w:rsidR="00932D2A">
        <w:rPr>
          <w:rStyle w:val="FootnoteReference"/>
        </w:rPr>
        <w:footnoteReference w:id="12"/>
      </w:r>
      <w:r w:rsidRPr="002D1AF0">
        <w:t xml:space="preserve"> which outlined the recent history of salary determination</w:t>
      </w:r>
      <w:r w:rsidR="00BF4E1E" w:rsidRPr="002D1AF0">
        <w:t>s</w:t>
      </w:r>
      <w:r w:rsidRPr="002D1AF0">
        <w:t xml:space="preserve"> for MPs, discussed the issues under consideration, restated some of the </w:t>
      </w:r>
      <w:r w:rsidR="003F2DAF" w:rsidRPr="002D1AF0">
        <w:t xml:space="preserve">research material and </w:t>
      </w:r>
      <w:r w:rsidRPr="002D1AF0">
        <w:t>discussion from</w:t>
      </w:r>
      <w:r w:rsidR="003F2DAF" w:rsidRPr="002D1AF0">
        <w:t>,</w:t>
      </w:r>
      <w:r w:rsidRPr="002D1AF0">
        <w:t xml:space="preserve"> and </w:t>
      </w:r>
      <w:r w:rsidR="003F2DAF" w:rsidRPr="002D1AF0">
        <w:t xml:space="preserve">the </w:t>
      </w:r>
      <w:r w:rsidRPr="002D1AF0">
        <w:t>recommendations of</w:t>
      </w:r>
      <w:r w:rsidR="003F2DAF" w:rsidRPr="002D1AF0">
        <w:t>,</w:t>
      </w:r>
      <w:r w:rsidRPr="002D1AF0">
        <w:t xml:space="preserve"> the 2014 Report and invited submissions from individuals and organisations. </w:t>
      </w:r>
    </w:p>
    <w:p w:rsidR="00D029E0" w:rsidRPr="002D1AF0" w:rsidRDefault="00D029E0" w:rsidP="00F324DE">
      <w:pPr>
        <w:pStyle w:val="textbasic"/>
      </w:pPr>
      <w:r w:rsidRPr="002D1AF0">
        <w:lastRenderedPageBreak/>
        <w:t xml:space="preserve">The 2015 Issues Paper was placed on the Commission’s website and </w:t>
      </w:r>
      <w:r w:rsidR="00BF4E1E" w:rsidRPr="002D1AF0">
        <w:t xml:space="preserve">was </w:t>
      </w:r>
      <w:r w:rsidRPr="002D1AF0">
        <w:t>mailed to various employer and employee organisations and all members of the Tasmanian Parliament.</w:t>
      </w:r>
    </w:p>
    <w:p w:rsidR="00D029E0" w:rsidRPr="002D1AF0" w:rsidRDefault="00D029E0" w:rsidP="00F324DE">
      <w:pPr>
        <w:pStyle w:val="textbasic"/>
      </w:pPr>
      <w:r w:rsidRPr="002D1AF0">
        <w:t xml:space="preserve">Public notices were placed in the three daily newspapers on </w:t>
      </w:r>
      <w:r w:rsidR="003428DF" w:rsidRPr="002D1AF0">
        <w:t xml:space="preserve">26 September 2015 </w:t>
      </w:r>
      <w:r w:rsidRPr="002D1AF0">
        <w:t>drawing attention to the Inquiry, the 2015 Issues Paper and the capacity to lodge a submission.</w:t>
      </w:r>
      <w:r w:rsidR="003428DF" w:rsidRPr="002D1AF0">
        <w:t xml:space="preserve">  A similar notice appeared in the </w:t>
      </w:r>
      <w:r w:rsidR="003428DF" w:rsidRPr="00DD5F80">
        <w:rPr>
          <w:i/>
        </w:rPr>
        <w:t>Gazette</w:t>
      </w:r>
      <w:r w:rsidR="003428DF" w:rsidRPr="002D1AF0">
        <w:t xml:space="preserve"> on 30 September 2015.</w:t>
      </w:r>
    </w:p>
    <w:p w:rsidR="00D029E0" w:rsidRPr="002D1AF0" w:rsidRDefault="00D029E0" w:rsidP="00F324DE">
      <w:pPr>
        <w:pStyle w:val="textbasic"/>
      </w:pPr>
      <w:r w:rsidRPr="002D1AF0">
        <w:t>Submissions could be made in writing, in person</w:t>
      </w:r>
      <w:r w:rsidR="001711D0" w:rsidRPr="002D1AF0">
        <w:t>,</w:t>
      </w:r>
      <w:r w:rsidRPr="002D1AF0">
        <w:t xml:space="preserve"> or both. The closing date for written submissions was 23 October 2015, though the Commission did accept </w:t>
      </w:r>
      <w:r w:rsidR="0003140C">
        <w:t>two</w:t>
      </w:r>
      <w:r w:rsidRPr="002D1AF0">
        <w:t xml:space="preserve"> late submission</w:t>
      </w:r>
      <w:r w:rsidR="0003140C">
        <w:t>s</w:t>
      </w:r>
      <w:r w:rsidRPr="002D1AF0">
        <w:t xml:space="preserve">. </w:t>
      </w:r>
    </w:p>
    <w:p w:rsidR="00D029E0" w:rsidRPr="002D1AF0" w:rsidRDefault="00D029E0" w:rsidP="00F324DE">
      <w:pPr>
        <w:pStyle w:val="textbasic"/>
      </w:pPr>
      <w:r w:rsidRPr="002D1AF0">
        <w:t xml:space="preserve">The default position was that submissions would be public </w:t>
      </w:r>
      <w:r w:rsidR="00E14D34">
        <w:t>(</w:t>
      </w:r>
      <w:r w:rsidRPr="002D1AF0">
        <w:t>ie published on the website</w:t>
      </w:r>
      <w:r w:rsidR="00E14D34">
        <w:t>)</w:t>
      </w:r>
      <w:r w:rsidRPr="002D1AF0">
        <w:t>, unless the individual or organisation lodging the submission requested confidentiality.  All submission</w:t>
      </w:r>
      <w:r w:rsidR="00DD5F80">
        <w:t>s</w:t>
      </w:r>
      <w:r w:rsidRPr="002D1AF0">
        <w:t xml:space="preserve"> were made available on the</w:t>
      </w:r>
      <w:r w:rsidR="00B90338">
        <w:t xml:space="preserve"> web</w:t>
      </w:r>
      <w:r w:rsidR="003428DF" w:rsidRPr="002D1AF0">
        <w:t xml:space="preserve">site, </w:t>
      </w:r>
      <w:r w:rsidR="00DD5F80">
        <w:t>but</w:t>
      </w:r>
      <w:r w:rsidRPr="002D1AF0">
        <w:t xml:space="preserve"> the contact details of the authors of some submissions were suppressed.</w:t>
      </w:r>
    </w:p>
    <w:p w:rsidR="00D029E0" w:rsidRPr="002D1AF0" w:rsidRDefault="00D029E0" w:rsidP="00F324DE">
      <w:pPr>
        <w:pStyle w:val="textbasic"/>
      </w:pPr>
      <w:r w:rsidRPr="002D1AF0">
        <w:t>The Commission offer</w:t>
      </w:r>
      <w:r w:rsidR="00DD5F80">
        <w:t>ed</w:t>
      </w:r>
      <w:r w:rsidRPr="002D1AF0">
        <w:t xml:space="preserve"> to hear any oral submissions in person in the week of 2 November 2015.  No individual or organisation sought to make an oral submission.</w:t>
      </w:r>
    </w:p>
    <w:p w:rsidR="00164731" w:rsidRPr="002D1AF0" w:rsidRDefault="00164731" w:rsidP="00F324DE">
      <w:pPr>
        <w:pStyle w:val="textbasic"/>
      </w:pPr>
      <w:r w:rsidRPr="002D1AF0">
        <w:t>A total of 10 written submissions were received</w:t>
      </w:r>
      <w:r w:rsidR="00B90338">
        <w:t>.</w:t>
      </w:r>
      <w:r w:rsidR="009C2293" w:rsidRPr="00F4682A">
        <w:rPr>
          <w:rStyle w:val="FootnoteReference"/>
        </w:rPr>
        <w:footnoteReference w:id="13"/>
      </w:r>
      <w:r w:rsidR="008B77A9">
        <w:t xml:space="preserve"> </w:t>
      </w:r>
      <w:r w:rsidR="00E14D34">
        <w:t>(</w:t>
      </w:r>
      <w:r w:rsidR="008B77A9">
        <w:t>See Appendix 1</w:t>
      </w:r>
      <w:r w:rsidR="00E14D34">
        <w:t>)</w:t>
      </w:r>
    </w:p>
    <w:p w:rsidR="00D029E0" w:rsidRPr="002D1AF0" w:rsidRDefault="00D029E0" w:rsidP="00F324DE">
      <w:pPr>
        <w:pStyle w:val="textbasic"/>
      </w:pPr>
      <w:r w:rsidRPr="002D1AF0">
        <w:t xml:space="preserve">The Commission </w:t>
      </w:r>
      <w:r w:rsidR="00490FF6">
        <w:t>also me</w:t>
      </w:r>
      <w:r w:rsidR="0003140C">
        <w:t>t with the Clerk</w:t>
      </w:r>
      <w:r w:rsidR="00164731" w:rsidRPr="002D1AF0">
        <w:t xml:space="preserve"> of the Legislative Council and the</w:t>
      </w:r>
      <w:r w:rsidR="0003140C">
        <w:t xml:space="preserve"> Clerk of the</w:t>
      </w:r>
      <w:r w:rsidR="00164731" w:rsidRPr="002D1AF0">
        <w:t xml:space="preserve"> House of Assembly to </w:t>
      </w:r>
      <w:r w:rsidRPr="002D1AF0">
        <w:t xml:space="preserve">seek </w:t>
      </w:r>
      <w:r w:rsidR="00164731" w:rsidRPr="002D1AF0">
        <w:t>factual</w:t>
      </w:r>
      <w:r w:rsidRPr="002D1AF0">
        <w:t xml:space="preserve"> information and clarification on </w:t>
      </w:r>
      <w:r w:rsidR="00164731" w:rsidRPr="002D1AF0">
        <w:t>operational</w:t>
      </w:r>
      <w:r w:rsidRPr="002D1AF0">
        <w:t xml:space="preserve"> matters related to </w:t>
      </w:r>
      <w:r w:rsidR="00D73733">
        <w:t>p</w:t>
      </w:r>
      <w:r w:rsidR="00164731" w:rsidRPr="002D1AF0">
        <w:t>arliamentary</w:t>
      </w:r>
      <w:r w:rsidRPr="002D1AF0">
        <w:t xml:space="preserve"> </w:t>
      </w:r>
      <w:r w:rsidR="00164731" w:rsidRPr="002D1AF0">
        <w:t>salaries</w:t>
      </w:r>
      <w:r w:rsidRPr="002D1AF0">
        <w:t xml:space="preserve"> and </w:t>
      </w:r>
      <w:r w:rsidR="00164731" w:rsidRPr="002D1AF0">
        <w:t>allowances.</w:t>
      </w:r>
    </w:p>
    <w:p w:rsidR="006F3526" w:rsidRPr="00C84D8D" w:rsidRDefault="00870928" w:rsidP="00F700FC">
      <w:pPr>
        <w:pStyle w:val="Heading1"/>
      </w:pPr>
      <w:bookmarkStart w:id="35" w:name="_Toc443486909"/>
      <w:r>
        <w:t>5</w:t>
      </w:r>
      <w:r>
        <w:tab/>
      </w:r>
      <w:r w:rsidR="006F3526" w:rsidRPr="00C84D8D">
        <w:t>The Basic Salary</w:t>
      </w:r>
      <w:bookmarkEnd w:id="35"/>
    </w:p>
    <w:p w:rsidR="00EC1A81" w:rsidRDefault="00EC1A81" w:rsidP="00CC5844">
      <w:pPr>
        <w:pStyle w:val="Heading2"/>
      </w:pPr>
      <w:bookmarkStart w:id="36" w:name="_Toc443486910"/>
      <w:r>
        <w:t xml:space="preserve">5.1 </w:t>
      </w:r>
      <w:r>
        <w:tab/>
        <w:t>Information</w:t>
      </w:r>
      <w:bookmarkEnd w:id="36"/>
    </w:p>
    <w:p w:rsidR="006F3526" w:rsidRPr="002D1AF0" w:rsidRDefault="006F3526" w:rsidP="00F324DE">
      <w:pPr>
        <w:pStyle w:val="textbasic"/>
      </w:pPr>
      <w:r w:rsidRPr="002D1AF0">
        <w:t xml:space="preserve">The basic salary is provided for in the </w:t>
      </w:r>
      <w:r w:rsidR="009C2293" w:rsidRPr="002D1AF0">
        <w:t>2012 Act</w:t>
      </w:r>
      <w:r w:rsidRPr="00F4682A">
        <w:rPr>
          <w:vertAlign w:val="superscript"/>
        </w:rPr>
        <w:footnoteReference w:id="14"/>
      </w:r>
      <w:r w:rsidRPr="002D1AF0">
        <w:t xml:space="preserve"> and is the </w:t>
      </w:r>
      <w:r w:rsidR="00BF4E1E" w:rsidRPr="002D1AF0">
        <w:t>base</w:t>
      </w:r>
      <w:r w:rsidR="00DD5F80">
        <w:t>-</w:t>
      </w:r>
      <w:r w:rsidR="00BF4E1E" w:rsidRPr="002D1AF0">
        <w:t xml:space="preserve">level </w:t>
      </w:r>
      <w:r w:rsidRPr="002D1AF0">
        <w:t xml:space="preserve">salary paid to all MPs </w:t>
      </w:r>
      <w:r w:rsidR="003B1485" w:rsidRPr="002D1AF0">
        <w:t>exclud</w:t>
      </w:r>
      <w:r w:rsidR="0003140C">
        <w:t>ing</w:t>
      </w:r>
      <w:r w:rsidRPr="002D1AF0">
        <w:t xml:space="preserve"> any additional payments such as ministerial loadings, superannuation</w:t>
      </w:r>
      <w:r w:rsidR="003B1485" w:rsidRPr="002D1AF0">
        <w:t>,</w:t>
      </w:r>
      <w:r w:rsidRPr="002D1AF0">
        <w:t xml:space="preserve"> and electorate </w:t>
      </w:r>
      <w:r w:rsidR="003B1485" w:rsidRPr="002D1AF0">
        <w:t xml:space="preserve">or other </w:t>
      </w:r>
      <w:r w:rsidRPr="002D1AF0">
        <w:t>allowance</w:t>
      </w:r>
      <w:r w:rsidR="003B1485" w:rsidRPr="002D1AF0">
        <w:t>s</w:t>
      </w:r>
      <w:r w:rsidRPr="002D1AF0">
        <w:t>.</w:t>
      </w:r>
    </w:p>
    <w:p w:rsidR="006F3526" w:rsidRPr="002D1AF0" w:rsidRDefault="006F3526" w:rsidP="00F324DE">
      <w:pPr>
        <w:pStyle w:val="textbasic"/>
      </w:pPr>
      <w:r w:rsidRPr="002D1AF0">
        <w:t xml:space="preserve">As of 1 July 2015, the basic salary is $120 835 pa. Prior to the 2015 Act the basic salary was fixed at $118 466 pa, which was set from 1 July 2013. </w:t>
      </w:r>
    </w:p>
    <w:p w:rsidR="006F3526" w:rsidRPr="002D1AF0" w:rsidRDefault="006F3526" w:rsidP="00F324DE">
      <w:pPr>
        <w:pStyle w:val="textbasic"/>
      </w:pPr>
      <w:r w:rsidRPr="002D1AF0">
        <w:t xml:space="preserve">The history of changes to the basic salary from 1996 to 2015 is shown </w:t>
      </w:r>
      <w:r w:rsidRPr="00EC1A81">
        <w:t xml:space="preserve">at </w:t>
      </w:r>
      <w:r w:rsidR="00C40A7F" w:rsidRPr="00EC1A81">
        <w:t>Appendix</w:t>
      </w:r>
      <w:r w:rsidRPr="00EC1A81">
        <w:t xml:space="preserve"> 2</w:t>
      </w:r>
      <w:r w:rsidRPr="002D1AF0">
        <w:t>.</w:t>
      </w:r>
    </w:p>
    <w:p w:rsidR="006F3526" w:rsidRPr="002D1AF0" w:rsidRDefault="006F3526" w:rsidP="00F324DE">
      <w:pPr>
        <w:pStyle w:val="textbasic"/>
      </w:pPr>
      <w:r w:rsidRPr="002D1AF0">
        <w:t xml:space="preserve">The Tribunal prefaced the </w:t>
      </w:r>
      <w:r w:rsidR="00C40A7F" w:rsidRPr="002D1AF0">
        <w:t>2014 R</w:t>
      </w:r>
      <w:r w:rsidRPr="002D1AF0">
        <w:t>eport with the following observation:</w:t>
      </w:r>
    </w:p>
    <w:p w:rsidR="006F3526" w:rsidRPr="00591FA3" w:rsidRDefault="006F3526" w:rsidP="00F700FC">
      <w:pPr>
        <w:pStyle w:val="quoteitalics1"/>
      </w:pPr>
      <w:r w:rsidRPr="00591FA3">
        <w:t>“</w:t>
      </w:r>
      <w:r w:rsidR="003B1485" w:rsidRPr="00591FA3">
        <w:tab/>
      </w:r>
      <w:r w:rsidRPr="00591FA3">
        <w:t>In terms of public perception, there is never a good time to review the salary and benefits for Members of Parliament.</w:t>
      </w:r>
    </w:p>
    <w:p w:rsidR="006F3526" w:rsidRPr="00591FA3" w:rsidRDefault="006F3526" w:rsidP="00591FA3">
      <w:pPr>
        <w:pStyle w:val="quoteitalics"/>
      </w:pPr>
      <w:r w:rsidRPr="00591FA3">
        <w:t>We are aware from media coverage that the Government is facing a challenging budgetary position and is urging restraint on all sectors of Government activity.</w:t>
      </w:r>
    </w:p>
    <w:p w:rsidR="006F3526" w:rsidRPr="00591FA3" w:rsidRDefault="006F3526" w:rsidP="00591FA3">
      <w:pPr>
        <w:pStyle w:val="quoteitalics"/>
      </w:pPr>
      <w:r w:rsidRPr="00591FA3">
        <w:t>Against this background, the easy way through would be to adopt the Government wages policy, a position urged by a number of organisations that made submissions to this review, including the then State Government.</w:t>
      </w:r>
    </w:p>
    <w:p w:rsidR="006F3526" w:rsidRPr="00591FA3" w:rsidRDefault="006F3526" w:rsidP="00591FA3">
      <w:pPr>
        <w:pStyle w:val="quoteitalics"/>
      </w:pPr>
      <w:r w:rsidRPr="00591FA3">
        <w:t>We have chosen an alternative course, as to do otherwise would serve to perpetuate an inequity and unfairness, and simply delay public cynicism and ranco</w:t>
      </w:r>
      <w:r w:rsidR="009247CE">
        <w:t>u</w:t>
      </w:r>
      <w:r w:rsidRPr="00591FA3">
        <w:t>r to another day.</w:t>
      </w:r>
    </w:p>
    <w:p w:rsidR="006F3526" w:rsidRPr="00591FA3" w:rsidRDefault="006F3526" w:rsidP="00591FA3">
      <w:pPr>
        <w:pStyle w:val="quoteitalics"/>
      </w:pPr>
      <w:r w:rsidRPr="00591FA3">
        <w:t>We have endeavo</w:t>
      </w:r>
      <w:r w:rsidR="00DD5F80">
        <w:t>u</w:t>
      </w:r>
      <w:r w:rsidRPr="00591FA3">
        <w:t>red to identify arrangements that will end this public disquiet once and for all, and ensure that</w:t>
      </w:r>
      <w:r w:rsidR="00DD5F80">
        <w:t>,</w:t>
      </w:r>
      <w:r w:rsidRPr="00591FA3">
        <w:t xml:space="preserve"> into the future, salaries for MPs will be adjusted in line with wage movements for the wider community, which includes the public sector.</w:t>
      </w:r>
    </w:p>
    <w:p w:rsidR="006F3526" w:rsidRPr="00591FA3" w:rsidRDefault="006F3526" w:rsidP="00591FA3">
      <w:pPr>
        <w:pStyle w:val="quoteitalics"/>
      </w:pPr>
      <w:r w:rsidRPr="00591FA3">
        <w:lastRenderedPageBreak/>
        <w:t>To achieve this position we must, however, establish an appropriate base and that is not possible by the application of the Government wage</w:t>
      </w:r>
      <w:r w:rsidR="00DD5F80">
        <w:t>s</w:t>
      </w:r>
      <w:r w:rsidRPr="00591FA3">
        <w:t xml:space="preserve"> policy </w:t>
      </w:r>
      <w:r w:rsidR="00E14D34">
        <w:t>(</w:t>
      </w:r>
      <w:r w:rsidRPr="00591FA3">
        <w:t>2% salary increase</w:t>
      </w:r>
      <w:r w:rsidR="00E14D34">
        <w:t>)</w:t>
      </w:r>
      <w:r w:rsidRPr="00591FA3">
        <w:t>.”</w:t>
      </w:r>
    </w:p>
    <w:p w:rsidR="00AF63E4" w:rsidRPr="00954614" w:rsidRDefault="00AF63E4" w:rsidP="00F324DE">
      <w:pPr>
        <w:pStyle w:val="textbasic"/>
      </w:pPr>
      <w:r w:rsidRPr="00954614">
        <w:t>The 2014 Report determined a basic salary of $128</w:t>
      </w:r>
      <w:r w:rsidR="00954614" w:rsidRPr="00954614">
        <w:t xml:space="preserve"> </w:t>
      </w:r>
      <w:r w:rsidRPr="00954614">
        <w:t xml:space="preserve">000 pa effective from 1 January 2015. In reaching this conclusion, </w:t>
      </w:r>
      <w:r w:rsidR="00A04E7A" w:rsidRPr="00954614">
        <w:t>the T</w:t>
      </w:r>
      <w:r w:rsidRPr="00954614">
        <w:t xml:space="preserve">ribunal took into account a range of </w:t>
      </w:r>
      <w:r w:rsidR="00A06C01" w:rsidRPr="00954614">
        <w:t>issues</w:t>
      </w:r>
      <w:r w:rsidRPr="00954614">
        <w:t xml:space="preserve"> including:</w:t>
      </w:r>
    </w:p>
    <w:p w:rsidR="00AF63E4" w:rsidRPr="00954614" w:rsidRDefault="002D1AF0" w:rsidP="0033523C">
      <w:pPr>
        <w:pStyle w:val="texti"/>
        <w:rPr>
          <w:lang w:val="en-US"/>
        </w:rPr>
      </w:pPr>
      <w:r>
        <w:rPr>
          <w:lang w:val="en-US"/>
        </w:rPr>
        <w:t>(i)</w:t>
      </w:r>
      <w:r>
        <w:rPr>
          <w:lang w:val="en-US"/>
        </w:rPr>
        <w:tab/>
      </w:r>
      <w:r w:rsidR="00B90338">
        <w:rPr>
          <w:lang w:val="en-US"/>
        </w:rPr>
        <w:t xml:space="preserve">The role of </w:t>
      </w:r>
      <w:r w:rsidR="006D5495">
        <w:rPr>
          <w:lang w:val="en-US"/>
        </w:rPr>
        <w:t>an MP</w:t>
      </w:r>
      <w:r w:rsidR="00B90338">
        <w:rPr>
          <w:lang w:val="en-US"/>
        </w:rPr>
        <w:t>,</w:t>
      </w:r>
    </w:p>
    <w:p w:rsidR="00AF63E4" w:rsidRPr="00954614" w:rsidRDefault="002D1AF0" w:rsidP="0033523C">
      <w:pPr>
        <w:pStyle w:val="texti"/>
        <w:rPr>
          <w:lang w:val="en-US"/>
        </w:rPr>
      </w:pPr>
      <w:r>
        <w:rPr>
          <w:lang w:val="en-US"/>
        </w:rPr>
        <w:t>(ii)</w:t>
      </w:r>
      <w:r>
        <w:rPr>
          <w:lang w:val="en-US"/>
        </w:rPr>
        <w:tab/>
      </w:r>
      <w:r w:rsidR="00AF63E4" w:rsidRPr="00954614">
        <w:rPr>
          <w:lang w:val="en-US"/>
        </w:rPr>
        <w:t>Salary relativity with other State and Territory Parliaments</w:t>
      </w:r>
      <w:r w:rsidR="00B90338">
        <w:rPr>
          <w:lang w:val="en-US"/>
        </w:rPr>
        <w:t>,</w:t>
      </w:r>
    </w:p>
    <w:p w:rsidR="00AF63E4" w:rsidRPr="00954614" w:rsidRDefault="002D1AF0" w:rsidP="0033523C">
      <w:pPr>
        <w:pStyle w:val="texti"/>
        <w:rPr>
          <w:lang w:val="en-US"/>
        </w:rPr>
      </w:pPr>
      <w:r>
        <w:rPr>
          <w:lang w:val="en-US"/>
        </w:rPr>
        <w:t>(iii)</w:t>
      </w:r>
      <w:r>
        <w:rPr>
          <w:lang w:val="en-US"/>
        </w:rPr>
        <w:tab/>
      </w:r>
      <w:r w:rsidR="00AF63E4" w:rsidRPr="00954614">
        <w:rPr>
          <w:lang w:val="en-US"/>
        </w:rPr>
        <w:t>Salary movements for Tasmanian MPs compared with CPI and WPI</w:t>
      </w:r>
      <w:r w:rsidR="00B90338">
        <w:rPr>
          <w:lang w:val="en-US"/>
        </w:rPr>
        <w:t>,</w:t>
      </w:r>
    </w:p>
    <w:p w:rsidR="00AF63E4" w:rsidRPr="00954614" w:rsidRDefault="002D1AF0" w:rsidP="0033523C">
      <w:pPr>
        <w:pStyle w:val="texti"/>
        <w:rPr>
          <w:lang w:val="en-US"/>
        </w:rPr>
      </w:pPr>
      <w:r>
        <w:rPr>
          <w:lang w:val="en-US"/>
        </w:rPr>
        <w:t>(iv)</w:t>
      </w:r>
      <w:r>
        <w:rPr>
          <w:lang w:val="en-US"/>
        </w:rPr>
        <w:tab/>
      </w:r>
      <w:r w:rsidR="00AF63E4" w:rsidRPr="00954614">
        <w:rPr>
          <w:lang w:val="en-US"/>
        </w:rPr>
        <w:t>Salary comparison with selected State Service positions</w:t>
      </w:r>
      <w:r w:rsidR="00B90338">
        <w:rPr>
          <w:lang w:val="en-US"/>
        </w:rPr>
        <w:t>,</w:t>
      </w:r>
    </w:p>
    <w:p w:rsidR="00AF63E4" w:rsidRPr="00954614" w:rsidRDefault="002D1AF0" w:rsidP="0033523C">
      <w:pPr>
        <w:pStyle w:val="texti"/>
        <w:rPr>
          <w:lang w:val="en-US"/>
        </w:rPr>
      </w:pPr>
      <w:r>
        <w:rPr>
          <w:lang w:val="en-US"/>
        </w:rPr>
        <w:t>(v)</w:t>
      </w:r>
      <w:r>
        <w:rPr>
          <w:lang w:val="en-US"/>
        </w:rPr>
        <w:tab/>
      </w:r>
      <w:r w:rsidR="00AF63E4" w:rsidRPr="00954614">
        <w:rPr>
          <w:lang w:val="en-US"/>
        </w:rPr>
        <w:t>Population demographics and budget outlays</w:t>
      </w:r>
      <w:r w:rsidR="00B90338">
        <w:rPr>
          <w:lang w:val="en-US"/>
        </w:rPr>
        <w:t>,</w:t>
      </w:r>
      <w:r w:rsidR="00702D39">
        <w:rPr>
          <w:lang w:val="en-US"/>
        </w:rPr>
        <w:t xml:space="preserve"> and</w:t>
      </w:r>
    </w:p>
    <w:p w:rsidR="00AF63E4" w:rsidRPr="00954614" w:rsidRDefault="002D1AF0" w:rsidP="0033523C">
      <w:pPr>
        <w:pStyle w:val="texti"/>
        <w:rPr>
          <w:lang w:val="en-US"/>
        </w:rPr>
      </w:pPr>
      <w:r>
        <w:rPr>
          <w:lang w:val="en-US"/>
        </w:rPr>
        <w:t>(vi)</w:t>
      </w:r>
      <w:r>
        <w:rPr>
          <w:lang w:val="en-US"/>
        </w:rPr>
        <w:tab/>
      </w:r>
      <w:r w:rsidR="00AF63E4" w:rsidRPr="00954614">
        <w:rPr>
          <w:lang w:val="en-US"/>
        </w:rPr>
        <w:t>Activity indicators</w:t>
      </w:r>
      <w:r w:rsidR="00B90338">
        <w:rPr>
          <w:lang w:val="en-US"/>
        </w:rPr>
        <w:t>.</w:t>
      </w:r>
    </w:p>
    <w:p w:rsidR="00A04E7A" w:rsidRPr="00C84D8D" w:rsidRDefault="00A04E7A" w:rsidP="00F324DE">
      <w:pPr>
        <w:pStyle w:val="textbasic"/>
      </w:pPr>
      <w:r w:rsidRPr="00C84D8D">
        <w:t xml:space="preserve">As is required by the </w:t>
      </w:r>
      <w:r>
        <w:t>2012 Act</w:t>
      </w:r>
      <w:r w:rsidRPr="00C84D8D">
        <w:t xml:space="preserve">, the </w:t>
      </w:r>
      <w:r>
        <w:t>Commission</w:t>
      </w:r>
      <w:r w:rsidRPr="00C84D8D">
        <w:t xml:space="preserve"> is required to revisit the 201</w:t>
      </w:r>
      <w:r>
        <w:t>4</w:t>
      </w:r>
      <w:r w:rsidRPr="00C84D8D">
        <w:t xml:space="preserve"> </w:t>
      </w:r>
      <w:r>
        <w:t>R</w:t>
      </w:r>
      <w:r w:rsidRPr="00C84D8D">
        <w:t>eport</w:t>
      </w:r>
      <w:r>
        <w:rPr>
          <w:rStyle w:val="FootnoteReference"/>
        </w:rPr>
        <w:footnoteReference w:id="15"/>
      </w:r>
      <w:r w:rsidRPr="00C84D8D">
        <w:t xml:space="preserve">, and that will include testing the </w:t>
      </w:r>
      <w:r w:rsidR="00885A79">
        <w:t>factors listed</w:t>
      </w:r>
      <w:r w:rsidRPr="00C84D8D">
        <w:t xml:space="preserve"> above against </w:t>
      </w:r>
      <w:r w:rsidR="00885A79">
        <w:t xml:space="preserve">the </w:t>
      </w:r>
      <w:r w:rsidRPr="00C84D8D">
        <w:t xml:space="preserve">circumstances </w:t>
      </w:r>
      <w:r w:rsidR="00885A79" w:rsidRPr="00C84D8D">
        <w:t xml:space="preserve">prevailing </w:t>
      </w:r>
      <w:r w:rsidRPr="00C84D8D">
        <w:t>today.</w:t>
      </w:r>
    </w:p>
    <w:p w:rsidR="00AF63E4" w:rsidRPr="00A06C01" w:rsidRDefault="00E54AE5" w:rsidP="00F324DE">
      <w:pPr>
        <w:pStyle w:val="textbasic"/>
      </w:pPr>
      <w:r w:rsidRPr="00A06C01">
        <w:t xml:space="preserve">All submissions received by the Commission considered an appropriate approach to the determination of the basic salary.  There </w:t>
      </w:r>
      <w:r w:rsidR="00DD5F80">
        <w:t>was</w:t>
      </w:r>
      <w:r w:rsidRPr="00A06C01">
        <w:t xml:space="preserve"> a range of views.</w:t>
      </w:r>
    </w:p>
    <w:p w:rsidR="0003140C" w:rsidRDefault="00E54AE5" w:rsidP="00F324DE">
      <w:pPr>
        <w:pStyle w:val="textbasic"/>
      </w:pPr>
      <w:r w:rsidRPr="00A06C01">
        <w:rPr>
          <w:b/>
        </w:rPr>
        <w:t>Mr Boglio</w:t>
      </w:r>
      <w:r w:rsidRPr="00A06C01">
        <w:t xml:space="preserve"> disagree</w:t>
      </w:r>
      <w:r w:rsidR="0003140C">
        <w:t>s</w:t>
      </w:r>
      <w:r w:rsidRPr="00A06C01">
        <w:t xml:space="preserve"> with the recommended salary of $128 000 pa from January 2015, as it attempts to align with salaries in the wider community, </w:t>
      </w:r>
      <w:r w:rsidR="006A1789" w:rsidRPr="00A06C01">
        <w:t xml:space="preserve">and it is </w:t>
      </w:r>
      <w:r w:rsidRPr="00A06C01">
        <w:t>not performance based.</w:t>
      </w:r>
      <w:r w:rsidR="006A1789" w:rsidRPr="00A06C01">
        <w:t xml:space="preserve">  He submit</w:t>
      </w:r>
      <w:r w:rsidR="0003140C">
        <w:t>s</w:t>
      </w:r>
      <w:r w:rsidR="006A1789" w:rsidRPr="00A06C01">
        <w:t xml:space="preserve"> that</w:t>
      </w:r>
      <w:r w:rsidR="00702D39">
        <w:t>:</w:t>
      </w:r>
      <w:r w:rsidR="006A1789" w:rsidRPr="00A06C01">
        <w:t xml:space="preserve"> </w:t>
      </w:r>
    </w:p>
    <w:p w:rsidR="00E54AE5" w:rsidRPr="00A06C01" w:rsidRDefault="006A1789" w:rsidP="0003140C">
      <w:pPr>
        <w:pStyle w:val="quoteitalics1"/>
      </w:pPr>
      <w:r w:rsidRPr="00A06C01">
        <w:t>“</w:t>
      </w:r>
      <w:r w:rsidR="0003140C">
        <w:tab/>
      </w:r>
      <w:r w:rsidRPr="00A06C01">
        <w:t>All salaries in the community are linked to an indication of performance, therefore the salary of politicians should be linked to some indication of their performance as administrators of the public purse funds and as lawmakers impacting on the social and environmental health of the country.”</w:t>
      </w:r>
    </w:p>
    <w:p w:rsidR="006A1789" w:rsidRPr="00A06C01" w:rsidRDefault="006A1789" w:rsidP="00F324DE">
      <w:pPr>
        <w:pStyle w:val="textbasic"/>
      </w:pPr>
      <w:r w:rsidRPr="00A06C01">
        <w:t xml:space="preserve">The </w:t>
      </w:r>
      <w:r w:rsidRPr="00A06C01">
        <w:rPr>
          <w:b/>
        </w:rPr>
        <w:t>Labor Opposition</w:t>
      </w:r>
      <w:r w:rsidRPr="00A06C01">
        <w:t xml:space="preserve"> and </w:t>
      </w:r>
      <w:r w:rsidRPr="00A06C01">
        <w:rPr>
          <w:b/>
        </w:rPr>
        <w:t>Tasmanian Greens</w:t>
      </w:r>
      <w:r w:rsidRPr="00A06C01">
        <w:t xml:space="preserve"> both submit that the basic salary should be linked to the Public Service and aligned with a specified reference salary/classification level.</w:t>
      </w:r>
    </w:p>
    <w:p w:rsidR="006A1789" w:rsidRPr="00A06C01" w:rsidRDefault="006A1789" w:rsidP="00F324DE">
      <w:pPr>
        <w:pStyle w:val="textbasic"/>
      </w:pPr>
      <w:r w:rsidRPr="00A06C01">
        <w:rPr>
          <w:b/>
        </w:rPr>
        <w:t>Unions Tasmania</w:t>
      </w:r>
      <w:r w:rsidRPr="00A06C01">
        <w:t xml:space="preserve">, the </w:t>
      </w:r>
      <w:r w:rsidRPr="00A06C01">
        <w:rPr>
          <w:b/>
        </w:rPr>
        <w:t>CPSU</w:t>
      </w:r>
      <w:r w:rsidRPr="00A06C01">
        <w:t xml:space="preserve"> and the </w:t>
      </w:r>
      <w:r w:rsidR="00712B10" w:rsidRPr="00A06C01">
        <w:rPr>
          <w:b/>
        </w:rPr>
        <w:t>ANMF (Tas)</w:t>
      </w:r>
      <w:r w:rsidR="0002513A" w:rsidRPr="00A06C01">
        <w:t xml:space="preserve"> consider the basic salary recommended in the 2014 Report to be sound and that salary</w:t>
      </w:r>
      <w:r w:rsidR="0003140C">
        <w:t xml:space="preserve"> should</w:t>
      </w:r>
      <w:r w:rsidR="0002513A" w:rsidRPr="00A06C01">
        <w:t xml:space="preserve"> then be used to create a nexus between the basic salary of </w:t>
      </w:r>
      <w:r w:rsidR="006D5495">
        <w:t>an MP</w:t>
      </w:r>
      <w:r w:rsidR="0002513A" w:rsidRPr="00A06C01">
        <w:t xml:space="preserve"> with the basic salaries of the members of the other </w:t>
      </w:r>
      <w:r w:rsidR="00DD5F80" w:rsidRPr="00A06C01">
        <w:t xml:space="preserve">State </w:t>
      </w:r>
      <w:r w:rsidR="00DD5F80">
        <w:t>a</w:t>
      </w:r>
      <w:r w:rsidR="00DD5F80" w:rsidRPr="00A06C01">
        <w:t xml:space="preserve">nd Territory </w:t>
      </w:r>
      <w:r w:rsidR="00D73733" w:rsidRPr="00A06C01">
        <w:t>parliaments</w:t>
      </w:r>
      <w:r w:rsidR="0002513A" w:rsidRPr="00A06C01">
        <w:t>.</w:t>
      </w:r>
    </w:p>
    <w:p w:rsidR="00AF63E4" w:rsidRPr="00EC1A81" w:rsidRDefault="00AF63E4" w:rsidP="00EC1A81">
      <w:pPr>
        <w:pStyle w:val="Heading3"/>
      </w:pPr>
      <w:bookmarkStart w:id="37" w:name="_Toc443486911"/>
      <w:r w:rsidRPr="00EC1A81">
        <w:t>5.1</w:t>
      </w:r>
      <w:r w:rsidR="00EC1A81" w:rsidRPr="00EC1A81">
        <w:t>.1</w:t>
      </w:r>
      <w:r w:rsidR="00DD5F80">
        <w:tab/>
        <w:t xml:space="preserve">Role of </w:t>
      </w:r>
      <w:r w:rsidR="006D5495">
        <w:t>an MP</w:t>
      </w:r>
      <w:bookmarkEnd w:id="37"/>
    </w:p>
    <w:p w:rsidR="00AF63E4" w:rsidRDefault="00AF63E4" w:rsidP="00F324DE">
      <w:pPr>
        <w:pStyle w:val="textbasic"/>
      </w:pPr>
      <w:r w:rsidRPr="008E3762">
        <w:t xml:space="preserve">The </w:t>
      </w:r>
      <w:r w:rsidR="00A04E7A">
        <w:t xml:space="preserve">2013 Issues Paper and the </w:t>
      </w:r>
      <w:r>
        <w:t>2014 Report considered the role of an</w:t>
      </w:r>
      <w:r w:rsidRPr="008E3762">
        <w:t xml:space="preserve"> MP.</w:t>
      </w:r>
      <w:r w:rsidR="004B7749">
        <w:t xml:space="preserve">  Relevant sections from these documents are reproduced at Appendix 3.</w:t>
      </w:r>
    </w:p>
    <w:p w:rsidR="00A04E7A" w:rsidRPr="00E577A6" w:rsidRDefault="00A04E7A" w:rsidP="00F324DE">
      <w:pPr>
        <w:pStyle w:val="textbasic"/>
      </w:pPr>
      <w:r w:rsidRPr="00E577A6">
        <w:t xml:space="preserve">The 2014 Report found that the role of an MP was broadly similar to that of other State and Territory </w:t>
      </w:r>
      <w:r w:rsidR="00D73733">
        <w:t>Parliaments</w:t>
      </w:r>
      <w:r w:rsidRPr="00E577A6">
        <w:t>, but less similar to the Commonwealth.</w:t>
      </w:r>
    </w:p>
    <w:p w:rsidR="001F37F6" w:rsidRPr="001F37F6" w:rsidRDefault="001F37F6" w:rsidP="00F324DE">
      <w:pPr>
        <w:pStyle w:val="textbasic"/>
      </w:pPr>
      <w:r w:rsidRPr="001F37F6">
        <w:t>The 2014 Report made the following observations</w:t>
      </w:r>
      <w:r>
        <w:t xml:space="preserve"> about the role of a member of </w:t>
      </w:r>
      <w:r w:rsidR="00702D39">
        <w:t>Parliament</w:t>
      </w:r>
      <w:r w:rsidR="00AB392E">
        <w:rPr>
          <w:rStyle w:val="FootnoteReference"/>
        </w:rPr>
        <w:footnoteReference w:id="16"/>
      </w:r>
      <w:r>
        <w:t>:</w:t>
      </w:r>
    </w:p>
    <w:p w:rsidR="001F37F6" w:rsidRPr="001F37F6" w:rsidRDefault="001F37F6" w:rsidP="00F700FC">
      <w:pPr>
        <w:pStyle w:val="quoteitalics1"/>
      </w:pPr>
      <w:r>
        <w:t>“</w:t>
      </w:r>
      <w:r>
        <w:tab/>
      </w:r>
      <w:r w:rsidRPr="001F37F6">
        <w:t>Unlike the public and private sectors, there is no specific job description attached to the role of an MP. Not surprisingly, MPs come from a range of backgrounds and have differing skills experience and qualifications.</w:t>
      </w:r>
    </w:p>
    <w:p w:rsidR="00975ECD" w:rsidRDefault="00975ECD">
      <w:pPr>
        <w:spacing w:after="0"/>
        <w:rPr>
          <w:i/>
          <w:sz w:val="18"/>
          <w:szCs w:val="18"/>
          <w:lang w:val="en-US"/>
        </w:rPr>
      </w:pPr>
      <w:r>
        <w:br w:type="page"/>
      </w:r>
    </w:p>
    <w:p w:rsidR="001F37F6" w:rsidRPr="001F37F6" w:rsidRDefault="001F37F6" w:rsidP="002D1AF0">
      <w:pPr>
        <w:pStyle w:val="quoteitalics"/>
      </w:pPr>
      <w:r w:rsidRPr="001F37F6">
        <w:lastRenderedPageBreak/>
        <w:t>The role of an MP has been discussed in a number of publications including the Egan Report</w:t>
      </w:r>
      <w:r w:rsidRPr="001F37F6">
        <w:rPr>
          <w:rStyle w:val="FootnoteReference"/>
          <w:i w:val="0"/>
        </w:rPr>
        <w:footnoteReference w:id="17"/>
      </w:r>
      <w:r w:rsidRPr="001F37F6">
        <w:t xml:space="preserve"> and more recently the Queensland Independent Remuneration Tribunal Determination </w:t>
      </w:r>
      <w:r w:rsidR="00E14D34">
        <w:t>(</w:t>
      </w:r>
      <w:r w:rsidRPr="001F37F6">
        <w:t>Queensland Determination No 1</w:t>
      </w:r>
      <w:r w:rsidR="009247CE">
        <w:t>/2013</w:t>
      </w:r>
      <w:r w:rsidR="00E14D34">
        <w:t>)</w:t>
      </w:r>
      <w:r w:rsidRPr="001F37F6">
        <w:t>.</w:t>
      </w:r>
      <w:r w:rsidRPr="001F37F6">
        <w:rPr>
          <w:rStyle w:val="FootnoteReference"/>
          <w:i w:val="0"/>
        </w:rPr>
        <w:footnoteReference w:id="18"/>
      </w:r>
      <w:r w:rsidRPr="001F37F6">
        <w:t xml:space="preserve"> The work can be categorised into three components:</w:t>
      </w:r>
    </w:p>
    <w:p w:rsidR="001F37F6" w:rsidRPr="001F37F6" w:rsidRDefault="001F37F6" w:rsidP="00591E6D">
      <w:pPr>
        <w:pStyle w:val="quoteitalics"/>
        <w:numPr>
          <w:ilvl w:val="0"/>
          <w:numId w:val="23"/>
        </w:numPr>
      </w:pPr>
      <w:r w:rsidRPr="001F37F6">
        <w:t>Parliamentary work</w:t>
      </w:r>
      <w:r w:rsidR="00DD5F80">
        <w:t>,</w:t>
      </w:r>
    </w:p>
    <w:p w:rsidR="001F37F6" w:rsidRPr="001F37F6" w:rsidRDefault="001F37F6" w:rsidP="00591E6D">
      <w:pPr>
        <w:pStyle w:val="quoteitalics"/>
        <w:numPr>
          <w:ilvl w:val="0"/>
          <w:numId w:val="23"/>
        </w:numPr>
      </w:pPr>
      <w:r w:rsidRPr="001F37F6">
        <w:t>Electorate representation</w:t>
      </w:r>
      <w:r w:rsidR="00DD5F80">
        <w:t>,</w:t>
      </w:r>
      <w:r w:rsidRPr="001F37F6">
        <w:t xml:space="preserve"> and</w:t>
      </w:r>
    </w:p>
    <w:p w:rsidR="001F37F6" w:rsidRPr="001F37F6" w:rsidRDefault="001F37F6" w:rsidP="00591E6D">
      <w:pPr>
        <w:pStyle w:val="quoteitalics"/>
        <w:numPr>
          <w:ilvl w:val="0"/>
          <w:numId w:val="23"/>
        </w:numPr>
      </w:pPr>
      <w:r w:rsidRPr="001F37F6">
        <w:t xml:space="preserve">Engagement with a political party </w:t>
      </w:r>
      <w:r w:rsidR="00E14D34">
        <w:t>(</w:t>
      </w:r>
      <w:r w:rsidRPr="001F37F6">
        <w:t>if a member</w:t>
      </w:r>
      <w:r w:rsidR="00E14D34">
        <w:t>)</w:t>
      </w:r>
      <w:r w:rsidR="00DD5F80">
        <w:t>.</w:t>
      </w:r>
      <w:r w:rsidR="00D37D4E">
        <w:t>”</w:t>
      </w:r>
    </w:p>
    <w:p w:rsidR="001F37F6" w:rsidRPr="00D37D4E" w:rsidRDefault="001F37F6" w:rsidP="00F324DE">
      <w:pPr>
        <w:pStyle w:val="textbasic"/>
      </w:pPr>
      <w:r w:rsidRPr="00D37D4E">
        <w:t xml:space="preserve">The then State Government also made a submission to the Tribunal about the role of </w:t>
      </w:r>
      <w:r w:rsidR="006D5495">
        <w:t>an MP</w:t>
      </w:r>
      <w:r w:rsidRPr="00D37D4E">
        <w:t>.</w:t>
      </w:r>
    </w:p>
    <w:p w:rsidR="00D37D4E" w:rsidRPr="00D37D4E" w:rsidRDefault="00D37D4E" w:rsidP="00F324DE">
      <w:pPr>
        <w:pStyle w:val="textbasic"/>
      </w:pPr>
      <w:r w:rsidRPr="00D37D4E">
        <w:t>Taking account of th</w:t>
      </w:r>
      <w:r>
        <w:t>at</w:t>
      </w:r>
      <w:r w:rsidR="001F37F6" w:rsidRPr="00D37D4E">
        <w:t xml:space="preserve"> </w:t>
      </w:r>
      <w:r w:rsidR="00A06C01" w:rsidRPr="00D37D4E">
        <w:t>submission</w:t>
      </w:r>
      <w:r w:rsidR="0003140C">
        <w:t>,</w:t>
      </w:r>
      <w:r w:rsidR="00A06C01" w:rsidRPr="00D37D4E">
        <w:t xml:space="preserve"> </w:t>
      </w:r>
      <w:r w:rsidR="00A06C01">
        <w:t xml:space="preserve">and the Egan </w:t>
      </w:r>
      <w:r w:rsidR="00A06C01" w:rsidRPr="00D37D4E">
        <w:t>Report</w:t>
      </w:r>
      <w:r w:rsidR="00A06C01">
        <w:t xml:space="preserve"> and</w:t>
      </w:r>
      <w:r w:rsidRPr="00D37D4E">
        <w:t xml:space="preserve"> </w:t>
      </w:r>
      <w:r w:rsidR="00A06C01">
        <w:t xml:space="preserve">Queensland </w:t>
      </w:r>
      <w:r w:rsidR="00A06C01" w:rsidRPr="00D37D4E">
        <w:t xml:space="preserve">Determination </w:t>
      </w:r>
      <w:r w:rsidR="00A06C01">
        <w:t>1/2013 (referenced in the 2014 Report)</w:t>
      </w:r>
      <w:r w:rsidR="0003140C">
        <w:t>,</w:t>
      </w:r>
      <w:r w:rsidR="00A06C01">
        <w:t xml:space="preserve"> the role of </w:t>
      </w:r>
      <w:r w:rsidR="006D5495">
        <w:t>an MP</w:t>
      </w:r>
      <w:r w:rsidRPr="00D37D4E">
        <w:t xml:space="preserve"> can be described as</w:t>
      </w:r>
      <w:r>
        <w:t>:</w:t>
      </w:r>
    </w:p>
    <w:p w:rsidR="00D37D4E" w:rsidRPr="00E91872" w:rsidRDefault="002D1AF0" w:rsidP="0033523C">
      <w:pPr>
        <w:pStyle w:val="texti"/>
      </w:pPr>
      <w:r>
        <w:t>(i)</w:t>
      </w:r>
      <w:r>
        <w:tab/>
      </w:r>
      <w:r w:rsidR="00D22E21" w:rsidRPr="00D37D4E">
        <w:t xml:space="preserve">A </w:t>
      </w:r>
      <w:r w:rsidR="00D37D4E" w:rsidRPr="00D37D4E">
        <w:t xml:space="preserve">representative of the people in their electorate who must </w:t>
      </w:r>
      <w:r w:rsidR="00D37D4E" w:rsidRPr="00E91872">
        <w:t>play an active role in their community</w:t>
      </w:r>
      <w:r w:rsidR="00D22E21">
        <w:t xml:space="preserve"> -</w:t>
      </w:r>
      <w:r w:rsidR="00D37D4E" w:rsidRPr="00E91872">
        <w:t xml:space="preserve"> listening and providing advice </w:t>
      </w:r>
      <w:r w:rsidR="00E91872" w:rsidRPr="00E91872">
        <w:t>and ass</w:t>
      </w:r>
      <w:r w:rsidR="00E91872">
        <w:t>is</w:t>
      </w:r>
      <w:r w:rsidR="00E91872" w:rsidRPr="00E91872">
        <w:t xml:space="preserve">tance </w:t>
      </w:r>
      <w:r w:rsidR="00D37D4E" w:rsidRPr="00E91872">
        <w:t>to, and advocating for</w:t>
      </w:r>
      <w:r w:rsidR="00E81345">
        <w:t>,</w:t>
      </w:r>
      <w:r w:rsidR="00D37D4E" w:rsidRPr="00E91872">
        <w:t xml:space="preserve"> </w:t>
      </w:r>
      <w:r w:rsidR="00D22E21">
        <w:t>individual</w:t>
      </w:r>
      <w:r w:rsidR="00D37D4E" w:rsidRPr="00E91872">
        <w:t xml:space="preserve"> constituents</w:t>
      </w:r>
      <w:r w:rsidR="00D22E21">
        <w:t>,</w:t>
      </w:r>
    </w:p>
    <w:p w:rsidR="00D37D4E" w:rsidRPr="00D37D4E" w:rsidRDefault="002D1AF0" w:rsidP="0033523C">
      <w:pPr>
        <w:pStyle w:val="texti"/>
      </w:pPr>
      <w:r>
        <w:t>(ii)</w:t>
      </w:r>
      <w:r>
        <w:tab/>
      </w:r>
      <w:r w:rsidR="00D22E21" w:rsidRPr="00D37D4E">
        <w:t xml:space="preserve">Providing </w:t>
      </w:r>
      <w:r w:rsidR="00D37D4E" w:rsidRPr="00D37D4E">
        <w:t xml:space="preserve">a direct link between their electorate and </w:t>
      </w:r>
      <w:r w:rsidR="00E81345">
        <w:t xml:space="preserve">the </w:t>
      </w:r>
      <w:r w:rsidR="00E81345" w:rsidRPr="00D37D4E">
        <w:t>Parliament</w:t>
      </w:r>
      <w:r w:rsidR="00D22E21">
        <w:t>,</w:t>
      </w:r>
    </w:p>
    <w:p w:rsidR="00D37D4E" w:rsidRPr="00D37D4E" w:rsidRDefault="002D1AF0" w:rsidP="0033523C">
      <w:pPr>
        <w:pStyle w:val="texti"/>
      </w:pPr>
      <w:r>
        <w:t>(iii)</w:t>
      </w:r>
      <w:r>
        <w:tab/>
      </w:r>
      <w:r w:rsidR="00D22E21" w:rsidRPr="00D37D4E">
        <w:t xml:space="preserve">Advocating </w:t>
      </w:r>
      <w:r w:rsidR="00D37D4E" w:rsidRPr="00D37D4E">
        <w:t>on behalf of their constituency</w:t>
      </w:r>
      <w:r w:rsidR="00D22E21">
        <w:t xml:space="preserve"> as a whole,</w:t>
      </w:r>
      <w:r w:rsidR="00E91872">
        <w:t xml:space="preserve"> </w:t>
      </w:r>
    </w:p>
    <w:p w:rsidR="00D37D4E" w:rsidRPr="00D37D4E" w:rsidRDefault="002D1AF0" w:rsidP="0033523C">
      <w:pPr>
        <w:pStyle w:val="texti"/>
      </w:pPr>
      <w:r>
        <w:t>(iv)</w:t>
      </w:r>
      <w:r>
        <w:tab/>
      </w:r>
      <w:r w:rsidR="00D22E21" w:rsidRPr="00D37D4E">
        <w:t xml:space="preserve">Contacting </w:t>
      </w:r>
      <w:r w:rsidR="00D37D4E" w:rsidRPr="00D37D4E">
        <w:t>and supporting the communities within their electorate</w:t>
      </w:r>
      <w:r w:rsidR="00E91872" w:rsidRPr="00E91872">
        <w:t xml:space="preserve"> </w:t>
      </w:r>
      <w:r w:rsidR="00E91872">
        <w:t>and acting as a lobbyist for local interest groups</w:t>
      </w:r>
      <w:r w:rsidR="00D22E21">
        <w:t>,</w:t>
      </w:r>
    </w:p>
    <w:p w:rsidR="00D37D4E" w:rsidRPr="00D37D4E" w:rsidRDefault="002D1AF0" w:rsidP="0033523C">
      <w:pPr>
        <w:pStyle w:val="texti"/>
      </w:pPr>
      <w:r>
        <w:t>(v)</w:t>
      </w:r>
      <w:r>
        <w:tab/>
      </w:r>
      <w:r w:rsidR="00D22E21" w:rsidRPr="00D37D4E">
        <w:t xml:space="preserve">Performing </w:t>
      </w:r>
      <w:r w:rsidR="00D37D4E" w:rsidRPr="00D37D4E">
        <w:t>parliamentary functions as a member of the Ho</w:t>
      </w:r>
      <w:r w:rsidR="00E91872">
        <w:t>u</w:t>
      </w:r>
      <w:r w:rsidR="00D37D4E" w:rsidRPr="00D37D4E">
        <w:t>se of Assembly or Legislative Council, such as debating legislation</w:t>
      </w:r>
      <w:r w:rsidR="00E91872">
        <w:t xml:space="preserve"> and participating in general debates</w:t>
      </w:r>
      <w:r w:rsidR="00D37D4E" w:rsidRPr="00D37D4E">
        <w:t>, scrutinising the actions of the executive government through asking questions on notice or without notice and making speeches, particularly on topics that affect their constituency</w:t>
      </w:r>
      <w:r w:rsidR="00D22E21">
        <w:t>,</w:t>
      </w:r>
    </w:p>
    <w:p w:rsidR="00D37D4E" w:rsidRPr="00D37D4E" w:rsidRDefault="002D1AF0" w:rsidP="0033523C">
      <w:pPr>
        <w:pStyle w:val="texti"/>
      </w:pPr>
      <w:r>
        <w:t>(vi)</w:t>
      </w:r>
      <w:r>
        <w:tab/>
      </w:r>
      <w:r w:rsidR="00D22E21" w:rsidRPr="00D37D4E">
        <w:t xml:space="preserve">Serving </w:t>
      </w:r>
      <w:r w:rsidR="00D37D4E" w:rsidRPr="00D37D4E">
        <w:t xml:space="preserve">on parliamentary committees, as required, to examine specific issues and legislation that comes before </w:t>
      </w:r>
      <w:r w:rsidR="00E81345">
        <w:t xml:space="preserve">the </w:t>
      </w:r>
      <w:r w:rsidR="00E81345" w:rsidRPr="00D37D4E">
        <w:t>Parliament</w:t>
      </w:r>
      <w:r w:rsidR="00D22E21">
        <w:t>,</w:t>
      </w:r>
    </w:p>
    <w:p w:rsidR="00D37D4E" w:rsidRDefault="002D1AF0" w:rsidP="0033523C">
      <w:pPr>
        <w:pStyle w:val="texti"/>
      </w:pPr>
      <w:r>
        <w:t>(vii)</w:t>
      </w:r>
      <w:r>
        <w:tab/>
      </w:r>
      <w:r w:rsidR="00D22E21" w:rsidRPr="00D37D4E">
        <w:t xml:space="preserve">Participating </w:t>
      </w:r>
      <w:r w:rsidR="00D37D4E" w:rsidRPr="00D37D4E">
        <w:t>in internal p</w:t>
      </w:r>
      <w:r w:rsidR="00D37D4E">
        <w:t>arty processes</w:t>
      </w:r>
      <w:r w:rsidR="00E91872">
        <w:t xml:space="preserve"> and meetings, and being a communicator for their party’s policies,</w:t>
      </w:r>
      <w:r w:rsidR="00D37D4E">
        <w:t xml:space="preserve"> where applicable</w:t>
      </w:r>
      <w:r w:rsidR="00D22E21">
        <w:t>,</w:t>
      </w:r>
      <w:r w:rsidR="00D73733">
        <w:t xml:space="preserve"> and</w:t>
      </w:r>
    </w:p>
    <w:p w:rsidR="00D37D4E" w:rsidRPr="00D37D4E" w:rsidRDefault="002D1AF0" w:rsidP="0033523C">
      <w:pPr>
        <w:pStyle w:val="texti"/>
      </w:pPr>
      <w:r>
        <w:rPr>
          <w:lang w:val="en-US"/>
        </w:rPr>
        <w:t>(viii)</w:t>
      </w:r>
      <w:r>
        <w:rPr>
          <w:lang w:val="en-US"/>
        </w:rPr>
        <w:tab/>
      </w:r>
      <w:r w:rsidR="00D22E21" w:rsidRPr="00587F17">
        <w:rPr>
          <w:lang w:val="en-US"/>
        </w:rPr>
        <w:t xml:space="preserve">Promoting </w:t>
      </w:r>
      <w:r w:rsidR="00D37D4E" w:rsidRPr="00587F17">
        <w:rPr>
          <w:lang w:val="en-US"/>
        </w:rPr>
        <w:t>Tasmania and advocating on behalf of the State</w:t>
      </w:r>
      <w:r w:rsidR="00D37D4E">
        <w:rPr>
          <w:lang w:val="en-US"/>
        </w:rPr>
        <w:t>.</w:t>
      </w:r>
    </w:p>
    <w:p w:rsidR="00D37D4E" w:rsidRPr="00587F17" w:rsidRDefault="00D37D4E" w:rsidP="00F324DE">
      <w:pPr>
        <w:pStyle w:val="textbasic"/>
      </w:pPr>
      <w:r w:rsidRPr="00587F17">
        <w:t xml:space="preserve">In terms of the desired skill set </w:t>
      </w:r>
      <w:r w:rsidRPr="008E3762">
        <w:t>the then State Government</w:t>
      </w:r>
      <w:r w:rsidRPr="00587F17">
        <w:t xml:space="preserve"> observed:</w:t>
      </w:r>
    </w:p>
    <w:p w:rsidR="00D37D4E" w:rsidRPr="00587F17" w:rsidRDefault="00D37D4E" w:rsidP="00F700FC">
      <w:pPr>
        <w:pStyle w:val="quoteitalics1"/>
      </w:pPr>
      <w:r w:rsidRPr="00587F17">
        <w:t>“</w:t>
      </w:r>
      <w:r>
        <w:tab/>
      </w:r>
      <w:r w:rsidRPr="00587F17">
        <w:t>Given the variety of activities that a Member of Parliament is expected to undertake, he or she needs to possess a broad set of skills.  These include:</w:t>
      </w:r>
    </w:p>
    <w:p w:rsidR="00D37D4E" w:rsidRPr="00587F17" w:rsidRDefault="00D37D4E" w:rsidP="00591E6D">
      <w:pPr>
        <w:pStyle w:val="quoteitalics"/>
        <w:numPr>
          <w:ilvl w:val="0"/>
          <w:numId w:val="24"/>
        </w:numPr>
      </w:pPr>
      <w:r w:rsidRPr="00587F17">
        <w:t>Leadership skills;</w:t>
      </w:r>
    </w:p>
    <w:p w:rsidR="00D37D4E" w:rsidRPr="00587F17" w:rsidRDefault="00D37D4E" w:rsidP="00591E6D">
      <w:pPr>
        <w:pStyle w:val="quoteitalics"/>
        <w:numPr>
          <w:ilvl w:val="0"/>
          <w:numId w:val="24"/>
        </w:numPr>
      </w:pPr>
      <w:r w:rsidRPr="00587F17">
        <w:t>Community representation skills;</w:t>
      </w:r>
    </w:p>
    <w:p w:rsidR="00D37D4E" w:rsidRPr="00587F17" w:rsidRDefault="00D37D4E" w:rsidP="00591E6D">
      <w:pPr>
        <w:pStyle w:val="quoteitalics"/>
        <w:numPr>
          <w:ilvl w:val="0"/>
          <w:numId w:val="24"/>
        </w:numPr>
      </w:pPr>
      <w:r w:rsidRPr="00587F17">
        <w:t>Interpersonal skills;</w:t>
      </w:r>
    </w:p>
    <w:p w:rsidR="00D37D4E" w:rsidRPr="00587F17" w:rsidRDefault="00D37D4E" w:rsidP="00591E6D">
      <w:pPr>
        <w:pStyle w:val="quoteitalics"/>
        <w:numPr>
          <w:ilvl w:val="0"/>
          <w:numId w:val="24"/>
        </w:numPr>
      </w:pPr>
      <w:r w:rsidRPr="00587F17">
        <w:t>Negotiation and influencing skills;</w:t>
      </w:r>
    </w:p>
    <w:p w:rsidR="00D37D4E" w:rsidRPr="00587F17" w:rsidRDefault="00D37D4E" w:rsidP="00591E6D">
      <w:pPr>
        <w:pStyle w:val="quoteitalics"/>
        <w:numPr>
          <w:ilvl w:val="0"/>
          <w:numId w:val="24"/>
        </w:numPr>
      </w:pPr>
      <w:r w:rsidRPr="00587F17">
        <w:t>Debating skills;</w:t>
      </w:r>
    </w:p>
    <w:p w:rsidR="00D37D4E" w:rsidRPr="00587F17" w:rsidRDefault="00D37D4E" w:rsidP="00591E6D">
      <w:pPr>
        <w:pStyle w:val="quoteitalics"/>
        <w:numPr>
          <w:ilvl w:val="0"/>
          <w:numId w:val="24"/>
        </w:numPr>
      </w:pPr>
      <w:r w:rsidRPr="00587F17">
        <w:t>Speaking in public;</w:t>
      </w:r>
    </w:p>
    <w:p w:rsidR="00D37D4E" w:rsidRPr="00587F17" w:rsidRDefault="00D37D4E" w:rsidP="00591E6D">
      <w:pPr>
        <w:pStyle w:val="quoteitalics"/>
        <w:numPr>
          <w:ilvl w:val="0"/>
          <w:numId w:val="24"/>
        </w:numPr>
      </w:pPr>
      <w:r w:rsidRPr="00587F17">
        <w:lastRenderedPageBreak/>
        <w:t>Research and analytical skills;</w:t>
      </w:r>
    </w:p>
    <w:p w:rsidR="00D37D4E" w:rsidRPr="00587F17" w:rsidRDefault="00D37D4E" w:rsidP="00591E6D">
      <w:pPr>
        <w:pStyle w:val="quoteitalics"/>
        <w:numPr>
          <w:ilvl w:val="0"/>
          <w:numId w:val="24"/>
        </w:numPr>
      </w:pPr>
      <w:r w:rsidRPr="00587F17">
        <w:t>IT</w:t>
      </w:r>
      <w:r w:rsidR="00E81345">
        <w:t>-</w:t>
      </w:r>
      <w:r w:rsidRPr="00587F17">
        <w:t>related skills;</w:t>
      </w:r>
    </w:p>
    <w:p w:rsidR="00D37D4E" w:rsidRPr="00587F17" w:rsidRDefault="00D37D4E" w:rsidP="00591E6D">
      <w:pPr>
        <w:pStyle w:val="quoteitalics"/>
        <w:numPr>
          <w:ilvl w:val="0"/>
          <w:numId w:val="24"/>
        </w:numPr>
      </w:pPr>
      <w:r w:rsidRPr="00587F17">
        <w:t>Chairing skills; and</w:t>
      </w:r>
    </w:p>
    <w:p w:rsidR="00D37D4E" w:rsidRPr="00587F17" w:rsidRDefault="00D37D4E" w:rsidP="00591E6D">
      <w:pPr>
        <w:pStyle w:val="quoteitalics"/>
        <w:numPr>
          <w:ilvl w:val="0"/>
          <w:numId w:val="24"/>
        </w:numPr>
      </w:pPr>
      <w:r w:rsidRPr="00587F17">
        <w:t>Knowledge of the way government works.</w:t>
      </w:r>
    </w:p>
    <w:p w:rsidR="00D37D4E" w:rsidRPr="00587F17" w:rsidRDefault="00D37D4E" w:rsidP="002D1AF0">
      <w:pPr>
        <w:pStyle w:val="quoteitalics"/>
      </w:pPr>
      <w:r w:rsidRPr="00587F17">
        <w:t xml:space="preserve">To be fully proficient as a Member of Parliament it would be usual for members to have a post-secondary or tertiary education or the equivalent </w:t>
      </w:r>
      <w:r>
        <w:t xml:space="preserve">experience </w:t>
      </w:r>
      <w:r w:rsidRPr="00587F17">
        <w:t>in business or a profession prior to entering parliament.”</w:t>
      </w:r>
    </w:p>
    <w:p w:rsidR="00D37D4E" w:rsidRDefault="00D37D4E" w:rsidP="00F324DE">
      <w:pPr>
        <w:pStyle w:val="textbasic"/>
      </w:pPr>
      <w:r>
        <w:t xml:space="preserve">We were not provided with any compelling evidence that the role of </w:t>
      </w:r>
      <w:r w:rsidR="006D5495">
        <w:t>an MP</w:t>
      </w:r>
      <w:r>
        <w:t xml:space="preserve"> has changed from that described in the 2014 Report.</w:t>
      </w:r>
    </w:p>
    <w:p w:rsidR="00D37D4E" w:rsidRPr="00A06C01" w:rsidRDefault="0002513A" w:rsidP="00F324DE">
      <w:pPr>
        <w:pStyle w:val="textbasic"/>
      </w:pPr>
      <w:r w:rsidRPr="00A06C01">
        <w:rPr>
          <w:b/>
        </w:rPr>
        <w:t xml:space="preserve">Mr </w:t>
      </w:r>
      <w:r w:rsidR="00D37D4E" w:rsidRPr="00A06C01">
        <w:rPr>
          <w:b/>
        </w:rPr>
        <w:t xml:space="preserve">Lindsay </w:t>
      </w:r>
      <w:r w:rsidRPr="00A06C01">
        <w:t>in his submission</w:t>
      </w:r>
      <w:r w:rsidRPr="00A06C01">
        <w:rPr>
          <w:b/>
        </w:rPr>
        <w:t xml:space="preserve"> </w:t>
      </w:r>
      <w:r w:rsidR="00D22E21">
        <w:t>i</w:t>
      </w:r>
      <w:r w:rsidRPr="00A06C01">
        <w:t>s concerned that</w:t>
      </w:r>
      <w:r w:rsidRPr="00A06C01">
        <w:rPr>
          <w:b/>
        </w:rPr>
        <w:t xml:space="preserve"> </w:t>
      </w:r>
      <w:r w:rsidR="00D37D4E" w:rsidRPr="00A06C01">
        <w:t xml:space="preserve">all members </w:t>
      </w:r>
      <w:r w:rsidRPr="00A06C01">
        <w:t xml:space="preserve">were to be </w:t>
      </w:r>
      <w:r w:rsidR="00D37D4E" w:rsidRPr="00A06C01">
        <w:t>paid</w:t>
      </w:r>
      <w:r w:rsidR="00D37D4E" w:rsidRPr="00A06C01">
        <w:rPr>
          <w:b/>
        </w:rPr>
        <w:t xml:space="preserve"> </w:t>
      </w:r>
      <w:r w:rsidR="00D37D4E" w:rsidRPr="00A06C01">
        <w:t>the same basic salary on the untested presumption that each is doing the same work. He suggests that there be an examination of the ‘basic work’ of MPs with the prospect of different basic salaries for individuals if it was found that there was some</w:t>
      </w:r>
      <w:r w:rsidR="00A06C01">
        <w:t xml:space="preserve"> variability in the basic work</w:t>
      </w:r>
      <w:r w:rsidR="00D37D4E" w:rsidRPr="00A06C01">
        <w:t xml:space="preserve"> of members.</w:t>
      </w:r>
    </w:p>
    <w:p w:rsidR="00A06C01" w:rsidRDefault="00D37D4E" w:rsidP="00F324DE">
      <w:pPr>
        <w:pStyle w:val="textbasic"/>
      </w:pPr>
      <w:r w:rsidRPr="00D37D4E">
        <w:t xml:space="preserve">This type of analysis has not been attempted in any other jurisdiction </w:t>
      </w:r>
      <w:r w:rsidR="00E14D34">
        <w:t>(</w:t>
      </w:r>
      <w:r w:rsidRPr="00D37D4E">
        <w:t>to our knowledge</w:t>
      </w:r>
      <w:r w:rsidR="00E14D34">
        <w:t>)</w:t>
      </w:r>
      <w:r w:rsidRPr="00D37D4E">
        <w:t xml:space="preserve"> and there is no evidence to suggest that it is warranted in the case of MPs. </w:t>
      </w:r>
    </w:p>
    <w:p w:rsidR="00D37D4E" w:rsidRPr="00D37D4E" w:rsidRDefault="00A06C01" w:rsidP="00F324DE">
      <w:pPr>
        <w:pStyle w:val="textbasic"/>
      </w:pPr>
      <w:r>
        <w:t>It may a</w:t>
      </w:r>
      <w:r w:rsidR="00D37D4E" w:rsidRPr="00D37D4E">
        <w:t xml:space="preserve">lso </w:t>
      </w:r>
      <w:r w:rsidR="00D22E21">
        <w:t xml:space="preserve">be </w:t>
      </w:r>
      <w:r w:rsidR="00D37D4E" w:rsidRPr="00D37D4E">
        <w:t>beyond our remit</w:t>
      </w:r>
      <w:r w:rsidR="00E81345">
        <w:t>,</w:t>
      </w:r>
      <w:r w:rsidR="00D37D4E" w:rsidRPr="00D37D4E">
        <w:t xml:space="preserve"> as the 2012 Act only provides for one basic salary applicable to all MPs.</w:t>
      </w:r>
    </w:p>
    <w:p w:rsidR="0003140C" w:rsidRDefault="0002513A" w:rsidP="00F324DE">
      <w:pPr>
        <w:pStyle w:val="textbasic"/>
      </w:pPr>
      <w:r w:rsidRPr="00A06C01">
        <w:rPr>
          <w:b/>
        </w:rPr>
        <w:t xml:space="preserve">Mr </w:t>
      </w:r>
      <w:r w:rsidR="00AF63E4" w:rsidRPr="00A06C01">
        <w:rPr>
          <w:b/>
        </w:rPr>
        <w:t xml:space="preserve">Chugg </w:t>
      </w:r>
      <w:r w:rsidR="00AF63E4" w:rsidRPr="00A06C01">
        <w:t xml:space="preserve">submits that the reduced number of members in </w:t>
      </w:r>
      <w:r w:rsidR="007F346E" w:rsidRPr="00A06C01">
        <w:t>1996</w:t>
      </w:r>
      <w:r w:rsidR="00AF63E4" w:rsidRPr="00A06C01">
        <w:t xml:space="preserve"> has resulted in an increased workload for which some weight should be given in assessing a fair remuneration.</w:t>
      </w:r>
      <w:r w:rsidR="004B7749">
        <w:t xml:space="preserve">  He argues that Tasmania</w:t>
      </w:r>
      <w:r w:rsidR="007F346E" w:rsidRPr="00A06C01">
        <w:t xml:space="preserve"> has the same responsibilities as the larger states and the same high level of governance is expected or demanded.  </w:t>
      </w:r>
    </w:p>
    <w:p w:rsidR="0003140C" w:rsidRDefault="0003140C" w:rsidP="00F324DE">
      <w:pPr>
        <w:pStyle w:val="textbasic"/>
      </w:pPr>
      <w:r>
        <w:t>He states</w:t>
      </w:r>
      <w:r w:rsidR="00D22E21">
        <w:t>:</w:t>
      </w:r>
    </w:p>
    <w:p w:rsidR="00AF63E4" w:rsidRPr="00A06C01" w:rsidRDefault="007F346E" w:rsidP="0003140C">
      <w:pPr>
        <w:pStyle w:val="quoteitalics1"/>
      </w:pPr>
      <w:r w:rsidRPr="00A06C01">
        <w:t>“</w:t>
      </w:r>
      <w:r w:rsidR="0003140C">
        <w:tab/>
      </w:r>
      <w:r w:rsidRPr="00A06C01">
        <w:t>Indeed it could be argued that the small size, particularly of population, imposes significant demands on our elected representatives to be innovative and skillful at a higher level than their interstate counterparts</w:t>
      </w:r>
      <w:r w:rsidR="00D61820">
        <w:t>..</w:t>
      </w:r>
      <w:r w:rsidRPr="00A06C01">
        <w:t>.”</w:t>
      </w:r>
    </w:p>
    <w:p w:rsidR="00AF63E4" w:rsidRPr="001F37F6" w:rsidRDefault="001F37F6" w:rsidP="00F324DE">
      <w:pPr>
        <w:pStyle w:val="textbasic"/>
      </w:pPr>
      <w:r w:rsidRPr="001F37F6">
        <w:t>We consider that</w:t>
      </w:r>
      <w:r w:rsidR="00E81345">
        <w:t>,</w:t>
      </w:r>
      <w:r w:rsidRPr="001F37F6">
        <w:t xml:space="preserve"> i</w:t>
      </w:r>
      <w:r w:rsidR="00AF63E4" w:rsidRPr="001F37F6">
        <w:t xml:space="preserve">f the reduced numbers did result in an increased workload </w:t>
      </w:r>
      <w:r w:rsidR="00E14D34">
        <w:t>(</w:t>
      </w:r>
      <w:r w:rsidR="00AF63E4" w:rsidRPr="001F37F6">
        <w:t>which seems likely</w:t>
      </w:r>
      <w:r w:rsidR="00E14D34">
        <w:t>)</w:t>
      </w:r>
      <w:r w:rsidR="00E81345" w:rsidRPr="001F37F6">
        <w:t>,</w:t>
      </w:r>
      <w:r w:rsidR="00AF63E4" w:rsidRPr="001F37F6">
        <w:t xml:space="preserve"> it happened too long ago to be a valid consideration in terms of a change in work value relevant for the purposes of</w:t>
      </w:r>
      <w:r w:rsidR="00E81345">
        <w:t xml:space="preserve"> the</w:t>
      </w:r>
      <w:r w:rsidR="00AF63E4" w:rsidRPr="001F37F6">
        <w:t xml:space="preserve"> current </w:t>
      </w:r>
      <w:r w:rsidR="00A06C01" w:rsidRPr="001F37F6">
        <w:t>Inquiry</w:t>
      </w:r>
      <w:r w:rsidR="00AF63E4" w:rsidRPr="001F37F6">
        <w:t xml:space="preserve">. It is arguable that any change was taken into account in salary reviews closer </w:t>
      </w:r>
      <w:r w:rsidR="00D22E21">
        <w:t xml:space="preserve">to </w:t>
      </w:r>
      <w:r w:rsidR="00AF63E4" w:rsidRPr="001F37F6">
        <w:t>the change and to take this into account now w</w:t>
      </w:r>
      <w:r w:rsidRPr="001F37F6">
        <w:t>ould amount to double counting.</w:t>
      </w:r>
    </w:p>
    <w:p w:rsidR="00A06C01" w:rsidRDefault="00A04E7A" w:rsidP="00F324DE">
      <w:pPr>
        <w:pStyle w:val="textbasic"/>
      </w:pPr>
      <w:r w:rsidRPr="00E577A6">
        <w:t>We are s</w:t>
      </w:r>
      <w:r w:rsidR="00AF63E4" w:rsidRPr="00E577A6">
        <w:t xml:space="preserve">atisfied that </w:t>
      </w:r>
      <w:r w:rsidR="00E52618" w:rsidRPr="00E577A6">
        <w:t xml:space="preserve">since the 2014 Report </w:t>
      </w:r>
      <w:r w:rsidR="00AF63E4" w:rsidRPr="00E577A6">
        <w:t xml:space="preserve">there has been no material change in the role of </w:t>
      </w:r>
      <w:r w:rsidR="006D5495">
        <w:t>an MP</w:t>
      </w:r>
      <w:r w:rsidR="00E52618">
        <w:t xml:space="preserve">, its work value or the consistency of that role with the work of members of other State and Territory parliaments.  </w:t>
      </w:r>
    </w:p>
    <w:p w:rsidR="00AF63E4" w:rsidRPr="00E577A6" w:rsidRDefault="00E52618" w:rsidP="00F324DE">
      <w:pPr>
        <w:pStyle w:val="textbasic"/>
      </w:pPr>
      <w:r>
        <w:t>We conclude that</w:t>
      </w:r>
      <w:r w:rsidR="00AF63E4" w:rsidRPr="00E577A6">
        <w:t xml:space="preserve"> the </w:t>
      </w:r>
      <w:r w:rsidR="00A04E7A" w:rsidRPr="00E577A6">
        <w:t xml:space="preserve">Tribunal </w:t>
      </w:r>
      <w:r w:rsidR="00AF63E4" w:rsidRPr="00E577A6">
        <w:t>finding</w:t>
      </w:r>
      <w:r>
        <w:t>s</w:t>
      </w:r>
      <w:r w:rsidR="00AF63E4" w:rsidRPr="00E577A6">
        <w:t xml:space="preserve"> </w:t>
      </w:r>
      <w:r>
        <w:t>in the 2014 Report</w:t>
      </w:r>
      <w:r w:rsidR="00AF63E4" w:rsidRPr="00E577A6">
        <w:t xml:space="preserve"> </w:t>
      </w:r>
      <w:r w:rsidR="004B7749">
        <w:t xml:space="preserve">in relation to the role of </w:t>
      </w:r>
      <w:r w:rsidR="006D5495">
        <w:t>an MP</w:t>
      </w:r>
      <w:r w:rsidR="004B7749">
        <w:t xml:space="preserve"> </w:t>
      </w:r>
      <w:r w:rsidR="00AF63E4" w:rsidRPr="00E577A6">
        <w:t>remain valid.</w:t>
      </w:r>
    </w:p>
    <w:p w:rsidR="00E577A6" w:rsidRPr="00E577A6" w:rsidRDefault="00E577A6" w:rsidP="00EC1A81">
      <w:pPr>
        <w:pStyle w:val="Heading3"/>
      </w:pPr>
      <w:bookmarkStart w:id="38" w:name="_Toc443486912"/>
      <w:r>
        <w:t>5</w:t>
      </w:r>
      <w:r w:rsidR="00EC1A81">
        <w:t>.1</w:t>
      </w:r>
      <w:r>
        <w:t>.2</w:t>
      </w:r>
      <w:r>
        <w:tab/>
      </w:r>
      <w:r w:rsidRPr="00E577A6">
        <w:t xml:space="preserve">Salary </w:t>
      </w:r>
      <w:r w:rsidR="00E81345" w:rsidRPr="00E577A6">
        <w:t xml:space="preserve">Relativity </w:t>
      </w:r>
      <w:r w:rsidRPr="00E577A6">
        <w:t>with other State and Territory Parliaments</w:t>
      </w:r>
      <w:bookmarkEnd w:id="38"/>
    </w:p>
    <w:p w:rsidR="00A06C01" w:rsidRDefault="00E577A6" w:rsidP="00F324DE">
      <w:pPr>
        <w:pStyle w:val="textbasic"/>
      </w:pPr>
      <w:r w:rsidRPr="00E577A6">
        <w:t xml:space="preserve">Table 3 of the 2014 Report provided a comparative analysis </w:t>
      </w:r>
      <w:r w:rsidR="00AF63E4" w:rsidRPr="00E577A6">
        <w:t xml:space="preserve">of </w:t>
      </w:r>
      <w:r w:rsidRPr="00E577A6">
        <w:t xml:space="preserve">the basic salary </w:t>
      </w:r>
      <w:r w:rsidR="00AF63E4" w:rsidRPr="00E577A6">
        <w:t xml:space="preserve">across </w:t>
      </w:r>
      <w:r w:rsidRPr="00E577A6">
        <w:t xml:space="preserve">the Australian </w:t>
      </w:r>
      <w:r w:rsidR="00AF63E4" w:rsidRPr="00E577A6">
        <w:t>Parliamentary Jurisdictions</w:t>
      </w:r>
      <w:r>
        <w:t xml:space="preserve"> </w:t>
      </w:r>
      <w:r w:rsidR="00A06C01">
        <w:t xml:space="preserve">as </w:t>
      </w:r>
      <w:r>
        <w:t>at 30 June 1996 and 1 July 2013</w:t>
      </w:r>
      <w:r w:rsidR="00AF63E4" w:rsidRPr="00E577A6">
        <w:t>.</w:t>
      </w:r>
      <w:r>
        <w:t xml:space="preserve">  </w:t>
      </w:r>
    </w:p>
    <w:p w:rsidR="00AF63E4" w:rsidRPr="00A06C01" w:rsidRDefault="00E52618" w:rsidP="00F324DE">
      <w:pPr>
        <w:pStyle w:val="textbasic"/>
      </w:pPr>
      <w:r w:rsidRPr="00A06C01">
        <w:lastRenderedPageBreak/>
        <w:t>The 2014 Report found that</w:t>
      </w:r>
      <w:r w:rsidR="00E81345">
        <w:t>,</w:t>
      </w:r>
      <w:r w:rsidRPr="00A06C01">
        <w:t xml:space="preserve"> whil</w:t>
      </w:r>
      <w:r w:rsidR="00E81345">
        <w:t>e</w:t>
      </w:r>
      <w:r w:rsidRPr="00A06C01">
        <w:t xml:space="preserve"> the basic salary in Tasmania has historically been lower than the other State and Territory jurisdictions, it was clear that Tasmania had lost significant relativity over the period, going from a position 11.3% below the average in 1996 to 20.8% below in 2013.</w:t>
      </w:r>
    </w:p>
    <w:p w:rsidR="00AF63E4" w:rsidRPr="00E577A6" w:rsidRDefault="00AF63E4" w:rsidP="00F324DE">
      <w:pPr>
        <w:pStyle w:val="textbasic"/>
      </w:pPr>
      <w:r w:rsidRPr="00E577A6">
        <w:t xml:space="preserve">The following table </w:t>
      </w:r>
      <w:r w:rsidR="00E14D34">
        <w:t>(</w:t>
      </w:r>
      <w:r w:rsidR="00E52618">
        <w:t>Table 1</w:t>
      </w:r>
      <w:r w:rsidR="00E14D34">
        <w:t>)</w:t>
      </w:r>
      <w:r w:rsidR="00E52618">
        <w:t xml:space="preserve"> </w:t>
      </w:r>
      <w:r w:rsidRPr="00E577A6">
        <w:t xml:space="preserve">identifies </w:t>
      </w:r>
      <w:r w:rsidR="00E577A6" w:rsidRPr="00E577A6">
        <w:t>the current basic salary</w:t>
      </w:r>
      <w:r w:rsidR="00C771AD" w:rsidRPr="00C771AD">
        <w:rPr>
          <w:b/>
        </w:rPr>
        <w:t xml:space="preserve"> </w:t>
      </w:r>
      <w:r w:rsidR="00C771AD" w:rsidRPr="00C771AD">
        <w:t xml:space="preserve">of </w:t>
      </w:r>
      <w:r w:rsidR="00A06C01">
        <w:t>m</w:t>
      </w:r>
      <w:r w:rsidR="00C771AD" w:rsidRPr="00C771AD">
        <w:t>embers of Australian parliaments</w:t>
      </w:r>
      <w:r w:rsidR="00E577A6" w:rsidRPr="00C771AD">
        <w:t>, and summarises the means by which that</w:t>
      </w:r>
      <w:r w:rsidR="00E577A6" w:rsidRPr="00E577A6">
        <w:t xml:space="preserve"> salary is determined</w:t>
      </w:r>
      <w:r w:rsidRPr="00E577A6">
        <w:t>.</w:t>
      </w:r>
    </w:p>
    <w:p w:rsidR="00CF2709" w:rsidRPr="002D1AF0" w:rsidRDefault="00CF2709" w:rsidP="00725574">
      <w:pPr>
        <w:pStyle w:val="TableTitlemain"/>
      </w:pPr>
      <w:r w:rsidRPr="002D1AF0">
        <w:t>Table 1</w:t>
      </w:r>
      <w:r w:rsidR="00725574">
        <w:tab/>
      </w:r>
      <w:r w:rsidRPr="002D1AF0">
        <w:t xml:space="preserve">Comparison of </w:t>
      </w:r>
      <w:r w:rsidR="001A5E16" w:rsidRPr="002D1AF0">
        <w:t xml:space="preserve">current </w:t>
      </w:r>
      <w:r w:rsidRPr="002D1AF0">
        <w:t xml:space="preserve">basic salary of </w:t>
      </w:r>
      <w:r w:rsidR="00C81789" w:rsidRPr="002D1AF0">
        <w:t>m</w:t>
      </w:r>
      <w:r w:rsidRPr="002D1AF0">
        <w:t>embers of Australian parliaments</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6246"/>
        <w:gridCol w:w="1784"/>
      </w:tblGrid>
      <w:tr w:rsidR="001A5E16" w:rsidRPr="00CF2709" w:rsidTr="00327CCC">
        <w:trPr>
          <w:cantSplit/>
          <w:tblHeader/>
        </w:trPr>
        <w:tc>
          <w:tcPr>
            <w:tcW w:w="1927" w:type="dxa"/>
            <w:shd w:val="clear" w:color="auto" w:fill="D9D9D9" w:themeFill="background1" w:themeFillShade="D9"/>
          </w:tcPr>
          <w:p w:rsidR="001A5E16" w:rsidRPr="00CF2709" w:rsidRDefault="001A5E16" w:rsidP="00C81789">
            <w:pPr>
              <w:spacing w:before="120" w:after="120"/>
              <w:jc w:val="center"/>
              <w:rPr>
                <w:b/>
                <w:sz w:val="16"/>
                <w:szCs w:val="16"/>
                <w:lang w:val="en-US"/>
              </w:rPr>
            </w:pPr>
            <w:r w:rsidRPr="00CF2709">
              <w:rPr>
                <w:b/>
                <w:sz w:val="16"/>
                <w:szCs w:val="16"/>
                <w:lang w:val="en-US"/>
              </w:rPr>
              <w:t>Jurisdiction</w:t>
            </w:r>
          </w:p>
        </w:tc>
        <w:tc>
          <w:tcPr>
            <w:tcW w:w="6246" w:type="dxa"/>
            <w:shd w:val="clear" w:color="auto" w:fill="D9D9D9" w:themeFill="background1" w:themeFillShade="D9"/>
          </w:tcPr>
          <w:p w:rsidR="001A5E16" w:rsidRPr="00CF2709" w:rsidRDefault="001A5E16" w:rsidP="00C81789">
            <w:pPr>
              <w:spacing w:before="120" w:after="120"/>
              <w:jc w:val="center"/>
              <w:rPr>
                <w:b/>
                <w:sz w:val="16"/>
                <w:szCs w:val="16"/>
                <w:lang w:val="en-US"/>
              </w:rPr>
            </w:pPr>
            <w:r w:rsidRPr="00CF2709">
              <w:rPr>
                <w:b/>
                <w:sz w:val="16"/>
                <w:szCs w:val="16"/>
                <w:lang w:val="en-US"/>
              </w:rPr>
              <w:t>Basis of current determination</w:t>
            </w:r>
          </w:p>
        </w:tc>
        <w:tc>
          <w:tcPr>
            <w:tcW w:w="1784" w:type="dxa"/>
            <w:shd w:val="clear" w:color="auto" w:fill="D9D9D9" w:themeFill="background1" w:themeFillShade="D9"/>
          </w:tcPr>
          <w:p w:rsidR="001A5E16" w:rsidRPr="00CF2709" w:rsidRDefault="00C771AD" w:rsidP="00C81789">
            <w:pPr>
              <w:spacing w:before="120" w:after="120"/>
              <w:jc w:val="center"/>
              <w:rPr>
                <w:b/>
                <w:sz w:val="16"/>
                <w:szCs w:val="16"/>
                <w:lang w:val="en-US"/>
              </w:rPr>
            </w:pPr>
            <w:r>
              <w:rPr>
                <w:b/>
                <w:sz w:val="16"/>
                <w:szCs w:val="16"/>
                <w:lang w:val="en-US"/>
              </w:rPr>
              <w:t>B</w:t>
            </w:r>
            <w:r w:rsidR="001A5E16" w:rsidRPr="00CF2709">
              <w:rPr>
                <w:b/>
                <w:sz w:val="16"/>
                <w:szCs w:val="16"/>
                <w:lang w:val="en-US"/>
              </w:rPr>
              <w:t>asic salary</w:t>
            </w:r>
            <w:r>
              <w:rPr>
                <w:b/>
                <w:sz w:val="16"/>
                <w:szCs w:val="16"/>
                <w:lang w:val="en-US"/>
              </w:rPr>
              <w:br/>
            </w:r>
            <w:r w:rsidRPr="00CF2709">
              <w:rPr>
                <w:b/>
                <w:sz w:val="16"/>
                <w:szCs w:val="16"/>
                <w:lang w:val="en-US"/>
              </w:rPr>
              <w:t>Current</w:t>
            </w:r>
            <w:r>
              <w:rPr>
                <w:b/>
                <w:sz w:val="16"/>
                <w:szCs w:val="16"/>
                <w:lang w:val="en-US"/>
              </w:rPr>
              <w:br/>
            </w:r>
            <w:r w:rsidR="001A5E16" w:rsidRPr="00CF2709">
              <w:rPr>
                <w:b/>
                <w:sz w:val="16"/>
                <w:szCs w:val="16"/>
                <w:lang w:val="en-US"/>
              </w:rPr>
              <w:t>$pa</w:t>
            </w:r>
          </w:p>
        </w:tc>
      </w:tr>
      <w:tr w:rsidR="001A5E16" w:rsidRPr="000A39B0" w:rsidTr="001A5E16">
        <w:trPr>
          <w:cantSplit/>
        </w:trPr>
        <w:tc>
          <w:tcPr>
            <w:tcW w:w="1927" w:type="dxa"/>
            <w:shd w:val="clear" w:color="auto" w:fill="auto"/>
          </w:tcPr>
          <w:p w:rsidR="001A5E16" w:rsidRPr="000A39B0" w:rsidRDefault="001A5E16" w:rsidP="00C81789">
            <w:pPr>
              <w:spacing w:before="120" w:after="120"/>
              <w:rPr>
                <w:sz w:val="16"/>
                <w:szCs w:val="16"/>
                <w:lang w:val="en-US"/>
              </w:rPr>
            </w:pPr>
            <w:r w:rsidRPr="000A39B0">
              <w:rPr>
                <w:sz w:val="16"/>
                <w:szCs w:val="16"/>
                <w:lang w:val="en-US"/>
              </w:rPr>
              <w:t>Commonwealth</w:t>
            </w:r>
          </w:p>
        </w:tc>
        <w:tc>
          <w:tcPr>
            <w:tcW w:w="6246" w:type="dxa"/>
            <w:shd w:val="clear" w:color="auto" w:fill="auto"/>
          </w:tcPr>
          <w:p w:rsidR="001A5E16" w:rsidRPr="000A39B0" w:rsidRDefault="001A5E16" w:rsidP="00E81345">
            <w:pPr>
              <w:spacing w:before="120" w:after="120"/>
              <w:ind w:left="130" w:right="136"/>
              <w:rPr>
                <w:rFonts w:eastAsia="Times New Roman"/>
                <w:sz w:val="16"/>
                <w:szCs w:val="16"/>
                <w:lang w:eastAsia="en-AU"/>
              </w:rPr>
            </w:pPr>
            <w:r w:rsidRPr="000A39B0">
              <w:rPr>
                <w:rFonts w:eastAsia="Times New Roman"/>
                <w:sz w:val="16"/>
                <w:szCs w:val="16"/>
                <w:lang w:eastAsia="en-AU"/>
              </w:rPr>
              <w:t xml:space="preserve">The </w:t>
            </w:r>
            <w:r w:rsidRPr="000A39B0">
              <w:rPr>
                <w:rFonts w:eastAsia="Times New Roman"/>
                <w:i/>
                <w:sz w:val="16"/>
                <w:szCs w:val="16"/>
                <w:lang w:eastAsia="en-AU"/>
              </w:rPr>
              <w:t>Remuneration and Other Legislation Amendment Act 2011</w:t>
            </w:r>
            <w:r w:rsidRPr="000A39B0">
              <w:rPr>
                <w:rFonts w:eastAsia="Times New Roman"/>
                <w:sz w:val="16"/>
                <w:szCs w:val="16"/>
                <w:lang w:eastAsia="en-AU"/>
              </w:rPr>
              <w:t> </w:t>
            </w:r>
            <w:r w:rsidRPr="00702D39">
              <w:rPr>
                <w:rFonts w:eastAsia="Times New Roman"/>
                <w:sz w:val="16"/>
                <w:szCs w:val="16"/>
                <w:lang w:eastAsia="en-AU"/>
              </w:rPr>
              <w:t xml:space="preserve">(Cmwlth) </w:t>
            </w:r>
            <w:r w:rsidRPr="000A39B0">
              <w:rPr>
                <w:rFonts w:eastAsia="Times New Roman"/>
                <w:sz w:val="16"/>
                <w:szCs w:val="16"/>
                <w:lang w:eastAsia="en-AU"/>
              </w:rPr>
              <w:t xml:space="preserve">requires the Remuneration Tribunal determine base salary for members of Parliament.  </w:t>
            </w:r>
            <w:r w:rsidR="008B4D1D">
              <w:rPr>
                <w:rFonts w:eastAsia="Times New Roman"/>
                <w:sz w:val="16"/>
                <w:szCs w:val="16"/>
                <w:lang w:eastAsia="en-AU"/>
              </w:rPr>
              <w:t>O</w:t>
            </w:r>
            <w:r w:rsidRPr="000A39B0">
              <w:rPr>
                <w:rFonts w:eastAsia="Times New Roman"/>
                <w:sz w:val="16"/>
                <w:szCs w:val="16"/>
                <w:lang w:eastAsia="en-AU"/>
              </w:rPr>
              <w:t xml:space="preserve">n </w:t>
            </w:r>
            <w:r w:rsidR="008B4D1D">
              <w:rPr>
                <w:rFonts w:eastAsia="Times New Roman"/>
                <w:sz w:val="16"/>
                <w:szCs w:val="16"/>
                <w:lang w:eastAsia="en-AU"/>
              </w:rPr>
              <w:t>9 December</w:t>
            </w:r>
            <w:r w:rsidRPr="000A39B0">
              <w:rPr>
                <w:rFonts w:eastAsia="Times New Roman"/>
                <w:sz w:val="16"/>
                <w:szCs w:val="16"/>
                <w:lang w:eastAsia="en-AU"/>
              </w:rPr>
              <w:t xml:space="preserve"> </w:t>
            </w:r>
            <w:r w:rsidR="008B4D1D">
              <w:rPr>
                <w:rFonts w:eastAsia="Times New Roman"/>
                <w:sz w:val="16"/>
                <w:szCs w:val="16"/>
                <w:lang w:eastAsia="en-AU"/>
              </w:rPr>
              <w:t xml:space="preserve">2015 </w:t>
            </w:r>
            <w:r w:rsidRPr="000A39B0">
              <w:rPr>
                <w:rFonts w:eastAsia="Times New Roman"/>
                <w:sz w:val="16"/>
                <w:szCs w:val="16"/>
                <w:lang w:eastAsia="en-AU"/>
              </w:rPr>
              <w:t>the Tribunal issued Determination 201</w:t>
            </w:r>
            <w:r w:rsidR="008B4D1D">
              <w:rPr>
                <w:rFonts w:eastAsia="Times New Roman"/>
                <w:sz w:val="16"/>
                <w:szCs w:val="16"/>
                <w:lang w:eastAsia="en-AU"/>
              </w:rPr>
              <w:t>5</w:t>
            </w:r>
            <w:r w:rsidRPr="000A39B0">
              <w:rPr>
                <w:rFonts w:eastAsia="Times New Roman"/>
                <w:sz w:val="16"/>
                <w:szCs w:val="16"/>
                <w:lang w:eastAsia="en-AU"/>
              </w:rPr>
              <w:t>/</w:t>
            </w:r>
            <w:r w:rsidR="008B4D1D">
              <w:rPr>
                <w:rFonts w:eastAsia="Times New Roman"/>
                <w:sz w:val="16"/>
                <w:szCs w:val="16"/>
                <w:lang w:eastAsia="en-AU"/>
              </w:rPr>
              <w:t>22</w:t>
            </w:r>
            <w:r w:rsidRPr="000A39B0">
              <w:rPr>
                <w:rFonts w:eastAsia="Times New Roman"/>
                <w:sz w:val="16"/>
                <w:szCs w:val="16"/>
                <w:lang w:eastAsia="en-AU"/>
              </w:rPr>
              <w:t xml:space="preserve"> which set the base salary for MHRs and Senators at $</w:t>
            </w:r>
            <w:r w:rsidR="008B4D1D">
              <w:rPr>
                <w:rFonts w:eastAsia="Times New Roman"/>
                <w:sz w:val="16"/>
                <w:szCs w:val="16"/>
                <w:lang w:eastAsia="en-AU"/>
              </w:rPr>
              <w:t xml:space="preserve">199 040 </w:t>
            </w:r>
            <w:r w:rsidR="00E81345">
              <w:rPr>
                <w:rFonts w:eastAsia="Times New Roman"/>
                <w:sz w:val="16"/>
                <w:szCs w:val="16"/>
                <w:lang w:eastAsia="en-AU"/>
              </w:rPr>
              <w:t xml:space="preserve">to </w:t>
            </w:r>
            <w:r w:rsidR="008B4D1D">
              <w:rPr>
                <w:rFonts w:eastAsia="Times New Roman"/>
                <w:sz w:val="16"/>
                <w:szCs w:val="16"/>
                <w:lang w:eastAsia="en-AU"/>
              </w:rPr>
              <w:t>a 2% increase on the base salary of $</w:t>
            </w:r>
            <w:r w:rsidRPr="000A39B0">
              <w:rPr>
                <w:rFonts w:eastAsia="Times New Roman"/>
                <w:sz w:val="16"/>
                <w:szCs w:val="16"/>
                <w:lang w:eastAsia="en-AU"/>
              </w:rPr>
              <w:t>195</w:t>
            </w:r>
            <w:r w:rsidR="00E81345">
              <w:rPr>
                <w:rFonts w:eastAsia="Times New Roman"/>
                <w:sz w:val="16"/>
                <w:szCs w:val="16"/>
                <w:lang w:eastAsia="en-AU"/>
              </w:rPr>
              <w:t xml:space="preserve"> </w:t>
            </w:r>
            <w:r w:rsidRPr="000A39B0">
              <w:rPr>
                <w:rFonts w:eastAsia="Times New Roman"/>
                <w:sz w:val="16"/>
                <w:szCs w:val="16"/>
                <w:lang w:eastAsia="en-AU"/>
              </w:rPr>
              <w:t>130</w:t>
            </w:r>
            <w:r w:rsidR="008B4D1D">
              <w:rPr>
                <w:rFonts w:eastAsia="Times New Roman"/>
                <w:sz w:val="16"/>
                <w:szCs w:val="16"/>
                <w:lang w:eastAsia="en-AU"/>
              </w:rPr>
              <w:t xml:space="preserve"> set by determination</w:t>
            </w:r>
            <w:r w:rsidR="0003140C">
              <w:rPr>
                <w:rFonts w:eastAsia="Times New Roman"/>
                <w:sz w:val="16"/>
                <w:szCs w:val="16"/>
                <w:lang w:eastAsia="en-AU"/>
              </w:rPr>
              <w:t xml:space="preserve"> </w:t>
            </w:r>
            <w:r w:rsidR="008B4D1D">
              <w:rPr>
                <w:rFonts w:eastAsia="Times New Roman"/>
                <w:sz w:val="16"/>
                <w:szCs w:val="16"/>
                <w:lang w:eastAsia="en-AU"/>
              </w:rPr>
              <w:t xml:space="preserve">2014/10 and </w:t>
            </w:r>
            <w:r w:rsidRPr="000A39B0">
              <w:rPr>
                <w:rFonts w:eastAsia="Times New Roman"/>
                <w:sz w:val="16"/>
                <w:szCs w:val="16"/>
                <w:lang w:eastAsia="en-AU"/>
              </w:rPr>
              <w:t>confirmed by determination 2015/06 in May 2015.</w:t>
            </w:r>
          </w:p>
        </w:tc>
        <w:tc>
          <w:tcPr>
            <w:tcW w:w="1784" w:type="dxa"/>
            <w:shd w:val="clear" w:color="auto" w:fill="auto"/>
          </w:tcPr>
          <w:p w:rsidR="001A5E16" w:rsidRPr="000A39B0" w:rsidRDefault="001A5E16" w:rsidP="008B4D1D">
            <w:pPr>
              <w:spacing w:before="120" w:after="120"/>
              <w:jc w:val="both"/>
              <w:rPr>
                <w:sz w:val="16"/>
                <w:szCs w:val="16"/>
                <w:lang w:val="en-US"/>
              </w:rPr>
            </w:pPr>
            <w:r w:rsidRPr="000A39B0">
              <w:rPr>
                <w:sz w:val="16"/>
                <w:szCs w:val="16"/>
                <w:lang w:val="en-US"/>
              </w:rPr>
              <w:t>19</w:t>
            </w:r>
            <w:r w:rsidR="008B4D1D">
              <w:rPr>
                <w:sz w:val="16"/>
                <w:szCs w:val="16"/>
                <w:lang w:val="en-US"/>
              </w:rPr>
              <w:t>9</w:t>
            </w:r>
            <w:r w:rsidRPr="000A39B0">
              <w:rPr>
                <w:sz w:val="16"/>
                <w:szCs w:val="16"/>
                <w:lang w:val="en-US"/>
              </w:rPr>
              <w:t xml:space="preserve"> </w:t>
            </w:r>
            <w:r w:rsidR="008B4D1D">
              <w:rPr>
                <w:sz w:val="16"/>
                <w:szCs w:val="16"/>
                <w:lang w:val="en-US"/>
              </w:rPr>
              <w:t>040</w:t>
            </w:r>
          </w:p>
        </w:tc>
      </w:tr>
      <w:tr w:rsidR="001A5E16" w:rsidRPr="000A39B0" w:rsidTr="001A5E16">
        <w:trPr>
          <w:cantSplit/>
        </w:trPr>
        <w:tc>
          <w:tcPr>
            <w:tcW w:w="1927" w:type="dxa"/>
            <w:shd w:val="clear" w:color="auto" w:fill="auto"/>
          </w:tcPr>
          <w:p w:rsidR="001A5E16" w:rsidRPr="000A39B0" w:rsidRDefault="001A5E16" w:rsidP="00C81789">
            <w:pPr>
              <w:spacing w:before="120" w:after="120"/>
              <w:rPr>
                <w:sz w:val="16"/>
                <w:szCs w:val="16"/>
                <w:lang w:val="en-US"/>
              </w:rPr>
            </w:pPr>
            <w:r w:rsidRPr="000A39B0">
              <w:rPr>
                <w:sz w:val="16"/>
                <w:szCs w:val="16"/>
                <w:lang w:val="en-US"/>
              </w:rPr>
              <w:t>Australian Capital Territory</w:t>
            </w:r>
          </w:p>
        </w:tc>
        <w:tc>
          <w:tcPr>
            <w:tcW w:w="6246" w:type="dxa"/>
            <w:shd w:val="clear" w:color="auto" w:fill="auto"/>
          </w:tcPr>
          <w:p w:rsidR="000A5A3E" w:rsidRDefault="001A5E16" w:rsidP="00C81789">
            <w:pPr>
              <w:spacing w:before="120" w:after="120"/>
              <w:ind w:left="132" w:right="137"/>
              <w:rPr>
                <w:rFonts w:eastAsia="Times New Roman"/>
                <w:sz w:val="16"/>
                <w:szCs w:val="16"/>
                <w:lang w:eastAsia="en-AU"/>
              </w:rPr>
            </w:pPr>
            <w:r w:rsidRPr="000A39B0">
              <w:rPr>
                <w:rFonts w:eastAsia="Times New Roman"/>
                <w:sz w:val="16"/>
                <w:szCs w:val="16"/>
                <w:lang w:eastAsia="en-AU"/>
              </w:rPr>
              <w:t>Determined by the ACT Remuneration Tribunal</w:t>
            </w:r>
            <w:r w:rsidRPr="000A39B0">
              <w:rPr>
                <w:rFonts w:eastAsia="Times New Roman"/>
                <w:i/>
                <w:sz w:val="16"/>
                <w:szCs w:val="16"/>
                <w:lang w:eastAsia="en-AU"/>
              </w:rPr>
              <w:t xml:space="preserve"> </w:t>
            </w:r>
            <w:r w:rsidRPr="000A5A3E">
              <w:rPr>
                <w:rFonts w:eastAsia="Times New Roman"/>
                <w:sz w:val="16"/>
                <w:szCs w:val="16"/>
                <w:lang w:eastAsia="en-AU"/>
              </w:rPr>
              <w:t>under</w:t>
            </w:r>
            <w:r w:rsidR="000A5A3E">
              <w:rPr>
                <w:rFonts w:eastAsia="Times New Roman"/>
                <w:i/>
                <w:sz w:val="16"/>
                <w:szCs w:val="16"/>
                <w:lang w:eastAsia="en-AU"/>
              </w:rPr>
              <w:t xml:space="preserve"> </w:t>
            </w:r>
            <w:r w:rsidR="000A5A3E" w:rsidRPr="000A5A3E">
              <w:rPr>
                <w:rFonts w:eastAsia="Times New Roman"/>
                <w:sz w:val="16"/>
                <w:szCs w:val="16"/>
                <w:lang w:eastAsia="en-AU"/>
              </w:rPr>
              <w:t>the</w:t>
            </w:r>
            <w:r w:rsidRPr="000A39B0">
              <w:rPr>
                <w:rFonts w:eastAsia="Times New Roman"/>
                <w:i/>
                <w:sz w:val="16"/>
                <w:szCs w:val="16"/>
                <w:lang w:eastAsia="en-AU"/>
              </w:rPr>
              <w:t xml:space="preserve"> Remuneration Tribunal Act 1995 </w:t>
            </w:r>
            <w:r w:rsidRPr="00702D39">
              <w:rPr>
                <w:rFonts w:eastAsia="Times New Roman"/>
                <w:sz w:val="16"/>
                <w:szCs w:val="16"/>
                <w:lang w:eastAsia="en-AU"/>
              </w:rPr>
              <w:t>(ACT).</w:t>
            </w:r>
            <w:r w:rsidRPr="000A39B0">
              <w:rPr>
                <w:rFonts w:eastAsia="Times New Roman"/>
                <w:sz w:val="16"/>
                <w:szCs w:val="16"/>
                <w:lang w:eastAsia="en-AU"/>
              </w:rPr>
              <w:t xml:space="preserve">  </w:t>
            </w:r>
          </w:p>
          <w:p w:rsidR="001A5E16" w:rsidRPr="000A39B0" w:rsidRDefault="001A5E16" w:rsidP="00DF3851">
            <w:pPr>
              <w:spacing w:before="120" w:after="120"/>
              <w:ind w:left="132" w:right="137"/>
              <w:rPr>
                <w:rFonts w:eastAsia="Times New Roman"/>
                <w:sz w:val="16"/>
                <w:szCs w:val="16"/>
                <w:lang w:eastAsia="en-AU"/>
              </w:rPr>
            </w:pPr>
            <w:r w:rsidRPr="000A39B0">
              <w:rPr>
                <w:rFonts w:eastAsia="Times New Roman"/>
                <w:sz w:val="16"/>
                <w:szCs w:val="16"/>
                <w:lang w:eastAsia="en-AU"/>
              </w:rPr>
              <w:t xml:space="preserve">The current Determination is number </w:t>
            </w:r>
            <w:r w:rsidR="004A7412">
              <w:rPr>
                <w:rFonts w:eastAsia="Times New Roman"/>
                <w:sz w:val="16"/>
                <w:szCs w:val="16"/>
                <w:lang w:eastAsia="en-AU"/>
              </w:rPr>
              <w:t>7</w:t>
            </w:r>
            <w:r w:rsidRPr="000A39B0">
              <w:rPr>
                <w:rFonts w:eastAsia="Times New Roman"/>
                <w:sz w:val="16"/>
                <w:szCs w:val="16"/>
                <w:lang w:eastAsia="en-AU"/>
              </w:rPr>
              <w:t xml:space="preserve"> of 2015</w:t>
            </w:r>
            <w:r w:rsidR="004A7412">
              <w:rPr>
                <w:rFonts w:eastAsia="Times New Roman"/>
                <w:sz w:val="16"/>
                <w:szCs w:val="16"/>
                <w:lang w:eastAsia="en-AU"/>
              </w:rPr>
              <w:t xml:space="preserve"> dated</w:t>
            </w:r>
            <w:r w:rsidR="0003140C">
              <w:rPr>
                <w:rFonts w:eastAsia="Times New Roman"/>
                <w:sz w:val="16"/>
                <w:szCs w:val="16"/>
                <w:lang w:eastAsia="en-AU"/>
              </w:rPr>
              <w:t xml:space="preserve"> </w:t>
            </w:r>
            <w:r w:rsidR="004A7412">
              <w:rPr>
                <w:rFonts w:eastAsia="Times New Roman"/>
                <w:sz w:val="16"/>
                <w:szCs w:val="16"/>
                <w:lang w:eastAsia="en-AU"/>
              </w:rPr>
              <w:t>25 September 2015</w:t>
            </w:r>
            <w:r w:rsidR="00DF3851">
              <w:rPr>
                <w:rFonts w:eastAsia="Times New Roman"/>
                <w:sz w:val="16"/>
                <w:szCs w:val="16"/>
                <w:lang w:eastAsia="en-AU"/>
              </w:rPr>
              <w:t xml:space="preserve">.  </w:t>
            </w:r>
            <w:r w:rsidRPr="000A39B0">
              <w:rPr>
                <w:rFonts w:eastAsia="Times New Roman"/>
                <w:sz w:val="16"/>
                <w:szCs w:val="16"/>
                <w:lang w:eastAsia="en-AU"/>
              </w:rPr>
              <w:t xml:space="preserve">The Remuneration Tribunal </w:t>
            </w:r>
            <w:r w:rsidR="000A5A3E">
              <w:rPr>
                <w:rFonts w:eastAsia="Times New Roman"/>
                <w:sz w:val="16"/>
                <w:szCs w:val="16"/>
                <w:lang w:eastAsia="en-AU"/>
              </w:rPr>
              <w:t xml:space="preserve">also </w:t>
            </w:r>
            <w:r w:rsidRPr="000A39B0">
              <w:rPr>
                <w:rFonts w:eastAsia="Times New Roman"/>
                <w:sz w:val="16"/>
                <w:szCs w:val="16"/>
                <w:lang w:eastAsia="en-AU"/>
              </w:rPr>
              <w:t xml:space="preserve">released a report on the review of entitlements for members of the Australian Capital Territory Legislative Assembly in April 2014. </w:t>
            </w:r>
          </w:p>
        </w:tc>
        <w:tc>
          <w:tcPr>
            <w:tcW w:w="1784" w:type="dxa"/>
            <w:shd w:val="clear" w:color="auto" w:fill="auto"/>
          </w:tcPr>
          <w:p w:rsidR="001A5E16" w:rsidRPr="000A39B0" w:rsidRDefault="001A5E16" w:rsidP="00C81789">
            <w:pPr>
              <w:spacing w:before="120" w:after="120"/>
              <w:jc w:val="both"/>
              <w:rPr>
                <w:sz w:val="16"/>
                <w:szCs w:val="16"/>
                <w:lang w:val="en-US"/>
              </w:rPr>
            </w:pPr>
            <w:r w:rsidRPr="000A39B0">
              <w:rPr>
                <w:sz w:val="16"/>
                <w:szCs w:val="16"/>
                <w:lang w:val="en-US"/>
              </w:rPr>
              <w:t>136 758</w:t>
            </w:r>
          </w:p>
        </w:tc>
      </w:tr>
      <w:tr w:rsidR="001A5E16" w:rsidRPr="000A39B0" w:rsidTr="001A5E16">
        <w:trPr>
          <w:cantSplit/>
        </w:trPr>
        <w:tc>
          <w:tcPr>
            <w:tcW w:w="1927" w:type="dxa"/>
            <w:shd w:val="clear" w:color="auto" w:fill="auto"/>
          </w:tcPr>
          <w:p w:rsidR="001A5E16" w:rsidRPr="000A39B0" w:rsidRDefault="001A5E16" w:rsidP="00C81789">
            <w:pPr>
              <w:spacing w:before="120" w:after="120"/>
              <w:rPr>
                <w:sz w:val="16"/>
                <w:szCs w:val="16"/>
                <w:lang w:val="en-US"/>
              </w:rPr>
            </w:pPr>
            <w:r w:rsidRPr="000A39B0">
              <w:rPr>
                <w:sz w:val="16"/>
                <w:szCs w:val="16"/>
                <w:lang w:val="en-US"/>
              </w:rPr>
              <w:t>New South Wales</w:t>
            </w:r>
          </w:p>
        </w:tc>
        <w:tc>
          <w:tcPr>
            <w:tcW w:w="6246" w:type="dxa"/>
            <w:shd w:val="clear" w:color="auto" w:fill="auto"/>
          </w:tcPr>
          <w:p w:rsidR="00F22D14" w:rsidRDefault="00E81345" w:rsidP="00C81789">
            <w:pPr>
              <w:spacing w:before="120" w:after="120"/>
              <w:ind w:left="132" w:right="137"/>
              <w:rPr>
                <w:rFonts w:eastAsia="Times New Roman"/>
                <w:sz w:val="16"/>
                <w:szCs w:val="16"/>
                <w:lang w:eastAsia="en-AU"/>
              </w:rPr>
            </w:pPr>
            <w:r w:rsidRPr="00E81345">
              <w:rPr>
                <w:rFonts w:eastAsia="Times New Roman"/>
                <w:iCs/>
                <w:sz w:val="16"/>
                <w:szCs w:val="16"/>
                <w:lang w:eastAsia="en-AU"/>
              </w:rPr>
              <w:t>The</w:t>
            </w:r>
            <w:r>
              <w:rPr>
                <w:rFonts w:eastAsia="Times New Roman"/>
                <w:i/>
                <w:iCs/>
                <w:sz w:val="16"/>
                <w:szCs w:val="16"/>
                <w:lang w:eastAsia="en-AU"/>
              </w:rPr>
              <w:t xml:space="preserve"> </w:t>
            </w:r>
            <w:r w:rsidR="001A5E16" w:rsidRPr="000A39B0">
              <w:rPr>
                <w:rFonts w:eastAsia="Times New Roman"/>
                <w:i/>
                <w:iCs/>
                <w:sz w:val="16"/>
                <w:szCs w:val="16"/>
                <w:lang w:eastAsia="en-AU"/>
              </w:rPr>
              <w:t>Parliamentary Remuneration Act 1989</w:t>
            </w:r>
            <w:r w:rsidR="001A5E16" w:rsidRPr="000A39B0">
              <w:rPr>
                <w:rFonts w:eastAsia="Times New Roman"/>
                <w:sz w:val="16"/>
                <w:szCs w:val="16"/>
                <w:lang w:eastAsia="en-AU"/>
              </w:rPr>
              <w:t xml:space="preserve"> (NSW) establishes the Parliamentary Remuneration Tribunal. The Tribunal determines salaries up to the amount prescribed in the government’s wages policy. </w:t>
            </w:r>
          </w:p>
          <w:p w:rsidR="001A5E16" w:rsidRPr="000A39B0" w:rsidRDefault="001A5E16" w:rsidP="00C81789">
            <w:pPr>
              <w:spacing w:before="120" w:after="120"/>
              <w:ind w:left="132" w:right="137"/>
              <w:rPr>
                <w:rFonts w:eastAsia="Times New Roman"/>
                <w:sz w:val="16"/>
                <w:szCs w:val="16"/>
                <w:lang w:eastAsia="en-AU"/>
              </w:rPr>
            </w:pPr>
            <w:r w:rsidRPr="000A39B0">
              <w:rPr>
                <w:rFonts w:eastAsia="Times New Roman"/>
                <w:sz w:val="16"/>
                <w:szCs w:val="16"/>
                <w:lang w:eastAsia="en-AU"/>
              </w:rPr>
              <w:t xml:space="preserve">The most recent Determination is </w:t>
            </w:r>
            <w:r w:rsidR="000415F0">
              <w:rPr>
                <w:rFonts w:eastAsia="Times New Roman"/>
                <w:sz w:val="16"/>
                <w:szCs w:val="16"/>
                <w:lang w:eastAsia="en-AU"/>
              </w:rPr>
              <w:t xml:space="preserve">contained in the </w:t>
            </w:r>
            <w:r w:rsidRPr="000A39B0">
              <w:rPr>
                <w:rFonts w:eastAsia="Times New Roman"/>
                <w:sz w:val="16"/>
                <w:szCs w:val="16"/>
                <w:lang w:eastAsia="en-AU"/>
              </w:rPr>
              <w:t xml:space="preserve">2015 Annual Report and Determination, 28 August 2015. </w:t>
            </w:r>
          </w:p>
        </w:tc>
        <w:tc>
          <w:tcPr>
            <w:tcW w:w="1784" w:type="dxa"/>
            <w:shd w:val="clear" w:color="auto" w:fill="auto"/>
          </w:tcPr>
          <w:p w:rsidR="001A5E16" w:rsidRPr="000A39B0" w:rsidRDefault="001A5E16" w:rsidP="00C81789">
            <w:pPr>
              <w:spacing w:before="120" w:after="120"/>
              <w:rPr>
                <w:sz w:val="16"/>
                <w:szCs w:val="16"/>
                <w:lang w:val="en-US"/>
              </w:rPr>
            </w:pPr>
            <w:r w:rsidRPr="000A39B0">
              <w:rPr>
                <w:sz w:val="16"/>
                <w:szCs w:val="16"/>
                <w:lang w:val="en-US"/>
              </w:rPr>
              <w:t>153 280</w:t>
            </w:r>
            <w:r w:rsidRPr="000A39B0">
              <w:rPr>
                <w:sz w:val="16"/>
                <w:szCs w:val="16"/>
                <w:lang w:val="en-US"/>
              </w:rPr>
              <w:br/>
            </w:r>
          </w:p>
        </w:tc>
      </w:tr>
      <w:tr w:rsidR="001A5E16" w:rsidRPr="000A39B0" w:rsidTr="001A5E16">
        <w:trPr>
          <w:cantSplit/>
        </w:trPr>
        <w:tc>
          <w:tcPr>
            <w:tcW w:w="1927" w:type="dxa"/>
            <w:shd w:val="clear" w:color="auto" w:fill="auto"/>
          </w:tcPr>
          <w:p w:rsidR="001A5E16" w:rsidRPr="000A39B0" w:rsidRDefault="001A5E16" w:rsidP="00C81789">
            <w:pPr>
              <w:spacing w:before="120" w:after="120"/>
              <w:rPr>
                <w:sz w:val="16"/>
                <w:szCs w:val="16"/>
                <w:lang w:val="en-US"/>
              </w:rPr>
            </w:pPr>
            <w:r w:rsidRPr="000A39B0">
              <w:rPr>
                <w:sz w:val="16"/>
                <w:szCs w:val="16"/>
                <w:lang w:val="en-US"/>
              </w:rPr>
              <w:t>Northern Territory</w:t>
            </w:r>
          </w:p>
        </w:tc>
        <w:tc>
          <w:tcPr>
            <w:tcW w:w="6246" w:type="dxa"/>
            <w:shd w:val="clear" w:color="auto" w:fill="auto"/>
          </w:tcPr>
          <w:p w:rsidR="001A5E16" w:rsidRPr="000A39B0" w:rsidRDefault="001A5E16" w:rsidP="00C81789">
            <w:pPr>
              <w:spacing w:before="120" w:after="120"/>
              <w:ind w:left="132" w:right="137"/>
              <w:rPr>
                <w:rFonts w:eastAsia="Times New Roman"/>
                <w:sz w:val="16"/>
                <w:szCs w:val="16"/>
                <w:lang w:eastAsia="en-AU"/>
              </w:rPr>
            </w:pPr>
            <w:r w:rsidRPr="000A39B0">
              <w:rPr>
                <w:rFonts w:eastAsia="Times New Roman"/>
                <w:sz w:val="16"/>
                <w:szCs w:val="16"/>
                <w:lang w:eastAsia="en-AU"/>
              </w:rPr>
              <w:t xml:space="preserve">The basic salary of Assembly members is determined by the NT Remuneration Tribunal under the </w:t>
            </w:r>
            <w:r w:rsidRPr="000A39B0">
              <w:rPr>
                <w:rFonts w:eastAsia="Times New Roman"/>
                <w:i/>
                <w:iCs/>
                <w:sz w:val="16"/>
                <w:szCs w:val="16"/>
                <w:lang w:eastAsia="en-AU"/>
              </w:rPr>
              <w:t>Assembly Members and Statutory Officers (Remuneration and Other Entitlements) Act</w:t>
            </w:r>
            <w:r w:rsidRPr="000A39B0">
              <w:rPr>
                <w:rFonts w:eastAsia="Times New Roman"/>
                <w:sz w:val="16"/>
                <w:szCs w:val="16"/>
                <w:lang w:eastAsia="en-AU"/>
              </w:rPr>
              <w:t xml:space="preserve"> (NT).  Prior to amendments in April 2015 the basic salary was tied to the annual rate of increase in the salary of NT Public Service (NTPS) employees.</w:t>
            </w:r>
          </w:p>
          <w:p w:rsidR="001A5E16" w:rsidRPr="000A39B0" w:rsidRDefault="001A5E16" w:rsidP="00C81789">
            <w:pPr>
              <w:spacing w:before="120" w:after="120"/>
              <w:ind w:left="132" w:right="137"/>
              <w:rPr>
                <w:rFonts w:eastAsia="Times New Roman"/>
                <w:sz w:val="16"/>
                <w:szCs w:val="16"/>
                <w:lang w:eastAsia="en-AU"/>
              </w:rPr>
            </w:pPr>
            <w:r w:rsidRPr="000A39B0">
              <w:rPr>
                <w:rFonts w:eastAsia="Times New Roman"/>
                <w:sz w:val="16"/>
                <w:szCs w:val="16"/>
                <w:lang w:eastAsia="en-AU"/>
              </w:rPr>
              <w:t>Current determination - No 1 of 2015 dated 29 July 2015.</w:t>
            </w:r>
          </w:p>
        </w:tc>
        <w:tc>
          <w:tcPr>
            <w:tcW w:w="1784" w:type="dxa"/>
            <w:shd w:val="clear" w:color="auto" w:fill="auto"/>
          </w:tcPr>
          <w:p w:rsidR="001A5E16" w:rsidRPr="000A39B0" w:rsidRDefault="001A5E16" w:rsidP="00A211EA">
            <w:pPr>
              <w:spacing w:before="120" w:after="120"/>
              <w:rPr>
                <w:sz w:val="16"/>
                <w:szCs w:val="16"/>
                <w:lang w:val="en-US"/>
              </w:rPr>
            </w:pPr>
            <w:r w:rsidRPr="000A39B0">
              <w:rPr>
                <w:sz w:val="16"/>
                <w:szCs w:val="16"/>
                <w:lang w:val="en-US"/>
              </w:rPr>
              <w:t>153 312</w:t>
            </w:r>
          </w:p>
        </w:tc>
      </w:tr>
      <w:tr w:rsidR="001A5E16" w:rsidRPr="000A39B0" w:rsidTr="001A5E16">
        <w:trPr>
          <w:cantSplit/>
        </w:trPr>
        <w:tc>
          <w:tcPr>
            <w:tcW w:w="1927" w:type="dxa"/>
            <w:shd w:val="clear" w:color="auto" w:fill="auto"/>
          </w:tcPr>
          <w:p w:rsidR="001A5E16" w:rsidRPr="000A39B0" w:rsidRDefault="001A5E16" w:rsidP="00C81789">
            <w:pPr>
              <w:spacing w:before="120" w:after="120"/>
              <w:rPr>
                <w:sz w:val="16"/>
                <w:szCs w:val="16"/>
                <w:lang w:val="en-US"/>
              </w:rPr>
            </w:pPr>
            <w:r w:rsidRPr="000A39B0">
              <w:rPr>
                <w:sz w:val="16"/>
                <w:szCs w:val="16"/>
                <w:lang w:val="en-US"/>
              </w:rPr>
              <w:t>Queensland</w:t>
            </w:r>
          </w:p>
        </w:tc>
        <w:tc>
          <w:tcPr>
            <w:tcW w:w="6246" w:type="dxa"/>
            <w:shd w:val="clear" w:color="auto" w:fill="auto"/>
          </w:tcPr>
          <w:p w:rsidR="001A5E16" w:rsidRPr="000A39B0" w:rsidRDefault="001A5E16" w:rsidP="00C81789">
            <w:pPr>
              <w:spacing w:before="120" w:after="120"/>
              <w:ind w:left="132" w:right="137"/>
              <w:rPr>
                <w:rFonts w:eastAsia="Times New Roman"/>
                <w:i/>
                <w:iCs/>
                <w:sz w:val="16"/>
                <w:szCs w:val="16"/>
                <w:lang w:eastAsia="en-AU"/>
              </w:rPr>
            </w:pPr>
            <w:r w:rsidRPr="000A39B0">
              <w:rPr>
                <w:rFonts w:eastAsia="Times New Roman"/>
                <w:bCs/>
                <w:sz w:val="16"/>
                <w:szCs w:val="16"/>
                <w:lang w:eastAsia="en-AU"/>
              </w:rPr>
              <w:t>The</w:t>
            </w:r>
            <w:r w:rsidRPr="000A39B0">
              <w:rPr>
                <w:rFonts w:eastAsia="Times New Roman"/>
                <w:bCs/>
                <w:i/>
                <w:sz w:val="16"/>
                <w:szCs w:val="16"/>
                <w:lang w:eastAsia="en-AU"/>
              </w:rPr>
              <w:t xml:space="preserve"> Parliament of Queensland and Other Acts Amendment Act 2015</w:t>
            </w:r>
            <w:r w:rsidRPr="000A39B0">
              <w:rPr>
                <w:rFonts w:eastAsia="Times New Roman"/>
                <w:bCs/>
                <w:sz w:val="16"/>
                <w:szCs w:val="16"/>
                <w:lang w:eastAsia="en-AU"/>
              </w:rPr>
              <w:t xml:space="preserve"> changed the power of the</w:t>
            </w:r>
            <w:r w:rsidRPr="000A39B0">
              <w:rPr>
                <w:rFonts w:eastAsia="Times New Roman"/>
                <w:b/>
                <w:bCs/>
                <w:sz w:val="16"/>
                <w:szCs w:val="16"/>
                <w:lang w:eastAsia="en-AU"/>
              </w:rPr>
              <w:t xml:space="preserve"> </w:t>
            </w:r>
            <w:r w:rsidRPr="000A39B0">
              <w:rPr>
                <w:rFonts w:eastAsia="Times New Roman"/>
                <w:sz w:val="16"/>
                <w:szCs w:val="16"/>
                <w:lang w:eastAsia="en-AU"/>
              </w:rPr>
              <w:t xml:space="preserve">Queensland Independent Remuneration Tribunal established under the </w:t>
            </w:r>
            <w:r w:rsidRPr="000A39B0">
              <w:rPr>
                <w:rFonts w:eastAsia="Times New Roman"/>
                <w:i/>
                <w:iCs/>
                <w:sz w:val="16"/>
                <w:szCs w:val="16"/>
                <w:lang w:eastAsia="en-AU"/>
              </w:rPr>
              <w:t xml:space="preserve">Queensland Independent </w:t>
            </w:r>
            <w:r w:rsidR="00E81345">
              <w:rPr>
                <w:rFonts w:eastAsia="Times New Roman"/>
                <w:i/>
                <w:iCs/>
                <w:sz w:val="16"/>
                <w:szCs w:val="16"/>
                <w:lang w:eastAsia="en-AU"/>
              </w:rPr>
              <w:t xml:space="preserve">Remuneration Tribunal Act 2013 </w:t>
            </w:r>
            <w:r w:rsidRPr="000A39B0">
              <w:rPr>
                <w:rFonts w:eastAsia="Times New Roman"/>
                <w:iCs/>
                <w:sz w:val="16"/>
                <w:szCs w:val="16"/>
                <w:lang w:eastAsia="en-AU"/>
              </w:rPr>
              <w:t>to determine the basic salary.</w:t>
            </w:r>
            <w:r w:rsidRPr="000A39B0">
              <w:rPr>
                <w:rFonts w:eastAsia="Times New Roman"/>
                <w:i/>
                <w:iCs/>
                <w:sz w:val="16"/>
                <w:szCs w:val="16"/>
                <w:lang w:eastAsia="en-AU"/>
              </w:rPr>
              <w:t xml:space="preserve"> </w:t>
            </w:r>
          </w:p>
          <w:p w:rsidR="001A5E16" w:rsidRPr="000A39B0" w:rsidRDefault="00DF3851" w:rsidP="00DF3851">
            <w:pPr>
              <w:spacing w:before="120" w:after="120"/>
              <w:ind w:left="132" w:right="137"/>
              <w:rPr>
                <w:rFonts w:eastAsia="Times New Roman"/>
                <w:sz w:val="16"/>
                <w:szCs w:val="16"/>
                <w:lang w:eastAsia="en-AU"/>
              </w:rPr>
            </w:pPr>
            <w:r>
              <w:rPr>
                <w:rFonts w:eastAsia="Times New Roman"/>
                <w:iCs/>
                <w:sz w:val="16"/>
                <w:szCs w:val="16"/>
                <w:lang w:eastAsia="en-AU"/>
              </w:rPr>
              <w:t>A</w:t>
            </w:r>
            <w:r w:rsidR="001A5E16" w:rsidRPr="000A39B0">
              <w:rPr>
                <w:rFonts w:eastAsia="Times New Roman"/>
                <w:iCs/>
                <w:sz w:val="16"/>
                <w:szCs w:val="16"/>
                <w:lang w:eastAsia="en-AU"/>
              </w:rPr>
              <w:t xml:space="preserve"> determination now may not increase the basic salary by a rate that is higher than the rate of increase to the salary or wage of public service employees.  </w:t>
            </w:r>
            <w:r>
              <w:rPr>
                <w:rFonts w:eastAsia="Times New Roman"/>
                <w:iCs/>
                <w:sz w:val="16"/>
                <w:szCs w:val="16"/>
                <w:lang w:eastAsia="en-AU"/>
              </w:rPr>
              <w:t>Current determination is 10/2016 dated 12 January 2016 which set the basic salary as at 1 Sept 2015</w:t>
            </w:r>
            <w:r w:rsidR="00E81345">
              <w:rPr>
                <w:rFonts w:eastAsia="Times New Roman"/>
                <w:iCs/>
                <w:sz w:val="16"/>
                <w:szCs w:val="16"/>
                <w:lang w:eastAsia="en-AU"/>
              </w:rPr>
              <w:t>.</w:t>
            </w:r>
          </w:p>
        </w:tc>
        <w:tc>
          <w:tcPr>
            <w:tcW w:w="1784" w:type="dxa"/>
            <w:shd w:val="clear" w:color="auto" w:fill="auto"/>
          </w:tcPr>
          <w:p w:rsidR="001A5E16" w:rsidRPr="000A39B0" w:rsidRDefault="001A5E16" w:rsidP="00DF3851">
            <w:pPr>
              <w:spacing w:before="120" w:after="120"/>
              <w:jc w:val="both"/>
              <w:rPr>
                <w:sz w:val="16"/>
                <w:szCs w:val="16"/>
                <w:lang w:val="en-US"/>
              </w:rPr>
            </w:pPr>
            <w:r w:rsidRPr="000A39B0">
              <w:rPr>
                <w:sz w:val="16"/>
                <w:szCs w:val="16"/>
                <w:lang w:val="en-US"/>
              </w:rPr>
              <w:t>1</w:t>
            </w:r>
            <w:r w:rsidR="00DF3851">
              <w:rPr>
                <w:sz w:val="16"/>
                <w:szCs w:val="16"/>
                <w:lang w:val="en-US"/>
              </w:rPr>
              <w:t>51</w:t>
            </w:r>
            <w:r w:rsidRPr="000A39B0">
              <w:rPr>
                <w:sz w:val="16"/>
                <w:szCs w:val="16"/>
                <w:lang w:val="en-US"/>
              </w:rPr>
              <w:t xml:space="preserve"> </w:t>
            </w:r>
            <w:r w:rsidR="00DF3851">
              <w:rPr>
                <w:sz w:val="16"/>
                <w:szCs w:val="16"/>
                <w:lang w:val="en-US"/>
              </w:rPr>
              <w:t>425</w:t>
            </w:r>
          </w:p>
        </w:tc>
      </w:tr>
      <w:tr w:rsidR="001A5E16" w:rsidRPr="000A39B0" w:rsidTr="001A5E16">
        <w:trPr>
          <w:cantSplit/>
        </w:trPr>
        <w:tc>
          <w:tcPr>
            <w:tcW w:w="1927" w:type="dxa"/>
            <w:shd w:val="clear" w:color="auto" w:fill="auto"/>
          </w:tcPr>
          <w:p w:rsidR="001A5E16" w:rsidRPr="000A39B0" w:rsidRDefault="001A5E16" w:rsidP="00C81789">
            <w:pPr>
              <w:spacing w:before="120" w:after="120"/>
              <w:rPr>
                <w:sz w:val="16"/>
                <w:szCs w:val="16"/>
                <w:lang w:val="en-US"/>
              </w:rPr>
            </w:pPr>
            <w:r w:rsidRPr="000A39B0">
              <w:rPr>
                <w:sz w:val="16"/>
                <w:szCs w:val="16"/>
                <w:lang w:val="en-US"/>
              </w:rPr>
              <w:lastRenderedPageBreak/>
              <w:t>South Australia</w:t>
            </w:r>
          </w:p>
        </w:tc>
        <w:tc>
          <w:tcPr>
            <w:tcW w:w="6246" w:type="dxa"/>
            <w:shd w:val="clear" w:color="auto" w:fill="auto"/>
          </w:tcPr>
          <w:p w:rsidR="001A5E16" w:rsidRDefault="00E81345" w:rsidP="00B75D15">
            <w:pPr>
              <w:spacing w:before="120" w:after="120"/>
              <w:ind w:left="132" w:right="137"/>
              <w:rPr>
                <w:rFonts w:eastAsia="Times New Roman"/>
                <w:sz w:val="16"/>
                <w:szCs w:val="16"/>
                <w:lang w:eastAsia="en-AU"/>
              </w:rPr>
            </w:pPr>
            <w:r w:rsidRPr="00E81345">
              <w:rPr>
                <w:rFonts w:eastAsia="Times New Roman"/>
                <w:iCs/>
                <w:sz w:val="16"/>
                <w:szCs w:val="16"/>
                <w:lang w:eastAsia="en-AU"/>
              </w:rPr>
              <w:t>The</w:t>
            </w:r>
            <w:r>
              <w:rPr>
                <w:rFonts w:eastAsia="Times New Roman"/>
                <w:i/>
                <w:iCs/>
                <w:sz w:val="16"/>
                <w:szCs w:val="16"/>
                <w:lang w:eastAsia="en-AU"/>
              </w:rPr>
              <w:t xml:space="preserve"> </w:t>
            </w:r>
            <w:r w:rsidR="001A5E16" w:rsidRPr="000A39B0">
              <w:rPr>
                <w:rFonts w:eastAsia="Times New Roman"/>
                <w:i/>
                <w:iCs/>
                <w:sz w:val="16"/>
                <w:szCs w:val="16"/>
                <w:lang w:eastAsia="en-AU"/>
              </w:rPr>
              <w:t>Parliamentary Remuneration Act 1990</w:t>
            </w:r>
            <w:r w:rsidR="001A5E16" w:rsidRPr="000A39B0">
              <w:rPr>
                <w:rFonts w:eastAsia="Times New Roman"/>
                <w:sz w:val="16"/>
                <w:szCs w:val="16"/>
                <w:lang w:eastAsia="en-AU"/>
              </w:rPr>
              <w:t xml:space="preserve"> (SA) describes the linkage with federal base salary and establishes the SA Remuneration Tribunal which determines other entitlements.</w:t>
            </w:r>
            <w:r w:rsidR="00B75D15">
              <w:rPr>
                <w:rFonts w:eastAsia="Times New Roman"/>
                <w:sz w:val="16"/>
                <w:szCs w:val="16"/>
                <w:lang w:eastAsia="en-AU"/>
              </w:rPr>
              <w:t xml:space="preserve">  The most recent (29 October 2015) amendment</w:t>
            </w:r>
            <w:r w:rsidR="000415F0">
              <w:rPr>
                <w:rFonts w:eastAsia="Times New Roman"/>
                <w:sz w:val="16"/>
                <w:szCs w:val="16"/>
                <w:lang w:eastAsia="en-AU"/>
              </w:rPr>
              <w:t>,</w:t>
            </w:r>
            <w:r w:rsidR="00B75D15">
              <w:rPr>
                <w:rFonts w:eastAsia="Times New Roman"/>
                <w:sz w:val="16"/>
                <w:szCs w:val="16"/>
                <w:lang w:eastAsia="en-AU"/>
              </w:rPr>
              <w:t xml:space="preserve"> the </w:t>
            </w:r>
            <w:r w:rsidR="001A5E16" w:rsidRPr="000A39B0">
              <w:rPr>
                <w:rFonts w:eastAsia="Times New Roman"/>
                <w:i/>
                <w:iCs/>
                <w:sz w:val="16"/>
                <w:szCs w:val="16"/>
                <w:lang w:eastAsia="en-AU"/>
              </w:rPr>
              <w:t>Parliamentary Remuneration (</w:t>
            </w:r>
            <w:r w:rsidR="00B75D15">
              <w:rPr>
                <w:rFonts w:eastAsia="Times New Roman"/>
                <w:i/>
                <w:iCs/>
                <w:sz w:val="16"/>
                <w:szCs w:val="16"/>
                <w:lang w:eastAsia="en-AU"/>
              </w:rPr>
              <w:t>Determination of Remuneration</w:t>
            </w:r>
            <w:r w:rsidR="001A5E16" w:rsidRPr="000A39B0">
              <w:rPr>
                <w:rFonts w:eastAsia="Times New Roman"/>
                <w:i/>
                <w:iCs/>
                <w:sz w:val="16"/>
                <w:szCs w:val="16"/>
                <w:lang w:eastAsia="en-AU"/>
              </w:rPr>
              <w:t>) Amendment Act 201</w:t>
            </w:r>
            <w:r w:rsidR="00B75D15">
              <w:rPr>
                <w:rFonts w:eastAsia="Times New Roman"/>
                <w:i/>
                <w:iCs/>
                <w:sz w:val="16"/>
                <w:szCs w:val="16"/>
                <w:lang w:eastAsia="en-AU"/>
              </w:rPr>
              <w:t xml:space="preserve">5 </w:t>
            </w:r>
            <w:r w:rsidR="001A5E16" w:rsidRPr="000A39B0">
              <w:rPr>
                <w:rFonts w:eastAsia="Times New Roman"/>
                <w:sz w:val="16"/>
                <w:szCs w:val="16"/>
                <w:lang w:eastAsia="en-AU"/>
              </w:rPr>
              <w:t>(SA)</w:t>
            </w:r>
            <w:r w:rsidR="000415F0">
              <w:rPr>
                <w:rFonts w:eastAsia="Times New Roman"/>
                <w:sz w:val="16"/>
                <w:szCs w:val="16"/>
                <w:lang w:eastAsia="en-AU"/>
              </w:rPr>
              <w:t>,</w:t>
            </w:r>
            <w:r w:rsidR="001A5E16" w:rsidRPr="000A39B0">
              <w:rPr>
                <w:rFonts w:eastAsia="Times New Roman"/>
                <w:sz w:val="16"/>
                <w:szCs w:val="16"/>
                <w:lang w:eastAsia="en-AU"/>
              </w:rPr>
              <w:t xml:space="preserve"> </w:t>
            </w:r>
            <w:r w:rsidR="00B75D15">
              <w:rPr>
                <w:rFonts w:eastAsia="Times New Roman"/>
                <w:sz w:val="16"/>
                <w:szCs w:val="16"/>
                <w:lang w:eastAsia="en-AU"/>
              </w:rPr>
              <w:t>provides that the</w:t>
            </w:r>
            <w:r w:rsidR="001A5E16" w:rsidRPr="000A39B0">
              <w:rPr>
                <w:rFonts w:eastAsia="Times New Roman"/>
                <w:sz w:val="16"/>
                <w:szCs w:val="16"/>
                <w:lang w:eastAsia="en-AU"/>
              </w:rPr>
              <w:t xml:space="preserve"> SA MPs basic salary will be $42</w:t>
            </w:r>
            <w:r>
              <w:rPr>
                <w:rFonts w:eastAsia="Times New Roman"/>
                <w:sz w:val="16"/>
                <w:szCs w:val="16"/>
                <w:lang w:eastAsia="en-AU"/>
              </w:rPr>
              <w:t xml:space="preserve"> </w:t>
            </w:r>
            <w:r w:rsidR="001A5E16" w:rsidRPr="000A39B0">
              <w:rPr>
                <w:rFonts w:eastAsia="Times New Roman"/>
                <w:sz w:val="16"/>
                <w:szCs w:val="16"/>
                <w:lang w:eastAsia="en-AU"/>
              </w:rPr>
              <w:t>000 less than federal base salary</w:t>
            </w:r>
            <w:r w:rsidR="00B75D15">
              <w:rPr>
                <w:rFonts w:eastAsia="Times New Roman"/>
                <w:sz w:val="16"/>
                <w:szCs w:val="16"/>
                <w:lang w:eastAsia="en-AU"/>
              </w:rPr>
              <w:t xml:space="preserve"> plus a common allowance determined each year by the </w:t>
            </w:r>
            <w:r w:rsidR="00B75D15" w:rsidRPr="00B75D15">
              <w:rPr>
                <w:rFonts w:eastAsia="Times New Roman"/>
                <w:sz w:val="16"/>
                <w:szCs w:val="16"/>
                <w:lang w:eastAsia="en-AU"/>
              </w:rPr>
              <w:t>SA Remuneration Tribunal</w:t>
            </w:r>
            <w:r w:rsidR="001A5E16" w:rsidRPr="000A39B0">
              <w:rPr>
                <w:rFonts w:eastAsia="Times New Roman"/>
                <w:sz w:val="16"/>
                <w:szCs w:val="16"/>
                <w:lang w:eastAsia="en-AU"/>
              </w:rPr>
              <w:t xml:space="preserve">. </w:t>
            </w:r>
          </w:p>
          <w:p w:rsidR="00A211EA" w:rsidRPr="00A211EA" w:rsidRDefault="00A211EA" w:rsidP="00E81345">
            <w:pPr>
              <w:spacing w:before="120" w:after="120"/>
              <w:ind w:left="132" w:right="137"/>
              <w:rPr>
                <w:rFonts w:eastAsia="Times New Roman"/>
                <w:sz w:val="16"/>
                <w:szCs w:val="16"/>
                <w:lang w:eastAsia="en-AU"/>
              </w:rPr>
            </w:pPr>
            <w:r w:rsidRPr="00A211EA">
              <w:rPr>
                <w:rFonts w:eastAsia="Times New Roman"/>
                <w:iCs/>
                <w:sz w:val="16"/>
                <w:szCs w:val="16"/>
                <w:lang w:eastAsia="en-AU"/>
              </w:rPr>
              <w:t>On 15 December 2015 the Tribunal determined the common allowance effective from 1 January 2016 to be $30</w:t>
            </w:r>
            <w:r w:rsidR="00E81345">
              <w:rPr>
                <w:rFonts w:eastAsia="Times New Roman"/>
                <w:iCs/>
                <w:sz w:val="16"/>
                <w:szCs w:val="16"/>
                <w:lang w:eastAsia="en-AU"/>
              </w:rPr>
              <w:t xml:space="preserve"> </w:t>
            </w:r>
            <w:r w:rsidRPr="00A211EA">
              <w:rPr>
                <w:rFonts w:eastAsia="Times New Roman"/>
                <w:iCs/>
                <w:sz w:val="16"/>
                <w:szCs w:val="16"/>
                <w:lang w:eastAsia="en-AU"/>
              </w:rPr>
              <w:t>294</w:t>
            </w:r>
            <w:r>
              <w:rPr>
                <w:rFonts w:eastAsia="Times New Roman"/>
                <w:iCs/>
                <w:sz w:val="16"/>
                <w:szCs w:val="16"/>
                <w:lang w:eastAsia="en-AU"/>
              </w:rPr>
              <w:t xml:space="preserve"> (comprising $17,124 to com</w:t>
            </w:r>
            <w:r w:rsidR="00AE2ADB">
              <w:rPr>
                <w:rFonts w:eastAsia="Times New Roman"/>
                <w:iCs/>
                <w:sz w:val="16"/>
                <w:szCs w:val="16"/>
                <w:lang w:eastAsia="en-AU"/>
              </w:rPr>
              <w:t>p</w:t>
            </w:r>
            <w:r>
              <w:rPr>
                <w:rFonts w:eastAsia="Times New Roman"/>
                <w:iCs/>
                <w:sz w:val="16"/>
                <w:szCs w:val="16"/>
                <w:lang w:eastAsia="en-AU"/>
              </w:rPr>
              <w:t>ensate for loss of travel allowance and $13</w:t>
            </w:r>
            <w:r w:rsidR="00E81345">
              <w:rPr>
                <w:rFonts w:eastAsia="Times New Roman"/>
                <w:iCs/>
                <w:sz w:val="16"/>
                <w:szCs w:val="16"/>
                <w:lang w:eastAsia="en-AU"/>
              </w:rPr>
              <w:t xml:space="preserve"> </w:t>
            </w:r>
            <w:r>
              <w:rPr>
                <w:rFonts w:eastAsia="Times New Roman"/>
                <w:iCs/>
                <w:sz w:val="16"/>
                <w:szCs w:val="16"/>
                <w:lang w:eastAsia="en-AU"/>
              </w:rPr>
              <w:t xml:space="preserve">170 for </w:t>
            </w:r>
            <w:r w:rsidR="00AE2ADB">
              <w:rPr>
                <w:rFonts w:eastAsia="Times New Roman"/>
                <w:iCs/>
                <w:sz w:val="16"/>
                <w:szCs w:val="16"/>
                <w:lang w:eastAsia="en-AU"/>
              </w:rPr>
              <w:t>service</w:t>
            </w:r>
            <w:r>
              <w:rPr>
                <w:rFonts w:eastAsia="Times New Roman"/>
                <w:iCs/>
                <w:sz w:val="16"/>
                <w:szCs w:val="16"/>
                <w:lang w:eastAsia="en-AU"/>
              </w:rPr>
              <w:t xml:space="preserve"> on </w:t>
            </w:r>
            <w:r w:rsidR="00AE2ADB">
              <w:rPr>
                <w:rFonts w:eastAsia="Times New Roman"/>
                <w:iCs/>
                <w:sz w:val="16"/>
                <w:szCs w:val="16"/>
                <w:lang w:eastAsia="en-AU"/>
              </w:rPr>
              <w:t>parliamentary</w:t>
            </w:r>
            <w:r>
              <w:rPr>
                <w:rFonts w:eastAsia="Times New Roman"/>
                <w:iCs/>
                <w:sz w:val="16"/>
                <w:szCs w:val="16"/>
                <w:lang w:eastAsia="en-AU"/>
              </w:rPr>
              <w:t xml:space="preserve"> committees)</w:t>
            </w:r>
          </w:p>
        </w:tc>
        <w:tc>
          <w:tcPr>
            <w:tcW w:w="1784" w:type="dxa"/>
            <w:shd w:val="clear" w:color="auto" w:fill="auto"/>
          </w:tcPr>
          <w:p w:rsidR="001A5E16" w:rsidRDefault="00AE2ADB" w:rsidP="00C81789">
            <w:pPr>
              <w:spacing w:before="120" w:after="120"/>
              <w:jc w:val="both"/>
              <w:rPr>
                <w:sz w:val="16"/>
                <w:szCs w:val="16"/>
                <w:lang w:val="en-US"/>
              </w:rPr>
            </w:pPr>
            <w:r>
              <w:rPr>
                <w:sz w:val="16"/>
                <w:szCs w:val="16"/>
                <w:lang w:val="en-US"/>
              </w:rPr>
              <w:t>170 210</w:t>
            </w:r>
            <w:r>
              <w:rPr>
                <w:rStyle w:val="FootnoteReference"/>
                <w:sz w:val="16"/>
                <w:szCs w:val="16"/>
                <w:lang w:val="en-US"/>
              </w:rPr>
              <w:footnoteReference w:id="19"/>
            </w:r>
          </w:p>
          <w:p w:rsidR="0096612F" w:rsidRPr="000A39B0" w:rsidRDefault="00E14D34" w:rsidP="00E81345">
            <w:pPr>
              <w:spacing w:before="120" w:after="120"/>
              <w:jc w:val="both"/>
              <w:rPr>
                <w:sz w:val="16"/>
                <w:szCs w:val="16"/>
                <w:lang w:val="en-US"/>
              </w:rPr>
            </w:pPr>
            <w:r>
              <w:rPr>
                <w:sz w:val="16"/>
                <w:szCs w:val="16"/>
                <w:lang w:val="en-US"/>
              </w:rPr>
              <w:t>(</w:t>
            </w:r>
            <w:r w:rsidR="0096612F">
              <w:rPr>
                <w:sz w:val="16"/>
                <w:szCs w:val="16"/>
                <w:lang w:val="en-US"/>
              </w:rPr>
              <w:t>157</w:t>
            </w:r>
            <w:r w:rsidR="00E81345">
              <w:rPr>
                <w:sz w:val="16"/>
                <w:szCs w:val="16"/>
                <w:lang w:val="en-US"/>
              </w:rPr>
              <w:t xml:space="preserve"> </w:t>
            </w:r>
            <w:r w:rsidR="0096612F">
              <w:rPr>
                <w:sz w:val="16"/>
                <w:szCs w:val="16"/>
                <w:lang w:val="en-US"/>
              </w:rPr>
              <w:t>040</w:t>
            </w:r>
            <w:r>
              <w:rPr>
                <w:sz w:val="16"/>
                <w:szCs w:val="16"/>
                <w:lang w:val="en-US"/>
              </w:rPr>
              <w:t>)</w:t>
            </w:r>
          </w:p>
        </w:tc>
      </w:tr>
      <w:tr w:rsidR="001A5E16" w:rsidRPr="000A39B0" w:rsidTr="001A5E16">
        <w:trPr>
          <w:cantSplit/>
        </w:trPr>
        <w:tc>
          <w:tcPr>
            <w:tcW w:w="1927" w:type="dxa"/>
            <w:shd w:val="clear" w:color="auto" w:fill="auto"/>
          </w:tcPr>
          <w:p w:rsidR="001A5E16" w:rsidRPr="000A39B0" w:rsidRDefault="001A5E16" w:rsidP="00C81789">
            <w:pPr>
              <w:spacing w:before="120" w:after="120"/>
              <w:rPr>
                <w:sz w:val="16"/>
                <w:szCs w:val="16"/>
                <w:lang w:val="en-US"/>
              </w:rPr>
            </w:pPr>
            <w:r w:rsidRPr="000A39B0">
              <w:rPr>
                <w:sz w:val="16"/>
                <w:szCs w:val="16"/>
                <w:lang w:val="en-US"/>
              </w:rPr>
              <w:t>Tasmania</w:t>
            </w:r>
          </w:p>
        </w:tc>
        <w:tc>
          <w:tcPr>
            <w:tcW w:w="6246" w:type="dxa"/>
            <w:shd w:val="clear" w:color="auto" w:fill="auto"/>
          </w:tcPr>
          <w:p w:rsidR="001A5E16" w:rsidRPr="000A39B0" w:rsidRDefault="001A5E16" w:rsidP="00C81789">
            <w:pPr>
              <w:spacing w:before="120" w:after="120"/>
              <w:ind w:left="132" w:right="137"/>
              <w:rPr>
                <w:rFonts w:eastAsia="Times New Roman"/>
                <w:sz w:val="16"/>
                <w:szCs w:val="16"/>
                <w:lang w:eastAsia="en-AU"/>
              </w:rPr>
            </w:pPr>
            <w:r w:rsidRPr="000A39B0">
              <w:rPr>
                <w:rFonts w:eastAsia="Times New Roman"/>
                <w:sz w:val="16"/>
                <w:szCs w:val="16"/>
                <w:lang w:eastAsia="en-AU"/>
              </w:rPr>
              <w:t xml:space="preserve">The </w:t>
            </w:r>
            <w:r w:rsidRPr="000A39B0">
              <w:rPr>
                <w:rFonts w:eastAsia="Times New Roman"/>
                <w:i/>
                <w:sz w:val="16"/>
                <w:szCs w:val="16"/>
                <w:lang w:eastAsia="en-AU"/>
              </w:rPr>
              <w:t xml:space="preserve">Parliamentary Salaries, Superannuation and Allowances Act 2012 </w:t>
            </w:r>
            <w:r w:rsidRPr="00702D39">
              <w:rPr>
                <w:rFonts w:eastAsia="Times New Roman"/>
                <w:sz w:val="16"/>
                <w:szCs w:val="16"/>
                <w:lang w:eastAsia="en-AU"/>
              </w:rPr>
              <w:t>(Tas)</w:t>
            </w:r>
            <w:r w:rsidRPr="000A39B0">
              <w:rPr>
                <w:rFonts w:eastAsia="Times New Roman"/>
                <w:i/>
                <w:sz w:val="16"/>
                <w:szCs w:val="16"/>
                <w:lang w:eastAsia="en-AU"/>
              </w:rPr>
              <w:t xml:space="preserve"> </w:t>
            </w:r>
            <w:r w:rsidRPr="000A39B0">
              <w:rPr>
                <w:rFonts w:eastAsia="Times New Roman"/>
                <w:sz w:val="16"/>
                <w:szCs w:val="16"/>
                <w:lang w:eastAsia="en-AU"/>
              </w:rPr>
              <w:t xml:space="preserve">as amended in 2015 sets the basic salary from 1 July 2015 at </w:t>
            </w:r>
            <w:r>
              <w:rPr>
                <w:rFonts w:eastAsia="Times New Roman"/>
                <w:sz w:val="16"/>
                <w:szCs w:val="16"/>
                <w:lang w:eastAsia="en-AU"/>
              </w:rPr>
              <w:t>$</w:t>
            </w:r>
            <w:r w:rsidRPr="000A39B0">
              <w:rPr>
                <w:rFonts w:eastAsia="Times New Roman"/>
                <w:sz w:val="16"/>
                <w:szCs w:val="16"/>
                <w:lang w:val="en-US" w:eastAsia="en-AU"/>
              </w:rPr>
              <w:t>120</w:t>
            </w:r>
            <w:r>
              <w:rPr>
                <w:rFonts w:eastAsia="Times New Roman"/>
                <w:sz w:val="16"/>
                <w:szCs w:val="16"/>
                <w:lang w:val="en-US" w:eastAsia="en-AU"/>
              </w:rPr>
              <w:t> </w:t>
            </w:r>
            <w:r w:rsidRPr="000A39B0">
              <w:rPr>
                <w:rFonts w:eastAsia="Times New Roman"/>
                <w:sz w:val="16"/>
                <w:szCs w:val="16"/>
                <w:lang w:val="en-US" w:eastAsia="en-AU"/>
              </w:rPr>
              <w:t>835</w:t>
            </w:r>
            <w:r w:rsidRPr="000A39B0">
              <w:rPr>
                <w:rFonts w:eastAsia="Times New Roman"/>
                <w:sz w:val="16"/>
                <w:szCs w:val="16"/>
                <w:lang w:eastAsia="en-AU"/>
              </w:rPr>
              <w:t xml:space="preserve">. </w:t>
            </w:r>
          </w:p>
          <w:p w:rsidR="001A5E16" w:rsidRPr="000A39B0" w:rsidRDefault="001A5E16" w:rsidP="00C81789">
            <w:pPr>
              <w:spacing w:before="120" w:after="120"/>
              <w:ind w:left="132" w:right="137"/>
              <w:rPr>
                <w:rFonts w:eastAsia="Times New Roman"/>
                <w:sz w:val="16"/>
                <w:szCs w:val="16"/>
                <w:lang w:eastAsia="en-AU"/>
              </w:rPr>
            </w:pPr>
            <w:r w:rsidRPr="000A39B0">
              <w:rPr>
                <w:rFonts w:eastAsia="Times New Roman"/>
                <w:sz w:val="16"/>
                <w:szCs w:val="16"/>
                <w:lang w:eastAsia="en-AU"/>
              </w:rPr>
              <w:t xml:space="preserve">The Act provides for the future determinations of basic salary (and other salaries and allowances) to be undertaken by a full bench of the Tasmanian Industrial Commission.   Determinations </w:t>
            </w:r>
            <w:r w:rsidR="00F22D14">
              <w:rPr>
                <w:rFonts w:eastAsia="Times New Roman"/>
                <w:sz w:val="16"/>
                <w:szCs w:val="16"/>
                <w:lang w:eastAsia="en-AU"/>
              </w:rPr>
              <w:t xml:space="preserve">are </w:t>
            </w:r>
            <w:r w:rsidRPr="000A39B0">
              <w:rPr>
                <w:rFonts w:eastAsia="Times New Roman"/>
                <w:sz w:val="16"/>
                <w:szCs w:val="16"/>
                <w:lang w:eastAsia="en-AU"/>
              </w:rPr>
              <w:t>subject to disallowance if both Houses of Parliament so decide.</w:t>
            </w:r>
          </w:p>
        </w:tc>
        <w:tc>
          <w:tcPr>
            <w:tcW w:w="1784" w:type="dxa"/>
            <w:shd w:val="clear" w:color="auto" w:fill="auto"/>
          </w:tcPr>
          <w:p w:rsidR="001A5E16" w:rsidRPr="000A39B0" w:rsidRDefault="001A5E16" w:rsidP="00C81789">
            <w:pPr>
              <w:spacing w:before="120" w:after="120"/>
              <w:jc w:val="both"/>
              <w:rPr>
                <w:sz w:val="16"/>
                <w:szCs w:val="16"/>
                <w:lang w:val="en-US"/>
              </w:rPr>
            </w:pPr>
            <w:r w:rsidRPr="000A39B0">
              <w:rPr>
                <w:sz w:val="16"/>
                <w:szCs w:val="16"/>
                <w:lang w:val="en-US"/>
              </w:rPr>
              <w:t>120 835</w:t>
            </w:r>
          </w:p>
        </w:tc>
      </w:tr>
      <w:tr w:rsidR="001A5E16" w:rsidRPr="000A39B0" w:rsidTr="001A5E16">
        <w:trPr>
          <w:cantSplit/>
        </w:trPr>
        <w:tc>
          <w:tcPr>
            <w:tcW w:w="1927" w:type="dxa"/>
            <w:shd w:val="clear" w:color="auto" w:fill="auto"/>
          </w:tcPr>
          <w:p w:rsidR="001A5E16" w:rsidRPr="000A39B0" w:rsidRDefault="001A5E16" w:rsidP="00C81789">
            <w:pPr>
              <w:spacing w:before="120" w:after="120"/>
              <w:rPr>
                <w:sz w:val="16"/>
                <w:szCs w:val="16"/>
                <w:lang w:val="en-US"/>
              </w:rPr>
            </w:pPr>
            <w:r w:rsidRPr="000A39B0">
              <w:rPr>
                <w:sz w:val="16"/>
                <w:szCs w:val="16"/>
                <w:lang w:val="en-US"/>
              </w:rPr>
              <w:t>Victoria</w:t>
            </w:r>
          </w:p>
        </w:tc>
        <w:tc>
          <w:tcPr>
            <w:tcW w:w="6246" w:type="dxa"/>
            <w:shd w:val="clear" w:color="auto" w:fill="auto"/>
          </w:tcPr>
          <w:p w:rsidR="001A5E16" w:rsidRPr="000A39B0" w:rsidRDefault="001A5E16" w:rsidP="006671F8">
            <w:pPr>
              <w:spacing w:before="120" w:after="120"/>
              <w:ind w:left="132" w:right="137"/>
              <w:rPr>
                <w:rFonts w:eastAsia="Times New Roman"/>
                <w:sz w:val="16"/>
                <w:szCs w:val="16"/>
                <w:lang w:eastAsia="en-AU"/>
              </w:rPr>
            </w:pPr>
            <w:r w:rsidRPr="000A39B0">
              <w:rPr>
                <w:rFonts w:eastAsia="Times New Roman"/>
                <w:sz w:val="16"/>
                <w:szCs w:val="16"/>
                <w:lang w:eastAsia="en-AU"/>
              </w:rPr>
              <w:t>The</w:t>
            </w:r>
            <w:r w:rsidRPr="000A39B0">
              <w:rPr>
                <w:rFonts w:eastAsia="Times New Roman"/>
                <w:i/>
                <w:sz w:val="16"/>
                <w:szCs w:val="16"/>
                <w:lang w:eastAsia="en-AU"/>
              </w:rPr>
              <w:t xml:space="preserve"> Parliamentary </w:t>
            </w:r>
            <w:r w:rsidR="006671F8">
              <w:rPr>
                <w:rFonts w:eastAsia="Times New Roman"/>
                <w:i/>
                <w:sz w:val="16"/>
                <w:szCs w:val="16"/>
                <w:lang w:eastAsia="en-AU"/>
              </w:rPr>
              <w:t>Salaries and Superannuation Act</w:t>
            </w:r>
            <w:r w:rsidRPr="000A39B0">
              <w:rPr>
                <w:rFonts w:eastAsia="Times New Roman"/>
                <w:i/>
                <w:sz w:val="16"/>
                <w:szCs w:val="16"/>
                <w:lang w:eastAsia="en-AU"/>
              </w:rPr>
              <w:t xml:space="preserve"> </w:t>
            </w:r>
            <w:r w:rsidR="006671F8">
              <w:rPr>
                <w:rFonts w:eastAsia="Times New Roman"/>
                <w:i/>
                <w:sz w:val="16"/>
                <w:szCs w:val="16"/>
                <w:lang w:eastAsia="en-AU"/>
              </w:rPr>
              <w:t>1968</w:t>
            </w:r>
            <w:r w:rsidRPr="000A39B0">
              <w:rPr>
                <w:rFonts w:eastAsia="Times New Roman"/>
                <w:i/>
                <w:sz w:val="16"/>
                <w:szCs w:val="16"/>
                <w:lang w:eastAsia="en-AU"/>
              </w:rPr>
              <w:t xml:space="preserve"> (Vic)</w:t>
            </w:r>
            <w:r w:rsidRPr="000A39B0">
              <w:rPr>
                <w:rFonts w:eastAsia="Times New Roman"/>
                <w:sz w:val="16"/>
                <w:szCs w:val="16"/>
                <w:lang w:eastAsia="en-AU"/>
              </w:rPr>
              <w:t xml:space="preserve">, sets a </w:t>
            </w:r>
            <w:r w:rsidR="006671F8">
              <w:rPr>
                <w:rFonts w:eastAsia="Times New Roman"/>
                <w:sz w:val="16"/>
                <w:szCs w:val="16"/>
                <w:lang w:eastAsia="en-AU"/>
              </w:rPr>
              <w:t xml:space="preserve">Victorian </w:t>
            </w:r>
            <w:r w:rsidRPr="000A39B0">
              <w:rPr>
                <w:rFonts w:eastAsia="Times New Roman"/>
                <w:sz w:val="16"/>
                <w:szCs w:val="16"/>
                <w:lang w:eastAsia="en-AU"/>
              </w:rPr>
              <w:t xml:space="preserve">MP’s salary as $140,973 from 1 July 2013 with an increase of 2.5% from 1 July 2014. </w:t>
            </w:r>
            <w:r w:rsidR="006671F8">
              <w:rPr>
                <w:rFonts w:eastAsia="Times New Roman"/>
                <w:sz w:val="16"/>
                <w:szCs w:val="16"/>
                <w:lang w:eastAsia="en-AU"/>
              </w:rPr>
              <w:t xml:space="preserve"> </w:t>
            </w:r>
            <w:r w:rsidRPr="000A39B0">
              <w:rPr>
                <w:rFonts w:eastAsia="Times New Roman"/>
                <w:sz w:val="16"/>
                <w:szCs w:val="16"/>
                <w:lang w:eastAsia="en-AU"/>
              </w:rPr>
              <w:t xml:space="preserve">From 1 July 2015 salary is adjusted </w:t>
            </w:r>
            <w:r w:rsidR="006671F8">
              <w:rPr>
                <w:rFonts w:eastAsia="Times New Roman"/>
                <w:sz w:val="16"/>
                <w:szCs w:val="16"/>
                <w:lang w:eastAsia="en-AU"/>
              </w:rPr>
              <w:t xml:space="preserve">each year </w:t>
            </w:r>
            <w:r w:rsidRPr="000A39B0">
              <w:rPr>
                <w:rFonts w:eastAsia="Times New Roman"/>
                <w:sz w:val="16"/>
                <w:szCs w:val="16"/>
                <w:lang w:eastAsia="en-AU"/>
              </w:rPr>
              <w:t xml:space="preserve">by the relevant index published by the ABS on Victorian adult average weekly ordinary time earnings. </w:t>
            </w:r>
          </w:p>
        </w:tc>
        <w:tc>
          <w:tcPr>
            <w:tcW w:w="1784" w:type="dxa"/>
            <w:shd w:val="clear" w:color="auto" w:fill="auto"/>
          </w:tcPr>
          <w:p w:rsidR="001A5E16" w:rsidRPr="000A39B0" w:rsidRDefault="001A5E16" w:rsidP="00C81789">
            <w:pPr>
              <w:spacing w:before="120" w:after="120"/>
              <w:jc w:val="both"/>
              <w:rPr>
                <w:sz w:val="16"/>
                <w:szCs w:val="16"/>
                <w:highlight w:val="yellow"/>
                <w:lang w:val="en-US"/>
              </w:rPr>
            </w:pPr>
            <w:r w:rsidRPr="000A39B0">
              <w:rPr>
                <w:sz w:val="16"/>
                <w:szCs w:val="16"/>
                <w:lang w:val="en-US"/>
              </w:rPr>
              <w:t>145 277</w:t>
            </w:r>
          </w:p>
        </w:tc>
      </w:tr>
      <w:tr w:rsidR="001A5E16" w:rsidRPr="000A39B0" w:rsidTr="001A5E16">
        <w:trPr>
          <w:cantSplit/>
        </w:trPr>
        <w:tc>
          <w:tcPr>
            <w:tcW w:w="1927" w:type="dxa"/>
            <w:shd w:val="clear" w:color="auto" w:fill="auto"/>
          </w:tcPr>
          <w:p w:rsidR="001A5E16" w:rsidRPr="000A39B0" w:rsidRDefault="001A5E16" w:rsidP="00C81789">
            <w:pPr>
              <w:spacing w:before="120" w:after="120"/>
              <w:jc w:val="both"/>
              <w:rPr>
                <w:sz w:val="16"/>
                <w:szCs w:val="16"/>
                <w:lang w:val="en-US"/>
              </w:rPr>
            </w:pPr>
            <w:r w:rsidRPr="000A39B0">
              <w:rPr>
                <w:sz w:val="16"/>
                <w:szCs w:val="16"/>
                <w:lang w:val="en-US"/>
              </w:rPr>
              <w:t>Western Australia</w:t>
            </w:r>
          </w:p>
        </w:tc>
        <w:tc>
          <w:tcPr>
            <w:tcW w:w="6246" w:type="dxa"/>
            <w:shd w:val="clear" w:color="auto" w:fill="auto"/>
          </w:tcPr>
          <w:p w:rsidR="00F22D14" w:rsidRDefault="001A5E16" w:rsidP="00F22D14">
            <w:pPr>
              <w:tabs>
                <w:tab w:val="left" w:pos="759"/>
              </w:tabs>
              <w:spacing w:before="120" w:after="120"/>
              <w:ind w:left="132" w:right="137"/>
              <w:rPr>
                <w:rFonts w:eastAsia="Times New Roman"/>
                <w:sz w:val="16"/>
                <w:szCs w:val="16"/>
                <w:lang w:eastAsia="en-AU"/>
              </w:rPr>
            </w:pPr>
            <w:r w:rsidRPr="000A39B0">
              <w:rPr>
                <w:rFonts w:eastAsia="Times New Roman"/>
                <w:sz w:val="16"/>
                <w:szCs w:val="16"/>
                <w:lang w:eastAsia="en-AU"/>
              </w:rPr>
              <w:t xml:space="preserve">As determined by WA Salaries and Allowances Tribunal (established by the </w:t>
            </w:r>
            <w:r w:rsidRPr="000A39B0">
              <w:rPr>
                <w:rFonts w:eastAsia="Times New Roman"/>
                <w:i/>
                <w:sz w:val="16"/>
                <w:szCs w:val="16"/>
                <w:lang w:eastAsia="en-AU"/>
              </w:rPr>
              <w:t xml:space="preserve">Salaries and Allowances Act 1975 </w:t>
            </w:r>
            <w:r w:rsidRPr="00702D39">
              <w:rPr>
                <w:rFonts w:eastAsia="Times New Roman"/>
                <w:sz w:val="16"/>
                <w:szCs w:val="16"/>
                <w:lang w:eastAsia="en-AU"/>
              </w:rPr>
              <w:t>(WA))</w:t>
            </w:r>
            <w:r w:rsidRPr="000A39B0">
              <w:rPr>
                <w:rFonts w:eastAsia="Times New Roman"/>
                <w:sz w:val="16"/>
                <w:szCs w:val="16"/>
                <w:lang w:eastAsia="en-AU"/>
              </w:rPr>
              <w:t xml:space="preserve"> </w:t>
            </w:r>
          </w:p>
          <w:p w:rsidR="001A5E16" w:rsidRPr="000A39B0" w:rsidRDefault="00F22D14" w:rsidP="00F22D14">
            <w:pPr>
              <w:tabs>
                <w:tab w:val="left" w:pos="759"/>
              </w:tabs>
              <w:spacing w:before="120" w:after="120"/>
              <w:ind w:left="132" w:right="137"/>
              <w:rPr>
                <w:rFonts w:eastAsia="Times New Roman"/>
                <w:sz w:val="16"/>
                <w:szCs w:val="16"/>
                <w:lang w:eastAsia="en-AU"/>
              </w:rPr>
            </w:pPr>
            <w:r>
              <w:rPr>
                <w:rFonts w:eastAsia="Times New Roman"/>
                <w:sz w:val="16"/>
                <w:szCs w:val="16"/>
                <w:lang w:eastAsia="en-AU"/>
              </w:rPr>
              <w:t>The m</w:t>
            </w:r>
            <w:r w:rsidR="001A5E16" w:rsidRPr="000A39B0">
              <w:rPr>
                <w:rFonts w:eastAsia="Times New Roman"/>
                <w:sz w:val="16"/>
                <w:szCs w:val="16"/>
                <w:lang w:eastAsia="en-AU"/>
              </w:rPr>
              <w:t xml:space="preserve">ost recent determination of the Salaries and Allowances Tribunal for the Remuneration of Members of Parliament </w:t>
            </w:r>
            <w:r>
              <w:rPr>
                <w:rFonts w:eastAsia="Times New Roman"/>
                <w:sz w:val="16"/>
                <w:szCs w:val="16"/>
                <w:lang w:eastAsia="en-AU"/>
              </w:rPr>
              <w:t xml:space="preserve">was on </w:t>
            </w:r>
            <w:r w:rsidR="001A5E16" w:rsidRPr="000A39B0">
              <w:rPr>
                <w:rFonts w:eastAsia="Times New Roman"/>
                <w:sz w:val="16"/>
                <w:szCs w:val="16"/>
                <w:lang w:eastAsia="en-AU"/>
              </w:rPr>
              <w:t>23 June 2015</w:t>
            </w:r>
          </w:p>
        </w:tc>
        <w:tc>
          <w:tcPr>
            <w:tcW w:w="1784" w:type="dxa"/>
            <w:shd w:val="clear" w:color="auto" w:fill="auto"/>
          </w:tcPr>
          <w:p w:rsidR="001A5E16" w:rsidRPr="000A39B0" w:rsidRDefault="001A5E16" w:rsidP="00C81789">
            <w:pPr>
              <w:spacing w:before="120" w:after="120"/>
              <w:jc w:val="both"/>
              <w:rPr>
                <w:sz w:val="16"/>
                <w:szCs w:val="16"/>
                <w:lang w:val="en-US"/>
              </w:rPr>
            </w:pPr>
            <w:r w:rsidRPr="000A39B0">
              <w:rPr>
                <w:sz w:val="16"/>
                <w:szCs w:val="16"/>
                <w:lang w:val="en-US"/>
              </w:rPr>
              <w:t>154 223</w:t>
            </w:r>
          </w:p>
        </w:tc>
      </w:tr>
    </w:tbl>
    <w:p w:rsidR="00CF2709" w:rsidRDefault="00CF2709" w:rsidP="00CF2709">
      <w:pPr>
        <w:jc w:val="both"/>
        <w:rPr>
          <w:lang w:val="en-US"/>
        </w:rPr>
      </w:pPr>
    </w:p>
    <w:p w:rsidR="001A5E16" w:rsidRPr="0057067F" w:rsidRDefault="001A5E16" w:rsidP="00F324DE">
      <w:pPr>
        <w:pStyle w:val="textbasic"/>
      </w:pPr>
      <w:r>
        <w:t>Table 2</w:t>
      </w:r>
      <w:r w:rsidRPr="0057067F">
        <w:t xml:space="preserve"> shows the change in </w:t>
      </w:r>
      <w:r w:rsidR="00C81789">
        <w:t>the bas</w:t>
      </w:r>
      <w:r w:rsidR="00E81345">
        <w:t>ic</w:t>
      </w:r>
      <w:r w:rsidR="00C81789">
        <w:t xml:space="preserve"> </w:t>
      </w:r>
      <w:r w:rsidRPr="0057067F">
        <w:t xml:space="preserve">salary levels </w:t>
      </w:r>
      <w:r w:rsidR="00C81789">
        <w:t xml:space="preserve">for members </w:t>
      </w:r>
      <w:r w:rsidRPr="0057067F">
        <w:t xml:space="preserve">of the various </w:t>
      </w:r>
      <w:r>
        <w:t>Australian p</w:t>
      </w:r>
      <w:r w:rsidRPr="0057067F">
        <w:t>arliaments since 1996.</w:t>
      </w:r>
    </w:p>
    <w:p w:rsidR="00340799" w:rsidRPr="00292C8B" w:rsidRDefault="00725574" w:rsidP="00725574">
      <w:pPr>
        <w:pStyle w:val="TableTitlemain"/>
      </w:pPr>
      <w:r>
        <w:t>Table 2</w:t>
      </w:r>
      <w:r>
        <w:tab/>
      </w:r>
      <w:r w:rsidR="00340799" w:rsidRPr="00292C8B">
        <w:t>Comparison of basic salary for each Australian Parliament 1996</w:t>
      </w:r>
      <w:r w:rsidR="00340799">
        <w:t xml:space="preserve">, 2013 and </w:t>
      </w:r>
      <w:r w:rsidR="001A5E16">
        <w:t>current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605"/>
        <w:gridCol w:w="1606"/>
        <w:gridCol w:w="1667"/>
        <w:gridCol w:w="1701"/>
        <w:gridCol w:w="1701"/>
      </w:tblGrid>
      <w:tr w:rsidR="00340799" w:rsidRPr="00340799" w:rsidTr="00327CCC">
        <w:trPr>
          <w:cantSplit/>
          <w:tblHeader/>
        </w:trPr>
        <w:tc>
          <w:tcPr>
            <w:tcW w:w="1926" w:type="dxa"/>
            <w:shd w:val="clear" w:color="auto" w:fill="D9D9D9" w:themeFill="background1" w:themeFillShade="D9"/>
          </w:tcPr>
          <w:p w:rsidR="00340799" w:rsidRPr="00340799" w:rsidRDefault="00C771AD" w:rsidP="00C81789">
            <w:pPr>
              <w:spacing w:before="120" w:after="120"/>
              <w:jc w:val="both"/>
              <w:rPr>
                <w:b/>
                <w:sz w:val="16"/>
                <w:szCs w:val="16"/>
              </w:rPr>
            </w:pPr>
            <w:r w:rsidRPr="00CF2709">
              <w:rPr>
                <w:b/>
                <w:sz w:val="16"/>
                <w:szCs w:val="16"/>
                <w:lang w:val="en-US"/>
              </w:rPr>
              <w:t>Jurisdiction</w:t>
            </w:r>
          </w:p>
        </w:tc>
        <w:tc>
          <w:tcPr>
            <w:tcW w:w="1605" w:type="dxa"/>
            <w:shd w:val="clear" w:color="auto" w:fill="D9D9D9" w:themeFill="background1" w:themeFillShade="D9"/>
          </w:tcPr>
          <w:p w:rsidR="00340799" w:rsidRPr="00340799" w:rsidRDefault="00340799" w:rsidP="00C81789">
            <w:pPr>
              <w:spacing w:before="120" w:after="120"/>
              <w:jc w:val="center"/>
              <w:rPr>
                <w:b/>
                <w:sz w:val="16"/>
                <w:szCs w:val="16"/>
              </w:rPr>
            </w:pPr>
            <w:r w:rsidRPr="00340799">
              <w:rPr>
                <w:b/>
                <w:sz w:val="16"/>
                <w:szCs w:val="16"/>
              </w:rPr>
              <w:t xml:space="preserve">Basic salary as at </w:t>
            </w:r>
            <w:r>
              <w:rPr>
                <w:b/>
                <w:sz w:val="16"/>
                <w:szCs w:val="16"/>
              </w:rPr>
              <w:br/>
            </w:r>
            <w:r w:rsidRPr="00340799">
              <w:rPr>
                <w:b/>
                <w:sz w:val="16"/>
                <w:szCs w:val="16"/>
              </w:rPr>
              <w:t>30 June 1996</w:t>
            </w:r>
            <w:r w:rsidR="00C771AD">
              <w:rPr>
                <w:b/>
                <w:sz w:val="16"/>
                <w:szCs w:val="16"/>
              </w:rPr>
              <w:br/>
              <w:t>$pa</w:t>
            </w:r>
          </w:p>
        </w:tc>
        <w:tc>
          <w:tcPr>
            <w:tcW w:w="1606" w:type="dxa"/>
            <w:shd w:val="clear" w:color="auto" w:fill="D9D9D9" w:themeFill="background1" w:themeFillShade="D9"/>
          </w:tcPr>
          <w:p w:rsidR="00340799" w:rsidRPr="00340799" w:rsidRDefault="00340799" w:rsidP="00C81789">
            <w:pPr>
              <w:spacing w:before="120" w:after="120"/>
              <w:jc w:val="center"/>
              <w:rPr>
                <w:b/>
                <w:sz w:val="16"/>
                <w:szCs w:val="16"/>
                <w:lang w:val="en-US"/>
              </w:rPr>
            </w:pPr>
            <w:r w:rsidRPr="00340799">
              <w:rPr>
                <w:b/>
                <w:sz w:val="16"/>
                <w:szCs w:val="16"/>
                <w:lang w:val="en-US"/>
              </w:rPr>
              <w:t xml:space="preserve">Basic salary </w:t>
            </w:r>
            <w:r w:rsidRPr="00340799">
              <w:rPr>
                <w:b/>
                <w:sz w:val="16"/>
                <w:szCs w:val="16"/>
                <w:lang w:val="en-US"/>
              </w:rPr>
              <w:br/>
              <w:t xml:space="preserve">as at </w:t>
            </w:r>
            <w:r w:rsidRPr="00340799">
              <w:rPr>
                <w:b/>
                <w:sz w:val="16"/>
                <w:szCs w:val="16"/>
                <w:lang w:val="en-US"/>
              </w:rPr>
              <w:br/>
              <w:t>1 July 2013</w:t>
            </w:r>
            <w:r w:rsidR="00C771AD">
              <w:rPr>
                <w:b/>
                <w:sz w:val="16"/>
                <w:szCs w:val="16"/>
                <w:lang w:val="en-US"/>
              </w:rPr>
              <w:br/>
            </w:r>
            <w:r w:rsidRPr="00340799">
              <w:rPr>
                <w:b/>
                <w:sz w:val="16"/>
                <w:szCs w:val="16"/>
                <w:lang w:val="en-US"/>
              </w:rPr>
              <w:t>$pa</w:t>
            </w:r>
          </w:p>
        </w:tc>
        <w:tc>
          <w:tcPr>
            <w:tcW w:w="1667" w:type="dxa"/>
            <w:shd w:val="clear" w:color="auto" w:fill="D9D9D9" w:themeFill="background1" w:themeFillShade="D9"/>
          </w:tcPr>
          <w:p w:rsidR="00340799" w:rsidRPr="00340799" w:rsidRDefault="00C771AD" w:rsidP="00E81345">
            <w:pPr>
              <w:spacing w:before="120" w:after="120"/>
              <w:jc w:val="center"/>
              <w:rPr>
                <w:b/>
                <w:sz w:val="16"/>
                <w:szCs w:val="16"/>
              </w:rPr>
            </w:pPr>
            <w:r>
              <w:rPr>
                <w:b/>
                <w:sz w:val="16"/>
                <w:szCs w:val="16"/>
              </w:rPr>
              <w:t>B</w:t>
            </w:r>
            <w:r w:rsidR="00340799" w:rsidRPr="00340799">
              <w:rPr>
                <w:b/>
                <w:sz w:val="16"/>
                <w:szCs w:val="16"/>
              </w:rPr>
              <w:t xml:space="preserve">asic salary </w:t>
            </w:r>
            <w:r>
              <w:rPr>
                <w:b/>
                <w:sz w:val="16"/>
                <w:szCs w:val="16"/>
              </w:rPr>
              <w:br/>
            </w:r>
            <w:r w:rsidR="00E81345">
              <w:rPr>
                <w:b/>
                <w:sz w:val="16"/>
                <w:szCs w:val="16"/>
              </w:rPr>
              <w:t>c</w:t>
            </w:r>
            <w:r w:rsidRPr="00340799">
              <w:rPr>
                <w:b/>
                <w:sz w:val="16"/>
                <w:szCs w:val="16"/>
              </w:rPr>
              <w:t>urrent</w:t>
            </w:r>
            <w:r>
              <w:rPr>
                <w:b/>
                <w:sz w:val="16"/>
                <w:szCs w:val="16"/>
              </w:rPr>
              <w:br/>
              <w:t>$pa</w:t>
            </w:r>
          </w:p>
        </w:tc>
        <w:tc>
          <w:tcPr>
            <w:tcW w:w="1701" w:type="dxa"/>
            <w:shd w:val="clear" w:color="auto" w:fill="D9D9D9" w:themeFill="background1" w:themeFillShade="D9"/>
          </w:tcPr>
          <w:p w:rsidR="00340799" w:rsidRPr="00340799" w:rsidRDefault="00340799" w:rsidP="00C81789">
            <w:pPr>
              <w:spacing w:before="120" w:after="120"/>
              <w:jc w:val="center"/>
              <w:rPr>
                <w:b/>
                <w:sz w:val="16"/>
                <w:szCs w:val="16"/>
              </w:rPr>
            </w:pPr>
            <w:r w:rsidRPr="00340799">
              <w:rPr>
                <w:b/>
                <w:sz w:val="16"/>
                <w:szCs w:val="16"/>
              </w:rPr>
              <w:t xml:space="preserve">% increase 1996 to </w:t>
            </w:r>
            <w:r w:rsidR="00C771AD">
              <w:rPr>
                <w:b/>
                <w:sz w:val="16"/>
                <w:szCs w:val="16"/>
              </w:rPr>
              <w:br/>
            </w:r>
            <w:r w:rsidRPr="00340799">
              <w:rPr>
                <w:b/>
                <w:sz w:val="16"/>
                <w:szCs w:val="16"/>
              </w:rPr>
              <w:t>current</w:t>
            </w:r>
          </w:p>
        </w:tc>
        <w:tc>
          <w:tcPr>
            <w:tcW w:w="1701" w:type="dxa"/>
            <w:shd w:val="clear" w:color="auto" w:fill="D9D9D9" w:themeFill="background1" w:themeFillShade="D9"/>
          </w:tcPr>
          <w:p w:rsidR="00340799" w:rsidRPr="00340799" w:rsidRDefault="00340799" w:rsidP="00C81789">
            <w:pPr>
              <w:spacing w:before="120" w:after="120"/>
              <w:jc w:val="center"/>
              <w:rPr>
                <w:b/>
                <w:sz w:val="16"/>
                <w:szCs w:val="16"/>
              </w:rPr>
            </w:pPr>
            <w:r w:rsidRPr="00340799">
              <w:rPr>
                <w:b/>
                <w:sz w:val="16"/>
                <w:szCs w:val="16"/>
              </w:rPr>
              <w:t xml:space="preserve">% increase 2013 to </w:t>
            </w:r>
            <w:r w:rsidR="00C771AD">
              <w:rPr>
                <w:b/>
                <w:sz w:val="16"/>
                <w:szCs w:val="16"/>
              </w:rPr>
              <w:br/>
            </w:r>
            <w:r w:rsidRPr="00340799">
              <w:rPr>
                <w:b/>
                <w:sz w:val="16"/>
                <w:szCs w:val="16"/>
              </w:rPr>
              <w:t>current</w:t>
            </w:r>
          </w:p>
        </w:tc>
      </w:tr>
      <w:tr w:rsidR="001A5E16" w:rsidRPr="001A5E16" w:rsidTr="00DF3851">
        <w:trPr>
          <w:cantSplit/>
        </w:trPr>
        <w:tc>
          <w:tcPr>
            <w:tcW w:w="1926" w:type="dxa"/>
            <w:shd w:val="clear" w:color="auto" w:fill="auto"/>
            <w:vAlign w:val="center"/>
          </w:tcPr>
          <w:p w:rsidR="001A5E16" w:rsidRPr="00292C8B" w:rsidRDefault="001A5E16" w:rsidP="00C81789">
            <w:pPr>
              <w:spacing w:before="120" w:after="120"/>
              <w:rPr>
                <w:sz w:val="16"/>
                <w:szCs w:val="16"/>
              </w:rPr>
            </w:pPr>
            <w:r w:rsidRPr="00292C8B">
              <w:rPr>
                <w:sz w:val="16"/>
                <w:szCs w:val="16"/>
              </w:rPr>
              <w:t>Commonwealth</w:t>
            </w:r>
          </w:p>
        </w:tc>
        <w:tc>
          <w:tcPr>
            <w:tcW w:w="1605" w:type="dxa"/>
            <w:shd w:val="clear" w:color="auto" w:fill="auto"/>
            <w:vAlign w:val="center"/>
          </w:tcPr>
          <w:p w:rsidR="001A5E16" w:rsidRPr="001A5E16" w:rsidRDefault="001A5E16" w:rsidP="00C81789">
            <w:pPr>
              <w:spacing w:before="120" w:after="120"/>
              <w:jc w:val="center"/>
              <w:rPr>
                <w:color w:val="000000"/>
                <w:sz w:val="16"/>
                <w:szCs w:val="16"/>
              </w:rPr>
            </w:pPr>
            <w:r w:rsidRPr="001A5E16">
              <w:rPr>
                <w:color w:val="000000"/>
                <w:sz w:val="16"/>
                <w:szCs w:val="16"/>
              </w:rPr>
              <w:t>80</w:t>
            </w:r>
            <w:r>
              <w:rPr>
                <w:color w:val="000000"/>
                <w:sz w:val="16"/>
                <w:szCs w:val="16"/>
              </w:rPr>
              <w:t xml:space="preserve"> </w:t>
            </w:r>
            <w:r w:rsidRPr="001A5E16">
              <w:rPr>
                <w:color w:val="000000"/>
                <w:sz w:val="16"/>
                <w:szCs w:val="16"/>
              </w:rPr>
              <w:t>251</w:t>
            </w:r>
          </w:p>
        </w:tc>
        <w:tc>
          <w:tcPr>
            <w:tcW w:w="1606" w:type="dxa"/>
            <w:vAlign w:val="center"/>
          </w:tcPr>
          <w:p w:rsidR="001A5E16" w:rsidRPr="001A5E16" w:rsidRDefault="001A5E16" w:rsidP="00C81789">
            <w:pPr>
              <w:spacing w:before="120" w:after="120"/>
              <w:jc w:val="center"/>
              <w:rPr>
                <w:color w:val="000000"/>
                <w:sz w:val="16"/>
                <w:szCs w:val="16"/>
              </w:rPr>
            </w:pPr>
            <w:r w:rsidRPr="001A5E16">
              <w:rPr>
                <w:color w:val="000000"/>
                <w:sz w:val="16"/>
                <w:szCs w:val="16"/>
                <w:lang w:val="en-US"/>
              </w:rPr>
              <w:t>195</w:t>
            </w:r>
            <w:r>
              <w:rPr>
                <w:color w:val="000000"/>
                <w:sz w:val="16"/>
                <w:szCs w:val="16"/>
                <w:lang w:val="en-US"/>
              </w:rPr>
              <w:t xml:space="preserve"> </w:t>
            </w:r>
            <w:r w:rsidRPr="001A5E16">
              <w:rPr>
                <w:color w:val="000000"/>
                <w:sz w:val="16"/>
                <w:szCs w:val="16"/>
                <w:lang w:val="en-US"/>
              </w:rPr>
              <w:t>130</w:t>
            </w:r>
          </w:p>
        </w:tc>
        <w:tc>
          <w:tcPr>
            <w:tcW w:w="1667" w:type="dxa"/>
            <w:shd w:val="clear" w:color="auto" w:fill="auto"/>
            <w:vAlign w:val="center"/>
          </w:tcPr>
          <w:p w:rsidR="001A5E16" w:rsidRPr="001A5E16" w:rsidRDefault="001A5E16" w:rsidP="001D1D6C">
            <w:pPr>
              <w:spacing w:before="120" w:after="120"/>
              <w:jc w:val="center"/>
              <w:rPr>
                <w:color w:val="000000"/>
                <w:sz w:val="16"/>
                <w:szCs w:val="16"/>
              </w:rPr>
            </w:pPr>
            <w:r w:rsidRPr="001A5E16">
              <w:rPr>
                <w:color w:val="000000"/>
                <w:sz w:val="16"/>
                <w:szCs w:val="16"/>
              </w:rPr>
              <w:t>19</w:t>
            </w:r>
            <w:r w:rsidR="001D1D6C">
              <w:rPr>
                <w:color w:val="000000"/>
                <w:sz w:val="16"/>
                <w:szCs w:val="16"/>
              </w:rPr>
              <w:t>9</w:t>
            </w:r>
            <w:r>
              <w:rPr>
                <w:color w:val="000000"/>
                <w:sz w:val="16"/>
                <w:szCs w:val="16"/>
              </w:rPr>
              <w:t xml:space="preserve"> </w:t>
            </w:r>
            <w:r w:rsidR="001D1D6C">
              <w:rPr>
                <w:color w:val="000000"/>
                <w:sz w:val="16"/>
                <w:szCs w:val="16"/>
              </w:rPr>
              <w:t>04</w:t>
            </w:r>
            <w:r w:rsidRPr="001A5E16">
              <w:rPr>
                <w:color w:val="000000"/>
                <w:sz w:val="16"/>
                <w:szCs w:val="16"/>
              </w:rPr>
              <w:t>0</w:t>
            </w:r>
          </w:p>
        </w:tc>
        <w:tc>
          <w:tcPr>
            <w:tcW w:w="1701" w:type="dxa"/>
            <w:shd w:val="clear" w:color="auto" w:fill="auto"/>
            <w:vAlign w:val="center"/>
          </w:tcPr>
          <w:p w:rsidR="001A5E16" w:rsidRPr="001A5E16" w:rsidRDefault="001A5E16" w:rsidP="001D1D6C">
            <w:pPr>
              <w:spacing w:before="120" w:after="120"/>
              <w:jc w:val="center"/>
              <w:rPr>
                <w:color w:val="000000"/>
                <w:sz w:val="16"/>
                <w:szCs w:val="16"/>
              </w:rPr>
            </w:pPr>
            <w:r w:rsidRPr="001A5E16">
              <w:rPr>
                <w:color w:val="000000"/>
                <w:sz w:val="16"/>
                <w:szCs w:val="16"/>
              </w:rPr>
              <w:t>14</w:t>
            </w:r>
            <w:r w:rsidR="001D1D6C">
              <w:rPr>
                <w:color w:val="000000"/>
                <w:sz w:val="16"/>
                <w:szCs w:val="16"/>
              </w:rPr>
              <w:t>8</w:t>
            </w:r>
            <w:r w:rsidRPr="001A5E16">
              <w:rPr>
                <w:color w:val="000000"/>
                <w:sz w:val="16"/>
                <w:szCs w:val="16"/>
              </w:rPr>
              <w:t>.</w:t>
            </w:r>
            <w:r w:rsidR="001D1D6C">
              <w:rPr>
                <w:color w:val="000000"/>
                <w:sz w:val="16"/>
                <w:szCs w:val="16"/>
              </w:rPr>
              <w:t>02</w:t>
            </w:r>
            <w:r w:rsidRPr="001A5E16">
              <w:rPr>
                <w:color w:val="000000"/>
                <w:sz w:val="16"/>
                <w:szCs w:val="16"/>
              </w:rPr>
              <w:t>%</w:t>
            </w:r>
          </w:p>
        </w:tc>
        <w:tc>
          <w:tcPr>
            <w:tcW w:w="1701" w:type="dxa"/>
            <w:vAlign w:val="center"/>
          </w:tcPr>
          <w:p w:rsidR="001A5E16" w:rsidRPr="001A5E16" w:rsidRDefault="001D1D6C" w:rsidP="00C81789">
            <w:pPr>
              <w:spacing w:before="120" w:after="120"/>
              <w:jc w:val="center"/>
              <w:rPr>
                <w:color w:val="000000"/>
                <w:sz w:val="16"/>
                <w:szCs w:val="16"/>
              </w:rPr>
            </w:pPr>
            <w:r>
              <w:rPr>
                <w:color w:val="000000"/>
                <w:sz w:val="16"/>
                <w:szCs w:val="16"/>
              </w:rPr>
              <w:t>2</w:t>
            </w:r>
            <w:r w:rsidR="001A5E16" w:rsidRPr="001A5E16">
              <w:rPr>
                <w:color w:val="000000"/>
                <w:sz w:val="16"/>
                <w:szCs w:val="16"/>
              </w:rPr>
              <w:t>.00%</w:t>
            </w:r>
          </w:p>
        </w:tc>
      </w:tr>
      <w:tr w:rsidR="001A5E16" w:rsidRPr="001A5E16" w:rsidTr="00DF3851">
        <w:trPr>
          <w:cantSplit/>
        </w:trPr>
        <w:tc>
          <w:tcPr>
            <w:tcW w:w="1926" w:type="dxa"/>
            <w:shd w:val="clear" w:color="auto" w:fill="auto"/>
            <w:vAlign w:val="center"/>
          </w:tcPr>
          <w:p w:rsidR="001A5E16" w:rsidRPr="00292C8B" w:rsidRDefault="001A5E16" w:rsidP="00C81789">
            <w:pPr>
              <w:spacing w:before="120" w:after="120"/>
              <w:rPr>
                <w:sz w:val="16"/>
                <w:szCs w:val="16"/>
              </w:rPr>
            </w:pPr>
            <w:r w:rsidRPr="00292C8B">
              <w:rPr>
                <w:sz w:val="16"/>
                <w:szCs w:val="16"/>
              </w:rPr>
              <w:t>ACT</w:t>
            </w:r>
          </w:p>
        </w:tc>
        <w:tc>
          <w:tcPr>
            <w:tcW w:w="1605" w:type="dxa"/>
            <w:shd w:val="clear" w:color="auto" w:fill="auto"/>
            <w:vAlign w:val="center"/>
          </w:tcPr>
          <w:p w:rsidR="001A5E16" w:rsidRPr="001A5E16" w:rsidRDefault="001A5E16" w:rsidP="00C81789">
            <w:pPr>
              <w:spacing w:before="120" w:after="120"/>
              <w:jc w:val="center"/>
              <w:rPr>
                <w:color w:val="000000"/>
                <w:sz w:val="16"/>
                <w:szCs w:val="16"/>
              </w:rPr>
            </w:pPr>
            <w:r w:rsidRPr="001A5E16">
              <w:rPr>
                <w:color w:val="000000"/>
                <w:sz w:val="16"/>
                <w:szCs w:val="16"/>
              </w:rPr>
              <w:t>58</w:t>
            </w:r>
            <w:r>
              <w:rPr>
                <w:color w:val="000000"/>
                <w:sz w:val="16"/>
                <w:szCs w:val="16"/>
              </w:rPr>
              <w:t xml:space="preserve"> </w:t>
            </w:r>
            <w:r w:rsidRPr="001A5E16">
              <w:rPr>
                <w:color w:val="000000"/>
                <w:sz w:val="16"/>
                <w:szCs w:val="16"/>
              </w:rPr>
              <w:t>264</w:t>
            </w:r>
          </w:p>
        </w:tc>
        <w:tc>
          <w:tcPr>
            <w:tcW w:w="1606" w:type="dxa"/>
            <w:vAlign w:val="center"/>
          </w:tcPr>
          <w:p w:rsidR="001A5E16" w:rsidRPr="001A5E16" w:rsidRDefault="001A5E16" w:rsidP="00C81789">
            <w:pPr>
              <w:spacing w:before="120" w:after="120"/>
              <w:jc w:val="center"/>
              <w:rPr>
                <w:color w:val="000000"/>
                <w:sz w:val="16"/>
                <w:szCs w:val="16"/>
              </w:rPr>
            </w:pPr>
            <w:r w:rsidRPr="001A5E16">
              <w:rPr>
                <w:color w:val="000000"/>
                <w:sz w:val="16"/>
                <w:szCs w:val="16"/>
                <w:lang w:val="en-US"/>
              </w:rPr>
              <w:t>125</w:t>
            </w:r>
            <w:r>
              <w:rPr>
                <w:color w:val="000000"/>
                <w:sz w:val="16"/>
                <w:szCs w:val="16"/>
                <w:lang w:val="en-US"/>
              </w:rPr>
              <w:t xml:space="preserve"> </w:t>
            </w:r>
            <w:r w:rsidRPr="001A5E16">
              <w:rPr>
                <w:color w:val="000000"/>
                <w:sz w:val="16"/>
                <w:szCs w:val="16"/>
                <w:lang w:val="en-US"/>
              </w:rPr>
              <w:t>259</w:t>
            </w:r>
          </w:p>
        </w:tc>
        <w:tc>
          <w:tcPr>
            <w:tcW w:w="1667" w:type="dxa"/>
            <w:shd w:val="clear" w:color="auto" w:fill="auto"/>
            <w:vAlign w:val="center"/>
          </w:tcPr>
          <w:p w:rsidR="001A5E16" w:rsidRPr="001A5E16" w:rsidRDefault="001A5E16" w:rsidP="00C81789">
            <w:pPr>
              <w:spacing w:before="120" w:after="120"/>
              <w:jc w:val="center"/>
              <w:rPr>
                <w:color w:val="000000"/>
                <w:sz w:val="16"/>
                <w:szCs w:val="16"/>
              </w:rPr>
            </w:pPr>
            <w:r w:rsidRPr="001A5E16">
              <w:rPr>
                <w:color w:val="000000"/>
                <w:sz w:val="16"/>
                <w:szCs w:val="16"/>
              </w:rPr>
              <w:t>136</w:t>
            </w:r>
            <w:r>
              <w:rPr>
                <w:color w:val="000000"/>
                <w:sz w:val="16"/>
                <w:szCs w:val="16"/>
              </w:rPr>
              <w:t xml:space="preserve"> </w:t>
            </w:r>
            <w:r w:rsidRPr="001A5E16">
              <w:rPr>
                <w:color w:val="000000"/>
                <w:sz w:val="16"/>
                <w:szCs w:val="16"/>
              </w:rPr>
              <w:t>758</w:t>
            </w:r>
          </w:p>
        </w:tc>
        <w:tc>
          <w:tcPr>
            <w:tcW w:w="1701" w:type="dxa"/>
            <w:shd w:val="clear" w:color="auto" w:fill="auto"/>
            <w:vAlign w:val="center"/>
          </w:tcPr>
          <w:p w:rsidR="001A5E16" w:rsidRPr="001A5E16" w:rsidRDefault="001A5E16" w:rsidP="00C81789">
            <w:pPr>
              <w:spacing w:before="120" w:after="120"/>
              <w:jc w:val="center"/>
              <w:rPr>
                <w:color w:val="000000"/>
                <w:sz w:val="16"/>
                <w:szCs w:val="16"/>
              </w:rPr>
            </w:pPr>
            <w:r w:rsidRPr="001A5E16">
              <w:rPr>
                <w:color w:val="000000"/>
                <w:sz w:val="16"/>
                <w:szCs w:val="16"/>
              </w:rPr>
              <w:t>134.72%</w:t>
            </w:r>
          </w:p>
        </w:tc>
        <w:tc>
          <w:tcPr>
            <w:tcW w:w="1701" w:type="dxa"/>
            <w:vAlign w:val="center"/>
          </w:tcPr>
          <w:p w:rsidR="001A5E16" w:rsidRPr="001A5E16" w:rsidRDefault="001A5E16" w:rsidP="00C81789">
            <w:pPr>
              <w:spacing w:before="120" w:after="120"/>
              <w:jc w:val="center"/>
              <w:rPr>
                <w:color w:val="000000"/>
                <w:sz w:val="16"/>
                <w:szCs w:val="16"/>
              </w:rPr>
            </w:pPr>
            <w:r w:rsidRPr="001A5E16">
              <w:rPr>
                <w:color w:val="000000"/>
                <w:sz w:val="16"/>
                <w:szCs w:val="16"/>
              </w:rPr>
              <w:t>9.18%</w:t>
            </w:r>
          </w:p>
        </w:tc>
      </w:tr>
      <w:tr w:rsidR="001A5E16" w:rsidRPr="001A5E16" w:rsidTr="00DF3851">
        <w:trPr>
          <w:cantSplit/>
        </w:trPr>
        <w:tc>
          <w:tcPr>
            <w:tcW w:w="1926" w:type="dxa"/>
            <w:shd w:val="clear" w:color="auto" w:fill="auto"/>
            <w:vAlign w:val="center"/>
          </w:tcPr>
          <w:p w:rsidR="001A5E16" w:rsidRPr="00292C8B" w:rsidRDefault="001A5E16" w:rsidP="00C81789">
            <w:pPr>
              <w:spacing w:before="120" w:after="120"/>
              <w:rPr>
                <w:sz w:val="16"/>
                <w:szCs w:val="16"/>
              </w:rPr>
            </w:pPr>
            <w:r w:rsidRPr="00292C8B">
              <w:rPr>
                <w:sz w:val="16"/>
                <w:szCs w:val="16"/>
              </w:rPr>
              <w:t>NSW</w:t>
            </w:r>
          </w:p>
        </w:tc>
        <w:tc>
          <w:tcPr>
            <w:tcW w:w="1605" w:type="dxa"/>
            <w:shd w:val="clear" w:color="auto" w:fill="auto"/>
            <w:vAlign w:val="center"/>
          </w:tcPr>
          <w:p w:rsidR="001A5E16" w:rsidRPr="001A5E16" w:rsidRDefault="001A5E16" w:rsidP="00C81789">
            <w:pPr>
              <w:spacing w:before="120" w:after="120"/>
              <w:jc w:val="center"/>
              <w:rPr>
                <w:color w:val="000000"/>
                <w:sz w:val="16"/>
                <w:szCs w:val="16"/>
              </w:rPr>
            </w:pPr>
            <w:r w:rsidRPr="001A5E16">
              <w:rPr>
                <w:color w:val="000000"/>
                <w:sz w:val="16"/>
                <w:szCs w:val="16"/>
              </w:rPr>
              <w:t>79</w:t>
            </w:r>
            <w:r>
              <w:rPr>
                <w:color w:val="000000"/>
                <w:sz w:val="16"/>
                <w:szCs w:val="16"/>
              </w:rPr>
              <w:t xml:space="preserve"> </w:t>
            </w:r>
            <w:r w:rsidRPr="001A5E16">
              <w:rPr>
                <w:color w:val="000000"/>
                <w:sz w:val="16"/>
                <w:szCs w:val="16"/>
              </w:rPr>
              <w:t>751</w:t>
            </w:r>
          </w:p>
        </w:tc>
        <w:tc>
          <w:tcPr>
            <w:tcW w:w="1606" w:type="dxa"/>
            <w:vAlign w:val="center"/>
          </w:tcPr>
          <w:p w:rsidR="001A5E16" w:rsidRPr="001A5E16" w:rsidRDefault="001A5E16" w:rsidP="00C81789">
            <w:pPr>
              <w:spacing w:before="120" w:after="120"/>
              <w:jc w:val="center"/>
              <w:rPr>
                <w:color w:val="000000"/>
                <w:sz w:val="16"/>
                <w:szCs w:val="16"/>
              </w:rPr>
            </w:pPr>
            <w:r w:rsidRPr="001A5E16">
              <w:rPr>
                <w:color w:val="000000"/>
                <w:sz w:val="16"/>
                <w:szCs w:val="16"/>
                <w:lang w:val="en-US"/>
              </w:rPr>
              <w:t>146</w:t>
            </w:r>
            <w:r>
              <w:rPr>
                <w:color w:val="000000"/>
                <w:sz w:val="16"/>
                <w:szCs w:val="16"/>
                <w:lang w:val="en-US"/>
              </w:rPr>
              <w:t xml:space="preserve"> </w:t>
            </w:r>
            <w:r w:rsidRPr="001A5E16">
              <w:rPr>
                <w:color w:val="000000"/>
                <w:sz w:val="16"/>
                <w:szCs w:val="16"/>
                <w:lang w:val="en-US"/>
              </w:rPr>
              <w:t>251</w:t>
            </w:r>
          </w:p>
        </w:tc>
        <w:tc>
          <w:tcPr>
            <w:tcW w:w="1667" w:type="dxa"/>
            <w:shd w:val="clear" w:color="auto" w:fill="auto"/>
            <w:vAlign w:val="center"/>
          </w:tcPr>
          <w:p w:rsidR="001A5E16" w:rsidRPr="001A5E16" w:rsidRDefault="001A5E16" w:rsidP="00C81789">
            <w:pPr>
              <w:spacing w:before="120" w:after="120"/>
              <w:jc w:val="center"/>
              <w:rPr>
                <w:color w:val="000000"/>
                <w:sz w:val="16"/>
                <w:szCs w:val="16"/>
              </w:rPr>
            </w:pPr>
            <w:r w:rsidRPr="001A5E16">
              <w:rPr>
                <w:color w:val="000000"/>
                <w:sz w:val="16"/>
                <w:szCs w:val="16"/>
              </w:rPr>
              <w:t>153</w:t>
            </w:r>
            <w:r>
              <w:rPr>
                <w:color w:val="000000"/>
                <w:sz w:val="16"/>
                <w:szCs w:val="16"/>
              </w:rPr>
              <w:t xml:space="preserve"> </w:t>
            </w:r>
            <w:r w:rsidRPr="001A5E16">
              <w:rPr>
                <w:color w:val="000000"/>
                <w:sz w:val="16"/>
                <w:szCs w:val="16"/>
              </w:rPr>
              <w:t>280</w:t>
            </w:r>
          </w:p>
        </w:tc>
        <w:tc>
          <w:tcPr>
            <w:tcW w:w="1701" w:type="dxa"/>
            <w:shd w:val="clear" w:color="auto" w:fill="auto"/>
            <w:vAlign w:val="center"/>
          </w:tcPr>
          <w:p w:rsidR="001A5E16" w:rsidRPr="001A5E16" w:rsidRDefault="001A5E16" w:rsidP="00C81789">
            <w:pPr>
              <w:spacing w:before="120" w:after="120"/>
              <w:jc w:val="center"/>
              <w:rPr>
                <w:color w:val="000000"/>
                <w:sz w:val="16"/>
                <w:szCs w:val="16"/>
              </w:rPr>
            </w:pPr>
            <w:r w:rsidRPr="001A5E16">
              <w:rPr>
                <w:color w:val="000000"/>
                <w:sz w:val="16"/>
                <w:szCs w:val="16"/>
              </w:rPr>
              <w:t>92.20%</w:t>
            </w:r>
          </w:p>
        </w:tc>
        <w:tc>
          <w:tcPr>
            <w:tcW w:w="1701" w:type="dxa"/>
            <w:vAlign w:val="center"/>
          </w:tcPr>
          <w:p w:rsidR="001A5E16" w:rsidRPr="001A5E16" w:rsidRDefault="001A5E16" w:rsidP="00C81789">
            <w:pPr>
              <w:spacing w:before="120" w:after="120"/>
              <w:jc w:val="center"/>
              <w:rPr>
                <w:color w:val="000000"/>
                <w:sz w:val="16"/>
                <w:szCs w:val="16"/>
              </w:rPr>
            </w:pPr>
            <w:r w:rsidRPr="001A5E16">
              <w:rPr>
                <w:color w:val="000000"/>
                <w:sz w:val="16"/>
                <w:szCs w:val="16"/>
              </w:rPr>
              <w:t>4.81%</w:t>
            </w:r>
          </w:p>
        </w:tc>
      </w:tr>
      <w:tr w:rsidR="001A5E16" w:rsidRPr="001A5E16" w:rsidTr="00DF3851">
        <w:trPr>
          <w:cantSplit/>
        </w:trPr>
        <w:tc>
          <w:tcPr>
            <w:tcW w:w="1926" w:type="dxa"/>
            <w:shd w:val="clear" w:color="auto" w:fill="auto"/>
            <w:vAlign w:val="center"/>
          </w:tcPr>
          <w:p w:rsidR="001A5E16" w:rsidRPr="00292C8B" w:rsidRDefault="001A5E16" w:rsidP="00C81789">
            <w:pPr>
              <w:spacing w:before="120" w:after="120"/>
              <w:rPr>
                <w:sz w:val="16"/>
                <w:szCs w:val="16"/>
              </w:rPr>
            </w:pPr>
            <w:r w:rsidRPr="00292C8B">
              <w:rPr>
                <w:sz w:val="16"/>
                <w:szCs w:val="16"/>
              </w:rPr>
              <w:t>Northern Territory</w:t>
            </w:r>
          </w:p>
        </w:tc>
        <w:tc>
          <w:tcPr>
            <w:tcW w:w="1605" w:type="dxa"/>
            <w:shd w:val="clear" w:color="auto" w:fill="auto"/>
            <w:vAlign w:val="center"/>
          </w:tcPr>
          <w:p w:rsidR="001A5E16" w:rsidRPr="001A5E16" w:rsidRDefault="001A5E16" w:rsidP="00C81789">
            <w:pPr>
              <w:spacing w:before="120" w:after="120"/>
              <w:jc w:val="center"/>
              <w:rPr>
                <w:color w:val="000000"/>
                <w:sz w:val="16"/>
                <w:szCs w:val="16"/>
              </w:rPr>
            </w:pPr>
            <w:r w:rsidRPr="001A5E16">
              <w:rPr>
                <w:color w:val="000000"/>
                <w:sz w:val="16"/>
                <w:szCs w:val="16"/>
              </w:rPr>
              <w:t>77</w:t>
            </w:r>
            <w:r>
              <w:rPr>
                <w:color w:val="000000"/>
                <w:sz w:val="16"/>
                <w:szCs w:val="16"/>
              </w:rPr>
              <w:t xml:space="preserve"> </w:t>
            </w:r>
            <w:r w:rsidRPr="001A5E16">
              <w:rPr>
                <w:color w:val="000000"/>
                <w:sz w:val="16"/>
                <w:szCs w:val="16"/>
              </w:rPr>
              <w:t>251</w:t>
            </w:r>
          </w:p>
        </w:tc>
        <w:tc>
          <w:tcPr>
            <w:tcW w:w="1606" w:type="dxa"/>
            <w:vAlign w:val="center"/>
          </w:tcPr>
          <w:p w:rsidR="001A5E16" w:rsidRPr="001A5E16" w:rsidRDefault="001A5E16" w:rsidP="00C81789">
            <w:pPr>
              <w:spacing w:before="120" w:after="120"/>
              <w:jc w:val="center"/>
              <w:rPr>
                <w:color w:val="000000"/>
                <w:sz w:val="16"/>
                <w:szCs w:val="16"/>
              </w:rPr>
            </w:pPr>
            <w:r w:rsidRPr="001A5E16">
              <w:rPr>
                <w:color w:val="000000"/>
                <w:sz w:val="16"/>
                <w:szCs w:val="16"/>
                <w:lang w:val="en-US"/>
              </w:rPr>
              <w:t>143</w:t>
            </w:r>
            <w:r>
              <w:rPr>
                <w:color w:val="000000"/>
                <w:sz w:val="16"/>
                <w:szCs w:val="16"/>
                <w:lang w:val="en-US"/>
              </w:rPr>
              <w:t xml:space="preserve"> </w:t>
            </w:r>
            <w:r w:rsidRPr="001A5E16">
              <w:rPr>
                <w:color w:val="000000"/>
                <w:sz w:val="16"/>
                <w:szCs w:val="16"/>
                <w:lang w:val="en-US"/>
              </w:rPr>
              <w:t>122</w:t>
            </w:r>
          </w:p>
        </w:tc>
        <w:tc>
          <w:tcPr>
            <w:tcW w:w="1667" w:type="dxa"/>
            <w:shd w:val="clear" w:color="auto" w:fill="auto"/>
            <w:vAlign w:val="center"/>
          </w:tcPr>
          <w:p w:rsidR="001A5E16" w:rsidRPr="001A5E16" w:rsidRDefault="001A5E16" w:rsidP="00C81789">
            <w:pPr>
              <w:spacing w:before="120" w:after="120"/>
              <w:jc w:val="center"/>
              <w:rPr>
                <w:color w:val="000000"/>
                <w:sz w:val="16"/>
                <w:szCs w:val="16"/>
              </w:rPr>
            </w:pPr>
            <w:r w:rsidRPr="001A5E16">
              <w:rPr>
                <w:color w:val="000000"/>
                <w:sz w:val="16"/>
                <w:szCs w:val="16"/>
              </w:rPr>
              <w:t>153</w:t>
            </w:r>
            <w:r>
              <w:rPr>
                <w:color w:val="000000"/>
                <w:sz w:val="16"/>
                <w:szCs w:val="16"/>
              </w:rPr>
              <w:t xml:space="preserve"> </w:t>
            </w:r>
            <w:r w:rsidRPr="001A5E16">
              <w:rPr>
                <w:color w:val="000000"/>
                <w:sz w:val="16"/>
                <w:szCs w:val="16"/>
              </w:rPr>
              <w:t>312</w:t>
            </w:r>
          </w:p>
        </w:tc>
        <w:tc>
          <w:tcPr>
            <w:tcW w:w="1701" w:type="dxa"/>
            <w:shd w:val="clear" w:color="auto" w:fill="auto"/>
            <w:vAlign w:val="center"/>
          </w:tcPr>
          <w:p w:rsidR="001A5E16" w:rsidRPr="001A5E16" w:rsidRDefault="001A5E16" w:rsidP="00DF3851">
            <w:pPr>
              <w:spacing w:before="120" w:after="120"/>
              <w:jc w:val="center"/>
              <w:rPr>
                <w:color w:val="000000"/>
                <w:sz w:val="16"/>
                <w:szCs w:val="16"/>
              </w:rPr>
            </w:pPr>
            <w:r w:rsidRPr="001A5E16">
              <w:rPr>
                <w:color w:val="000000"/>
                <w:sz w:val="16"/>
                <w:szCs w:val="16"/>
              </w:rPr>
              <w:t>98.46%</w:t>
            </w:r>
          </w:p>
        </w:tc>
        <w:tc>
          <w:tcPr>
            <w:tcW w:w="1701" w:type="dxa"/>
            <w:vAlign w:val="center"/>
          </w:tcPr>
          <w:p w:rsidR="001A5E16" w:rsidRPr="001A5E16" w:rsidRDefault="001A5E16" w:rsidP="00DF3851">
            <w:pPr>
              <w:spacing w:before="120" w:after="120"/>
              <w:jc w:val="center"/>
              <w:rPr>
                <w:color w:val="000000"/>
                <w:sz w:val="16"/>
                <w:szCs w:val="16"/>
              </w:rPr>
            </w:pPr>
            <w:r w:rsidRPr="001A5E16">
              <w:rPr>
                <w:color w:val="000000"/>
                <w:sz w:val="16"/>
                <w:szCs w:val="16"/>
              </w:rPr>
              <w:t>7.12%</w:t>
            </w:r>
          </w:p>
        </w:tc>
      </w:tr>
      <w:tr w:rsidR="00DF3851" w:rsidRPr="001A5E16" w:rsidTr="00DF3851">
        <w:trPr>
          <w:cantSplit/>
        </w:trPr>
        <w:tc>
          <w:tcPr>
            <w:tcW w:w="1926" w:type="dxa"/>
            <w:shd w:val="clear" w:color="auto" w:fill="auto"/>
            <w:vAlign w:val="center"/>
          </w:tcPr>
          <w:p w:rsidR="00DF3851" w:rsidRPr="00292C8B" w:rsidRDefault="00DF3851" w:rsidP="00C81789">
            <w:pPr>
              <w:spacing w:before="120" w:after="120"/>
              <w:rPr>
                <w:sz w:val="16"/>
                <w:szCs w:val="16"/>
              </w:rPr>
            </w:pPr>
            <w:r w:rsidRPr="00292C8B">
              <w:rPr>
                <w:sz w:val="16"/>
                <w:szCs w:val="16"/>
              </w:rPr>
              <w:lastRenderedPageBreak/>
              <w:t>Queensland</w:t>
            </w:r>
          </w:p>
        </w:tc>
        <w:tc>
          <w:tcPr>
            <w:tcW w:w="1605" w:type="dxa"/>
            <w:shd w:val="clear" w:color="auto" w:fill="auto"/>
            <w:vAlign w:val="center"/>
          </w:tcPr>
          <w:p w:rsidR="00DF3851" w:rsidRPr="001A5E16" w:rsidRDefault="00DF3851" w:rsidP="00C81789">
            <w:pPr>
              <w:spacing w:before="120" w:after="120"/>
              <w:jc w:val="center"/>
              <w:rPr>
                <w:color w:val="000000"/>
                <w:sz w:val="16"/>
                <w:szCs w:val="16"/>
              </w:rPr>
            </w:pPr>
            <w:r w:rsidRPr="001A5E16">
              <w:rPr>
                <w:color w:val="000000"/>
                <w:sz w:val="16"/>
                <w:szCs w:val="16"/>
              </w:rPr>
              <w:t>79</w:t>
            </w:r>
            <w:r>
              <w:rPr>
                <w:color w:val="000000"/>
                <w:sz w:val="16"/>
                <w:szCs w:val="16"/>
              </w:rPr>
              <w:t xml:space="preserve"> </w:t>
            </w:r>
            <w:r w:rsidRPr="001A5E16">
              <w:rPr>
                <w:color w:val="000000"/>
                <w:sz w:val="16"/>
                <w:szCs w:val="16"/>
              </w:rPr>
              <w:t>751</w:t>
            </w:r>
          </w:p>
        </w:tc>
        <w:tc>
          <w:tcPr>
            <w:tcW w:w="1606" w:type="dxa"/>
            <w:vAlign w:val="center"/>
          </w:tcPr>
          <w:p w:rsidR="00DF3851" w:rsidRPr="001A5E16" w:rsidRDefault="00DF3851" w:rsidP="00C81789">
            <w:pPr>
              <w:spacing w:before="120" w:after="120"/>
              <w:jc w:val="center"/>
              <w:rPr>
                <w:color w:val="000000"/>
                <w:sz w:val="16"/>
                <w:szCs w:val="16"/>
              </w:rPr>
            </w:pPr>
            <w:r w:rsidRPr="001A5E16">
              <w:rPr>
                <w:color w:val="000000"/>
                <w:sz w:val="16"/>
                <w:szCs w:val="16"/>
                <w:lang w:val="en-US"/>
              </w:rPr>
              <w:t>148</w:t>
            </w:r>
            <w:r>
              <w:rPr>
                <w:color w:val="000000"/>
                <w:sz w:val="16"/>
                <w:szCs w:val="16"/>
                <w:lang w:val="en-US"/>
              </w:rPr>
              <w:t xml:space="preserve"> </w:t>
            </w:r>
            <w:r w:rsidRPr="001A5E16">
              <w:rPr>
                <w:color w:val="000000"/>
                <w:sz w:val="16"/>
                <w:szCs w:val="16"/>
                <w:lang w:val="en-US"/>
              </w:rPr>
              <w:t>848</w:t>
            </w:r>
          </w:p>
        </w:tc>
        <w:tc>
          <w:tcPr>
            <w:tcW w:w="1667" w:type="dxa"/>
            <w:shd w:val="clear" w:color="auto" w:fill="auto"/>
            <w:vAlign w:val="center"/>
          </w:tcPr>
          <w:p w:rsidR="00DF3851" w:rsidRPr="001A5E16" w:rsidRDefault="00DF3851" w:rsidP="00C81789">
            <w:pPr>
              <w:spacing w:before="120" w:after="120"/>
              <w:jc w:val="center"/>
              <w:rPr>
                <w:color w:val="000000"/>
                <w:sz w:val="16"/>
                <w:szCs w:val="16"/>
              </w:rPr>
            </w:pPr>
            <w:r>
              <w:rPr>
                <w:color w:val="000000"/>
                <w:sz w:val="16"/>
                <w:szCs w:val="16"/>
              </w:rPr>
              <w:t>151 425</w:t>
            </w:r>
          </w:p>
        </w:tc>
        <w:tc>
          <w:tcPr>
            <w:tcW w:w="1701" w:type="dxa"/>
            <w:shd w:val="clear" w:color="auto" w:fill="auto"/>
            <w:vAlign w:val="center"/>
          </w:tcPr>
          <w:p w:rsidR="00DF3851" w:rsidRPr="00DF3851" w:rsidRDefault="00DF3851" w:rsidP="00DF3851">
            <w:pPr>
              <w:spacing w:before="120" w:after="120"/>
              <w:jc w:val="center"/>
              <w:rPr>
                <w:color w:val="000000"/>
                <w:sz w:val="16"/>
                <w:szCs w:val="16"/>
              </w:rPr>
            </w:pPr>
            <w:r w:rsidRPr="00DF3851">
              <w:rPr>
                <w:color w:val="000000"/>
                <w:sz w:val="16"/>
                <w:szCs w:val="16"/>
              </w:rPr>
              <w:t>89.87%</w:t>
            </w:r>
          </w:p>
        </w:tc>
        <w:tc>
          <w:tcPr>
            <w:tcW w:w="1701" w:type="dxa"/>
            <w:vAlign w:val="center"/>
          </w:tcPr>
          <w:p w:rsidR="00DF3851" w:rsidRPr="00DF3851" w:rsidRDefault="00DF3851" w:rsidP="00DF3851">
            <w:pPr>
              <w:spacing w:before="120" w:after="120"/>
              <w:jc w:val="center"/>
              <w:rPr>
                <w:color w:val="000000"/>
                <w:sz w:val="16"/>
                <w:szCs w:val="16"/>
              </w:rPr>
            </w:pPr>
            <w:r w:rsidRPr="00DF3851">
              <w:rPr>
                <w:color w:val="000000"/>
                <w:sz w:val="16"/>
                <w:szCs w:val="16"/>
              </w:rPr>
              <w:t>1.73%</w:t>
            </w:r>
          </w:p>
        </w:tc>
      </w:tr>
      <w:tr w:rsidR="001A5E16" w:rsidRPr="001A5E16" w:rsidTr="00DF3851">
        <w:trPr>
          <w:cantSplit/>
        </w:trPr>
        <w:tc>
          <w:tcPr>
            <w:tcW w:w="1926" w:type="dxa"/>
            <w:shd w:val="clear" w:color="auto" w:fill="auto"/>
            <w:vAlign w:val="center"/>
          </w:tcPr>
          <w:p w:rsidR="001A5E16" w:rsidRPr="00292C8B" w:rsidRDefault="001A5E16" w:rsidP="00C81789">
            <w:pPr>
              <w:spacing w:before="120" w:after="120"/>
              <w:rPr>
                <w:sz w:val="16"/>
                <w:szCs w:val="16"/>
              </w:rPr>
            </w:pPr>
            <w:r w:rsidRPr="00292C8B">
              <w:rPr>
                <w:sz w:val="16"/>
                <w:szCs w:val="16"/>
              </w:rPr>
              <w:t>South Australia</w:t>
            </w:r>
          </w:p>
        </w:tc>
        <w:tc>
          <w:tcPr>
            <w:tcW w:w="1605" w:type="dxa"/>
            <w:shd w:val="clear" w:color="auto" w:fill="auto"/>
            <w:vAlign w:val="center"/>
          </w:tcPr>
          <w:p w:rsidR="001A5E16" w:rsidRPr="001A5E16" w:rsidRDefault="001A5E16" w:rsidP="00C81789">
            <w:pPr>
              <w:spacing w:before="120" w:after="120"/>
              <w:jc w:val="center"/>
              <w:rPr>
                <w:color w:val="000000"/>
                <w:sz w:val="16"/>
                <w:szCs w:val="16"/>
              </w:rPr>
            </w:pPr>
            <w:r w:rsidRPr="001A5E16">
              <w:rPr>
                <w:color w:val="000000"/>
                <w:sz w:val="16"/>
                <w:szCs w:val="16"/>
              </w:rPr>
              <w:t>78</w:t>
            </w:r>
            <w:r>
              <w:rPr>
                <w:color w:val="000000"/>
                <w:sz w:val="16"/>
                <w:szCs w:val="16"/>
              </w:rPr>
              <w:t xml:space="preserve"> </w:t>
            </w:r>
            <w:r w:rsidRPr="001A5E16">
              <w:rPr>
                <w:color w:val="000000"/>
                <w:sz w:val="16"/>
                <w:szCs w:val="16"/>
              </w:rPr>
              <w:t>251</w:t>
            </w:r>
          </w:p>
        </w:tc>
        <w:tc>
          <w:tcPr>
            <w:tcW w:w="1606" w:type="dxa"/>
            <w:vAlign w:val="center"/>
          </w:tcPr>
          <w:p w:rsidR="001A5E16" w:rsidRPr="001A5E16" w:rsidRDefault="001A5E16" w:rsidP="00C81789">
            <w:pPr>
              <w:spacing w:before="120" w:after="120"/>
              <w:jc w:val="center"/>
              <w:rPr>
                <w:color w:val="000000"/>
                <w:sz w:val="16"/>
                <w:szCs w:val="16"/>
              </w:rPr>
            </w:pPr>
            <w:r w:rsidRPr="001A5E16">
              <w:rPr>
                <w:color w:val="000000"/>
                <w:sz w:val="16"/>
                <w:szCs w:val="16"/>
                <w:lang w:val="en-US"/>
              </w:rPr>
              <w:t>153</w:t>
            </w:r>
            <w:r>
              <w:rPr>
                <w:color w:val="000000"/>
                <w:sz w:val="16"/>
                <w:szCs w:val="16"/>
                <w:lang w:val="en-US"/>
              </w:rPr>
              <w:t xml:space="preserve"> </w:t>
            </w:r>
            <w:r w:rsidRPr="001A5E16">
              <w:rPr>
                <w:color w:val="000000"/>
                <w:sz w:val="16"/>
                <w:szCs w:val="16"/>
                <w:lang w:val="en-US"/>
              </w:rPr>
              <w:t>130</w:t>
            </w:r>
          </w:p>
        </w:tc>
        <w:tc>
          <w:tcPr>
            <w:tcW w:w="1667" w:type="dxa"/>
            <w:shd w:val="clear" w:color="auto" w:fill="auto"/>
            <w:vAlign w:val="center"/>
          </w:tcPr>
          <w:p w:rsidR="001A5E16" w:rsidRPr="001A5E16" w:rsidRDefault="006671F8" w:rsidP="00C81789">
            <w:pPr>
              <w:spacing w:before="120" w:after="120"/>
              <w:jc w:val="center"/>
              <w:rPr>
                <w:color w:val="000000"/>
                <w:sz w:val="16"/>
                <w:szCs w:val="16"/>
              </w:rPr>
            </w:pPr>
            <w:r w:rsidRPr="006671F8">
              <w:rPr>
                <w:color w:val="000000"/>
                <w:sz w:val="16"/>
                <w:szCs w:val="16"/>
                <w:lang w:val="en-US"/>
              </w:rPr>
              <w:t>170 210</w:t>
            </w:r>
            <w:r w:rsidRPr="006671F8">
              <w:rPr>
                <w:color w:val="000000"/>
                <w:sz w:val="16"/>
                <w:szCs w:val="16"/>
                <w:vertAlign w:val="superscript"/>
                <w:lang w:val="en-US"/>
              </w:rPr>
              <w:footnoteReference w:id="20"/>
            </w:r>
          </w:p>
        </w:tc>
        <w:tc>
          <w:tcPr>
            <w:tcW w:w="1701" w:type="dxa"/>
            <w:shd w:val="clear" w:color="auto" w:fill="auto"/>
            <w:vAlign w:val="center"/>
          </w:tcPr>
          <w:p w:rsidR="001A5E16" w:rsidRPr="001A5E16" w:rsidRDefault="006671F8" w:rsidP="00C81789">
            <w:pPr>
              <w:spacing w:before="120" w:after="120"/>
              <w:jc w:val="center"/>
              <w:rPr>
                <w:color w:val="000000"/>
                <w:sz w:val="16"/>
                <w:szCs w:val="16"/>
              </w:rPr>
            </w:pPr>
            <w:r>
              <w:rPr>
                <w:color w:val="000000"/>
                <w:sz w:val="16"/>
                <w:szCs w:val="16"/>
              </w:rPr>
              <w:t>117.52%</w:t>
            </w:r>
          </w:p>
        </w:tc>
        <w:tc>
          <w:tcPr>
            <w:tcW w:w="1701" w:type="dxa"/>
            <w:vAlign w:val="center"/>
          </w:tcPr>
          <w:p w:rsidR="001A5E16" w:rsidRPr="001A5E16" w:rsidRDefault="006671F8" w:rsidP="00C81789">
            <w:pPr>
              <w:spacing w:before="120" w:after="120"/>
              <w:jc w:val="center"/>
              <w:rPr>
                <w:color w:val="000000"/>
                <w:sz w:val="16"/>
                <w:szCs w:val="16"/>
              </w:rPr>
            </w:pPr>
            <w:r>
              <w:rPr>
                <w:color w:val="000000"/>
                <w:sz w:val="16"/>
                <w:szCs w:val="16"/>
              </w:rPr>
              <w:t>11.15%</w:t>
            </w:r>
          </w:p>
        </w:tc>
      </w:tr>
      <w:tr w:rsidR="001A5E16" w:rsidRPr="001A5E16" w:rsidTr="00DF3851">
        <w:trPr>
          <w:cantSplit/>
        </w:trPr>
        <w:tc>
          <w:tcPr>
            <w:tcW w:w="1926" w:type="dxa"/>
            <w:shd w:val="clear" w:color="auto" w:fill="auto"/>
            <w:vAlign w:val="center"/>
          </w:tcPr>
          <w:p w:rsidR="001A5E16" w:rsidRPr="00292C8B" w:rsidRDefault="001A5E16" w:rsidP="00C81789">
            <w:pPr>
              <w:spacing w:before="120" w:after="120"/>
              <w:rPr>
                <w:sz w:val="16"/>
                <w:szCs w:val="16"/>
              </w:rPr>
            </w:pPr>
            <w:r w:rsidRPr="00292C8B">
              <w:rPr>
                <w:sz w:val="16"/>
                <w:szCs w:val="16"/>
              </w:rPr>
              <w:t>Victoria</w:t>
            </w:r>
          </w:p>
        </w:tc>
        <w:tc>
          <w:tcPr>
            <w:tcW w:w="1605" w:type="dxa"/>
            <w:shd w:val="clear" w:color="auto" w:fill="auto"/>
            <w:vAlign w:val="center"/>
          </w:tcPr>
          <w:p w:rsidR="001A5E16" w:rsidRPr="001A5E16" w:rsidRDefault="001A5E16" w:rsidP="00C81789">
            <w:pPr>
              <w:spacing w:before="120" w:after="120"/>
              <w:jc w:val="center"/>
              <w:rPr>
                <w:color w:val="000000"/>
                <w:sz w:val="16"/>
                <w:szCs w:val="16"/>
              </w:rPr>
            </w:pPr>
            <w:r w:rsidRPr="001A5E16">
              <w:rPr>
                <w:color w:val="000000"/>
                <w:sz w:val="16"/>
                <w:szCs w:val="16"/>
              </w:rPr>
              <w:t>79</w:t>
            </w:r>
            <w:r>
              <w:rPr>
                <w:color w:val="000000"/>
                <w:sz w:val="16"/>
                <w:szCs w:val="16"/>
              </w:rPr>
              <w:t xml:space="preserve"> </w:t>
            </w:r>
            <w:r w:rsidRPr="001A5E16">
              <w:rPr>
                <w:color w:val="000000"/>
                <w:sz w:val="16"/>
                <w:szCs w:val="16"/>
              </w:rPr>
              <w:t>751</w:t>
            </w:r>
          </w:p>
        </w:tc>
        <w:tc>
          <w:tcPr>
            <w:tcW w:w="1606" w:type="dxa"/>
            <w:vAlign w:val="center"/>
          </w:tcPr>
          <w:p w:rsidR="001A5E16" w:rsidRPr="001A5E16" w:rsidRDefault="001A5E16" w:rsidP="00C81789">
            <w:pPr>
              <w:spacing w:before="120" w:after="120"/>
              <w:jc w:val="center"/>
              <w:rPr>
                <w:color w:val="000000"/>
                <w:sz w:val="16"/>
                <w:szCs w:val="16"/>
              </w:rPr>
            </w:pPr>
            <w:r w:rsidRPr="001A5E16">
              <w:rPr>
                <w:color w:val="000000"/>
                <w:sz w:val="16"/>
                <w:szCs w:val="16"/>
                <w:lang w:val="en-US"/>
              </w:rPr>
              <w:t>140</w:t>
            </w:r>
            <w:r>
              <w:rPr>
                <w:color w:val="000000"/>
                <w:sz w:val="16"/>
                <w:szCs w:val="16"/>
                <w:lang w:val="en-US"/>
              </w:rPr>
              <w:t xml:space="preserve"> </w:t>
            </w:r>
            <w:r w:rsidRPr="001A5E16">
              <w:rPr>
                <w:color w:val="000000"/>
                <w:sz w:val="16"/>
                <w:szCs w:val="16"/>
                <w:lang w:val="en-US"/>
              </w:rPr>
              <w:t>973</w:t>
            </w:r>
          </w:p>
        </w:tc>
        <w:tc>
          <w:tcPr>
            <w:tcW w:w="1667" w:type="dxa"/>
            <w:shd w:val="clear" w:color="auto" w:fill="auto"/>
            <w:vAlign w:val="center"/>
          </w:tcPr>
          <w:p w:rsidR="001A5E16" w:rsidRPr="001A5E16" w:rsidRDefault="001A5E16" w:rsidP="00C81789">
            <w:pPr>
              <w:spacing w:before="120" w:after="120"/>
              <w:jc w:val="center"/>
              <w:rPr>
                <w:color w:val="000000"/>
                <w:sz w:val="16"/>
                <w:szCs w:val="16"/>
              </w:rPr>
            </w:pPr>
            <w:r w:rsidRPr="001A5E16">
              <w:rPr>
                <w:color w:val="000000"/>
                <w:sz w:val="16"/>
                <w:szCs w:val="16"/>
              </w:rPr>
              <w:t>145</w:t>
            </w:r>
            <w:r>
              <w:rPr>
                <w:color w:val="000000"/>
                <w:sz w:val="16"/>
                <w:szCs w:val="16"/>
              </w:rPr>
              <w:t xml:space="preserve"> </w:t>
            </w:r>
            <w:r w:rsidRPr="001A5E16">
              <w:rPr>
                <w:color w:val="000000"/>
                <w:sz w:val="16"/>
                <w:szCs w:val="16"/>
              </w:rPr>
              <w:t>277</w:t>
            </w:r>
          </w:p>
        </w:tc>
        <w:tc>
          <w:tcPr>
            <w:tcW w:w="1701" w:type="dxa"/>
            <w:shd w:val="clear" w:color="auto" w:fill="auto"/>
            <w:vAlign w:val="center"/>
          </w:tcPr>
          <w:p w:rsidR="001A5E16" w:rsidRPr="001A5E16" w:rsidRDefault="001A5E16" w:rsidP="00C81789">
            <w:pPr>
              <w:spacing w:before="120" w:after="120"/>
              <w:jc w:val="center"/>
              <w:rPr>
                <w:color w:val="000000"/>
                <w:sz w:val="16"/>
                <w:szCs w:val="16"/>
              </w:rPr>
            </w:pPr>
            <w:r w:rsidRPr="001A5E16">
              <w:rPr>
                <w:color w:val="000000"/>
                <w:sz w:val="16"/>
                <w:szCs w:val="16"/>
              </w:rPr>
              <w:t>82.16%</w:t>
            </w:r>
          </w:p>
        </w:tc>
        <w:tc>
          <w:tcPr>
            <w:tcW w:w="1701" w:type="dxa"/>
            <w:vAlign w:val="center"/>
          </w:tcPr>
          <w:p w:rsidR="001A5E16" w:rsidRPr="001A5E16" w:rsidRDefault="001A5E16" w:rsidP="00C81789">
            <w:pPr>
              <w:spacing w:before="120" w:after="120"/>
              <w:jc w:val="center"/>
              <w:rPr>
                <w:color w:val="000000"/>
                <w:sz w:val="16"/>
                <w:szCs w:val="16"/>
              </w:rPr>
            </w:pPr>
            <w:r w:rsidRPr="001A5E16">
              <w:rPr>
                <w:color w:val="000000"/>
                <w:sz w:val="16"/>
                <w:szCs w:val="16"/>
              </w:rPr>
              <w:t>3.05%</w:t>
            </w:r>
          </w:p>
        </w:tc>
      </w:tr>
      <w:tr w:rsidR="001A5E16" w:rsidRPr="001A5E16" w:rsidTr="00DF3851">
        <w:trPr>
          <w:cantSplit/>
        </w:trPr>
        <w:tc>
          <w:tcPr>
            <w:tcW w:w="1926" w:type="dxa"/>
            <w:shd w:val="clear" w:color="auto" w:fill="auto"/>
            <w:vAlign w:val="center"/>
          </w:tcPr>
          <w:p w:rsidR="001A5E16" w:rsidRPr="00292C8B" w:rsidRDefault="001A5E16" w:rsidP="00C81789">
            <w:pPr>
              <w:spacing w:before="120" w:after="120"/>
              <w:rPr>
                <w:sz w:val="16"/>
                <w:szCs w:val="16"/>
              </w:rPr>
            </w:pPr>
            <w:r w:rsidRPr="00292C8B">
              <w:rPr>
                <w:sz w:val="16"/>
                <w:szCs w:val="16"/>
              </w:rPr>
              <w:t>Western Australia</w:t>
            </w:r>
          </w:p>
        </w:tc>
        <w:tc>
          <w:tcPr>
            <w:tcW w:w="1605" w:type="dxa"/>
            <w:shd w:val="clear" w:color="auto" w:fill="auto"/>
            <w:vAlign w:val="center"/>
          </w:tcPr>
          <w:p w:rsidR="001A5E16" w:rsidRPr="001A5E16" w:rsidRDefault="001A5E16" w:rsidP="00C81789">
            <w:pPr>
              <w:spacing w:before="120" w:after="120"/>
              <w:jc w:val="center"/>
              <w:rPr>
                <w:color w:val="000000"/>
                <w:sz w:val="16"/>
                <w:szCs w:val="16"/>
              </w:rPr>
            </w:pPr>
            <w:r w:rsidRPr="001A5E16">
              <w:rPr>
                <w:color w:val="000000"/>
                <w:sz w:val="16"/>
                <w:szCs w:val="16"/>
              </w:rPr>
              <w:t>79</w:t>
            </w:r>
            <w:r>
              <w:rPr>
                <w:color w:val="000000"/>
                <w:sz w:val="16"/>
                <w:szCs w:val="16"/>
              </w:rPr>
              <w:t xml:space="preserve"> </w:t>
            </w:r>
            <w:r w:rsidRPr="001A5E16">
              <w:rPr>
                <w:color w:val="000000"/>
                <w:sz w:val="16"/>
                <w:szCs w:val="16"/>
              </w:rPr>
              <w:t>453</w:t>
            </w:r>
          </w:p>
        </w:tc>
        <w:tc>
          <w:tcPr>
            <w:tcW w:w="1606" w:type="dxa"/>
            <w:vAlign w:val="center"/>
          </w:tcPr>
          <w:p w:rsidR="001A5E16" w:rsidRPr="001A5E16" w:rsidRDefault="001A5E16" w:rsidP="00C81789">
            <w:pPr>
              <w:spacing w:before="120" w:after="120"/>
              <w:jc w:val="center"/>
              <w:rPr>
                <w:color w:val="000000"/>
                <w:sz w:val="16"/>
                <w:szCs w:val="16"/>
              </w:rPr>
            </w:pPr>
            <w:r w:rsidRPr="001A5E16">
              <w:rPr>
                <w:color w:val="000000"/>
                <w:sz w:val="16"/>
                <w:szCs w:val="16"/>
                <w:lang w:val="en-US"/>
              </w:rPr>
              <w:t>148</w:t>
            </w:r>
            <w:r>
              <w:rPr>
                <w:color w:val="000000"/>
                <w:sz w:val="16"/>
                <w:szCs w:val="16"/>
                <w:lang w:val="en-US"/>
              </w:rPr>
              <w:t xml:space="preserve"> </w:t>
            </w:r>
            <w:r w:rsidRPr="001A5E16">
              <w:rPr>
                <w:color w:val="000000"/>
                <w:sz w:val="16"/>
                <w:szCs w:val="16"/>
                <w:lang w:val="en-US"/>
              </w:rPr>
              <w:t>638</w:t>
            </w:r>
          </w:p>
        </w:tc>
        <w:tc>
          <w:tcPr>
            <w:tcW w:w="1667" w:type="dxa"/>
            <w:shd w:val="clear" w:color="auto" w:fill="auto"/>
            <w:vAlign w:val="center"/>
          </w:tcPr>
          <w:p w:rsidR="001A5E16" w:rsidRPr="001A5E16" w:rsidRDefault="001A5E16" w:rsidP="00C81789">
            <w:pPr>
              <w:spacing w:before="120" w:after="120"/>
              <w:jc w:val="center"/>
              <w:rPr>
                <w:color w:val="000000"/>
                <w:sz w:val="16"/>
                <w:szCs w:val="16"/>
              </w:rPr>
            </w:pPr>
            <w:r w:rsidRPr="001A5E16">
              <w:rPr>
                <w:color w:val="000000"/>
                <w:sz w:val="16"/>
                <w:szCs w:val="16"/>
              </w:rPr>
              <w:t>154</w:t>
            </w:r>
            <w:r>
              <w:rPr>
                <w:color w:val="000000"/>
                <w:sz w:val="16"/>
                <w:szCs w:val="16"/>
              </w:rPr>
              <w:t xml:space="preserve"> </w:t>
            </w:r>
            <w:r w:rsidRPr="001A5E16">
              <w:rPr>
                <w:color w:val="000000"/>
                <w:sz w:val="16"/>
                <w:szCs w:val="16"/>
              </w:rPr>
              <w:t>223</w:t>
            </w:r>
          </w:p>
        </w:tc>
        <w:tc>
          <w:tcPr>
            <w:tcW w:w="1701" w:type="dxa"/>
            <w:shd w:val="clear" w:color="auto" w:fill="auto"/>
            <w:vAlign w:val="center"/>
          </w:tcPr>
          <w:p w:rsidR="001A5E16" w:rsidRPr="001A5E16" w:rsidRDefault="001A5E16" w:rsidP="00C81789">
            <w:pPr>
              <w:spacing w:before="120" w:after="120"/>
              <w:jc w:val="center"/>
              <w:rPr>
                <w:color w:val="000000"/>
                <w:sz w:val="16"/>
                <w:szCs w:val="16"/>
              </w:rPr>
            </w:pPr>
            <w:r w:rsidRPr="001A5E16">
              <w:rPr>
                <w:color w:val="000000"/>
                <w:sz w:val="16"/>
                <w:szCs w:val="16"/>
              </w:rPr>
              <w:t>94.11%</w:t>
            </w:r>
          </w:p>
        </w:tc>
        <w:tc>
          <w:tcPr>
            <w:tcW w:w="1701" w:type="dxa"/>
            <w:vAlign w:val="center"/>
          </w:tcPr>
          <w:p w:rsidR="001A5E16" w:rsidRPr="001A5E16" w:rsidRDefault="001A5E16" w:rsidP="00C81789">
            <w:pPr>
              <w:spacing w:before="120" w:after="120"/>
              <w:jc w:val="center"/>
              <w:rPr>
                <w:color w:val="000000"/>
                <w:sz w:val="16"/>
                <w:szCs w:val="16"/>
              </w:rPr>
            </w:pPr>
            <w:r w:rsidRPr="001A5E16">
              <w:rPr>
                <w:color w:val="000000"/>
                <w:sz w:val="16"/>
                <w:szCs w:val="16"/>
              </w:rPr>
              <w:t>3.76%</w:t>
            </w:r>
          </w:p>
        </w:tc>
      </w:tr>
      <w:tr w:rsidR="001A5E16" w:rsidRPr="001A5E16" w:rsidTr="00DF3851">
        <w:trPr>
          <w:cantSplit/>
        </w:trPr>
        <w:tc>
          <w:tcPr>
            <w:tcW w:w="1926" w:type="dxa"/>
            <w:shd w:val="clear" w:color="auto" w:fill="auto"/>
            <w:vAlign w:val="center"/>
          </w:tcPr>
          <w:p w:rsidR="001A5E16" w:rsidRPr="00292C8B" w:rsidRDefault="001A5E16" w:rsidP="00C81789">
            <w:pPr>
              <w:spacing w:before="120" w:after="120"/>
              <w:rPr>
                <w:sz w:val="16"/>
                <w:szCs w:val="16"/>
              </w:rPr>
            </w:pPr>
            <w:r w:rsidRPr="00292C8B">
              <w:rPr>
                <w:sz w:val="16"/>
                <w:szCs w:val="16"/>
              </w:rPr>
              <w:t>Tasmania</w:t>
            </w:r>
          </w:p>
        </w:tc>
        <w:tc>
          <w:tcPr>
            <w:tcW w:w="1605" w:type="dxa"/>
            <w:shd w:val="clear" w:color="auto" w:fill="auto"/>
            <w:vAlign w:val="center"/>
          </w:tcPr>
          <w:p w:rsidR="001A5E16" w:rsidRPr="001A5E16" w:rsidRDefault="001A5E16" w:rsidP="00C81789">
            <w:pPr>
              <w:spacing w:before="120" w:after="120"/>
              <w:jc w:val="center"/>
              <w:rPr>
                <w:color w:val="000000"/>
                <w:sz w:val="16"/>
                <w:szCs w:val="16"/>
              </w:rPr>
            </w:pPr>
            <w:r w:rsidRPr="001A5E16">
              <w:rPr>
                <w:color w:val="000000"/>
                <w:sz w:val="16"/>
                <w:szCs w:val="16"/>
              </w:rPr>
              <w:t>68</w:t>
            </w:r>
            <w:r>
              <w:rPr>
                <w:color w:val="000000"/>
                <w:sz w:val="16"/>
                <w:szCs w:val="16"/>
              </w:rPr>
              <w:t xml:space="preserve"> </w:t>
            </w:r>
            <w:r w:rsidRPr="001A5E16">
              <w:rPr>
                <w:color w:val="000000"/>
                <w:sz w:val="16"/>
                <w:szCs w:val="16"/>
              </w:rPr>
              <w:t>372</w:t>
            </w:r>
          </w:p>
        </w:tc>
        <w:tc>
          <w:tcPr>
            <w:tcW w:w="1606" w:type="dxa"/>
            <w:vAlign w:val="center"/>
          </w:tcPr>
          <w:p w:rsidR="001A5E16" w:rsidRPr="001A5E16" w:rsidRDefault="001A5E16" w:rsidP="00C81789">
            <w:pPr>
              <w:spacing w:before="120" w:after="120"/>
              <w:jc w:val="center"/>
              <w:rPr>
                <w:color w:val="000000"/>
                <w:sz w:val="16"/>
                <w:szCs w:val="16"/>
              </w:rPr>
            </w:pPr>
            <w:r w:rsidRPr="001A5E16">
              <w:rPr>
                <w:color w:val="000000"/>
                <w:sz w:val="16"/>
                <w:szCs w:val="16"/>
                <w:lang w:val="en-US"/>
              </w:rPr>
              <w:t>118</w:t>
            </w:r>
            <w:r>
              <w:rPr>
                <w:color w:val="000000"/>
                <w:sz w:val="16"/>
                <w:szCs w:val="16"/>
                <w:lang w:val="en-US"/>
              </w:rPr>
              <w:t xml:space="preserve"> </w:t>
            </w:r>
            <w:r w:rsidRPr="001A5E16">
              <w:rPr>
                <w:color w:val="000000"/>
                <w:sz w:val="16"/>
                <w:szCs w:val="16"/>
                <w:lang w:val="en-US"/>
              </w:rPr>
              <w:t>466</w:t>
            </w:r>
          </w:p>
        </w:tc>
        <w:tc>
          <w:tcPr>
            <w:tcW w:w="1667" w:type="dxa"/>
            <w:shd w:val="clear" w:color="auto" w:fill="auto"/>
            <w:vAlign w:val="center"/>
          </w:tcPr>
          <w:p w:rsidR="001A5E16" w:rsidRPr="001A5E16" w:rsidRDefault="001A5E16" w:rsidP="00C81789">
            <w:pPr>
              <w:spacing w:before="120" w:after="120"/>
              <w:jc w:val="center"/>
              <w:rPr>
                <w:color w:val="000000"/>
                <w:sz w:val="16"/>
                <w:szCs w:val="16"/>
              </w:rPr>
            </w:pPr>
            <w:r w:rsidRPr="001A5E16">
              <w:rPr>
                <w:color w:val="000000"/>
                <w:sz w:val="16"/>
                <w:szCs w:val="16"/>
              </w:rPr>
              <w:t>120</w:t>
            </w:r>
            <w:r>
              <w:rPr>
                <w:color w:val="000000"/>
                <w:sz w:val="16"/>
                <w:szCs w:val="16"/>
              </w:rPr>
              <w:t xml:space="preserve"> </w:t>
            </w:r>
            <w:r w:rsidRPr="001A5E16">
              <w:rPr>
                <w:color w:val="000000"/>
                <w:sz w:val="16"/>
                <w:szCs w:val="16"/>
              </w:rPr>
              <w:t>835</w:t>
            </w:r>
          </w:p>
        </w:tc>
        <w:tc>
          <w:tcPr>
            <w:tcW w:w="1701" w:type="dxa"/>
            <w:shd w:val="clear" w:color="auto" w:fill="auto"/>
            <w:vAlign w:val="center"/>
          </w:tcPr>
          <w:p w:rsidR="001A5E16" w:rsidRPr="001A5E16" w:rsidRDefault="001A5E16" w:rsidP="00C81789">
            <w:pPr>
              <w:spacing w:before="120" w:after="120"/>
              <w:jc w:val="center"/>
              <w:rPr>
                <w:color w:val="000000"/>
                <w:sz w:val="16"/>
                <w:szCs w:val="16"/>
              </w:rPr>
            </w:pPr>
            <w:r w:rsidRPr="001A5E16">
              <w:rPr>
                <w:color w:val="000000"/>
                <w:sz w:val="16"/>
                <w:szCs w:val="16"/>
              </w:rPr>
              <w:t>76.73%</w:t>
            </w:r>
          </w:p>
        </w:tc>
        <w:tc>
          <w:tcPr>
            <w:tcW w:w="1701" w:type="dxa"/>
            <w:vAlign w:val="center"/>
          </w:tcPr>
          <w:p w:rsidR="001A5E16" w:rsidRPr="001A5E16" w:rsidRDefault="001A5E16" w:rsidP="00C81789">
            <w:pPr>
              <w:spacing w:before="120" w:after="120"/>
              <w:jc w:val="center"/>
              <w:rPr>
                <w:color w:val="000000"/>
                <w:sz w:val="16"/>
                <w:szCs w:val="16"/>
              </w:rPr>
            </w:pPr>
            <w:r w:rsidRPr="001A5E16">
              <w:rPr>
                <w:color w:val="000000"/>
                <w:sz w:val="16"/>
                <w:szCs w:val="16"/>
              </w:rPr>
              <w:t>2.00%</w:t>
            </w:r>
          </w:p>
        </w:tc>
      </w:tr>
      <w:tr w:rsidR="00DF3851" w:rsidRPr="001A5E16" w:rsidTr="00327CCC">
        <w:trPr>
          <w:cantSplit/>
        </w:trPr>
        <w:tc>
          <w:tcPr>
            <w:tcW w:w="1926" w:type="dxa"/>
            <w:shd w:val="clear" w:color="auto" w:fill="F2F2F2" w:themeFill="background1" w:themeFillShade="F2"/>
            <w:vAlign w:val="center"/>
          </w:tcPr>
          <w:p w:rsidR="00DF3851" w:rsidRPr="00292C8B" w:rsidRDefault="00DF3851" w:rsidP="00C81789">
            <w:pPr>
              <w:spacing w:before="120" w:after="120"/>
              <w:rPr>
                <w:sz w:val="16"/>
                <w:szCs w:val="16"/>
              </w:rPr>
            </w:pPr>
            <w:r w:rsidRPr="00292C8B">
              <w:rPr>
                <w:sz w:val="16"/>
                <w:szCs w:val="16"/>
              </w:rPr>
              <w:t>Average of all Parliaments excluding Tasmania</w:t>
            </w:r>
          </w:p>
        </w:tc>
        <w:tc>
          <w:tcPr>
            <w:tcW w:w="1605" w:type="dxa"/>
            <w:shd w:val="clear" w:color="auto" w:fill="F2F2F2" w:themeFill="background1" w:themeFillShade="F2"/>
            <w:vAlign w:val="center"/>
          </w:tcPr>
          <w:p w:rsidR="00DF3851" w:rsidRPr="00DF3851" w:rsidRDefault="00DF3851" w:rsidP="00DF3851">
            <w:pPr>
              <w:spacing w:before="120" w:after="120"/>
              <w:jc w:val="center"/>
              <w:rPr>
                <w:color w:val="000000"/>
                <w:sz w:val="16"/>
                <w:szCs w:val="16"/>
              </w:rPr>
            </w:pPr>
            <w:r w:rsidRPr="00DF3851">
              <w:rPr>
                <w:color w:val="000000"/>
                <w:sz w:val="16"/>
                <w:szCs w:val="16"/>
              </w:rPr>
              <w:t xml:space="preserve">76 590 </w:t>
            </w:r>
          </w:p>
        </w:tc>
        <w:tc>
          <w:tcPr>
            <w:tcW w:w="1606" w:type="dxa"/>
            <w:shd w:val="clear" w:color="auto" w:fill="F2F2F2" w:themeFill="background1" w:themeFillShade="F2"/>
            <w:vAlign w:val="center"/>
          </w:tcPr>
          <w:p w:rsidR="00DF3851" w:rsidRPr="00DF3851" w:rsidRDefault="00DF3851" w:rsidP="00DF3851">
            <w:pPr>
              <w:spacing w:before="120" w:after="120"/>
              <w:jc w:val="center"/>
              <w:rPr>
                <w:color w:val="000000"/>
                <w:sz w:val="16"/>
                <w:szCs w:val="16"/>
              </w:rPr>
            </w:pPr>
            <w:r w:rsidRPr="00DF3851">
              <w:rPr>
                <w:color w:val="000000"/>
                <w:sz w:val="16"/>
                <w:szCs w:val="16"/>
              </w:rPr>
              <w:t xml:space="preserve">150 169 </w:t>
            </w:r>
          </w:p>
        </w:tc>
        <w:tc>
          <w:tcPr>
            <w:tcW w:w="1667" w:type="dxa"/>
            <w:shd w:val="clear" w:color="auto" w:fill="F2F2F2" w:themeFill="background1" w:themeFillShade="F2"/>
            <w:vAlign w:val="center"/>
          </w:tcPr>
          <w:p w:rsidR="00DF3851" w:rsidRPr="00DF3851" w:rsidRDefault="00DF3851" w:rsidP="00BD68E4">
            <w:pPr>
              <w:spacing w:before="120" w:after="120"/>
              <w:jc w:val="center"/>
              <w:rPr>
                <w:color w:val="000000"/>
                <w:sz w:val="16"/>
                <w:szCs w:val="16"/>
              </w:rPr>
            </w:pPr>
            <w:r w:rsidRPr="00DF3851">
              <w:rPr>
                <w:color w:val="000000"/>
                <w:sz w:val="16"/>
                <w:szCs w:val="16"/>
              </w:rPr>
              <w:t>157 941</w:t>
            </w:r>
          </w:p>
        </w:tc>
        <w:tc>
          <w:tcPr>
            <w:tcW w:w="1701" w:type="dxa"/>
            <w:shd w:val="clear" w:color="auto" w:fill="F2F2F2" w:themeFill="background1" w:themeFillShade="F2"/>
            <w:vAlign w:val="center"/>
          </w:tcPr>
          <w:p w:rsidR="00DF3851" w:rsidRPr="00DF3851" w:rsidRDefault="00DF3851" w:rsidP="00DF3851">
            <w:pPr>
              <w:spacing w:before="120" w:after="120"/>
              <w:jc w:val="center"/>
              <w:rPr>
                <w:color w:val="000000"/>
                <w:sz w:val="16"/>
                <w:szCs w:val="16"/>
              </w:rPr>
            </w:pPr>
            <w:r w:rsidRPr="00DF3851">
              <w:rPr>
                <w:color w:val="000000"/>
                <w:sz w:val="16"/>
                <w:szCs w:val="16"/>
              </w:rPr>
              <w:t>106.21%</w:t>
            </w:r>
          </w:p>
        </w:tc>
        <w:tc>
          <w:tcPr>
            <w:tcW w:w="1701" w:type="dxa"/>
            <w:shd w:val="clear" w:color="auto" w:fill="F2F2F2" w:themeFill="background1" w:themeFillShade="F2"/>
            <w:vAlign w:val="center"/>
          </w:tcPr>
          <w:p w:rsidR="00DF3851" w:rsidRPr="00DF3851" w:rsidRDefault="00DF3851" w:rsidP="00DF3851">
            <w:pPr>
              <w:spacing w:before="120" w:after="120"/>
              <w:jc w:val="center"/>
              <w:rPr>
                <w:color w:val="000000"/>
                <w:sz w:val="16"/>
                <w:szCs w:val="16"/>
              </w:rPr>
            </w:pPr>
            <w:r w:rsidRPr="00DF3851">
              <w:rPr>
                <w:color w:val="000000"/>
                <w:sz w:val="16"/>
                <w:szCs w:val="16"/>
              </w:rPr>
              <w:t>5.18%</w:t>
            </w:r>
          </w:p>
        </w:tc>
      </w:tr>
      <w:tr w:rsidR="00DF3851" w:rsidRPr="001A5E16" w:rsidTr="00327CCC">
        <w:trPr>
          <w:cantSplit/>
        </w:trPr>
        <w:tc>
          <w:tcPr>
            <w:tcW w:w="1926" w:type="dxa"/>
            <w:shd w:val="clear" w:color="auto" w:fill="F2F2F2" w:themeFill="background1" w:themeFillShade="F2"/>
            <w:vAlign w:val="center"/>
          </w:tcPr>
          <w:p w:rsidR="00DF3851" w:rsidRPr="00292C8B" w:rsidRDefault="00DF3851" w:rsidP="00C81789">
            <w:pPr>
              <w:spacing w:before="120" w:after="120"/>
              <w:rPr>
                <w:sz w:val="16"/>
                <w:szCs w:val="16"/>
              </w:rPr>
            </w:pPr>
            <w:r w:rsidRPr="00292C8B">
              <w:rPr>
                <w:sz w:val="16"/>
                <w:szCs w:val="16"/>
              </w:rPr>
              <w:t>% differential from Tasmania</w:t>
            </w:r>
          </w:p>
        </w:tc>
        <w:tc>
          <w:tcPr>
            <w:tcW w:w="1605" w:type="dxa"/>
            <w:shd w:val="clear" w:color="auto" w:fill="F2F2F2" w:themeFill="background1" w:themeFillShade="F2"/>
            <w:vAlign w:val="center"/>
          </w:tcPr>
          <w:p w:rsidR="00DF3851" w:rsidRPr="00DF3851" w:rsidRDefault="00DF3851" w:rsidP="00DF3851">
            <w:pPr>
              <w:spacing w:before="120" w:after="120"/>
              <w:jc w:val="center"/>
              <w:rPr>
                <w:color w:val="000000"/>
                <w:sz w:val="16"/>
                <w:szCs w:val="16"/>
              </w:rPr>
            </w:pPr>
            <w:r w:rsidRPr="00DF3851">
              <w:rPr>
                <w:color w:val="000000"/>
                <w:sz w:val="16"/>
                <w:szCs w:val="16"/>
              </w:rPr>
              <w:t>12.0%</w:t>
            </w:r>
          </w:p>
        </w:tc>
        <w:tc>
          <w:tcPr>
            <w:tcW w:w="1606" w:type="dxa"/>
            <w:shd w:val="clear" w:color="auto" w:fill="F2F2F2" w:themeFill="background1" w:themeFillShade="F2"/>
            <w:vAlign w:val="center"/>
          </w:tcPr>
          <w:p w:rsidR="00DF3851" w:rsidRPr="00DF3851" w:rsidRDefault="00DF3851" w:rsidP="00DF3851">
            <w:pPr>
              <w:spacing w:before="120" w:after="120"/>
              <w:jc w:val="center"/>
              <w:rPr>
                <w:color w:val="000000"/>
                <w:sz w:val="16"/>
                <w:szCs w:val="16"/>
              </w:rPr>
            </w:pPr>
            <w:r w:rsidRPr="00DF3851">
              <w:rPr>
                <w:color w:val="000000"/>
                <w:sz w:val="16"/>
                <w:szCs w:val="16"/>
              </w:rPr>
              <w:t>26.8%</w:t>
            </w:r>
          </w:p>
        </w:tc>
        <w:tc>
          <w:tcPr>
            <w:tcW w:w="1667" w:type="dxa"/>
            <w:shd w:val="clear" w:color="auto" w:fill="F2F2F2" w:themeFill="background1" w:themeFillShade="F2"/>
            <w:vAlign w:val="center"/>
          </w:tcPr>
          <w:p w:rsidR="00DF3851" w:rsidRPr="00DF3851" w:rsidRDefault="00DF3851" w:rsidP="00DF3851">
            <w:pPr>
              <w:spacing w:before="120" w:after="120"/>
              <w:jc w:val="center"/>
              <w:rPr>
                <w:color w:val="000000"/>
                <w:sz w:val="16"/>
                <w:szCs w:val="16"/>
              </w:rPr>
            </w:pPr>
            <w:r w:rsidRPr="00DF3851">
              <w:rPr>
                <w:color w:val="000000"/>
                <w:sz w:val="16"/>
                <w:szCs w:val="16"/>
              </w:rPr>
              <w:t>30.7%</w:t>
            </w:r>
          </w:p>
        </w:tc>
        <w:tc>
          <w:tcPr>
            <w:tcW w:w="1701" w:type="dxa"/>
            <w:shd w:val="clear" w:color="auto" w:fill="auto"/>
            <w:vAlign w:val="center"/>
          </w:tcPr>
          <w:p w:rsidR="00DF3851" w:rsidRPr="00DF3851" w:rsidRDefault="00DF3851" w:rsidP="00DF3851">
            <w:pPr>
              <w:spacing w:before="120" w:after="120"/>
              <w:jc w:val="center"/>
              <w:rPr>
                <w:color w:val="000000"/>
                <w:sz w:val="16"/>
                <w:szCs w:val="16"/>
              </w:rPr>
            </w:pPr>
            <w:r w:rsidRPr="00DF3851">
              <w:rPr>
                <w:color w:val="000000"/>
                <w:sz w:val="16"/>
                <w:szCs w:val="16"/>
              </w:rPr>
              <w:t> </w:t>
            </w:r>
          </w:p>
        </w:tc>
        <w:tc>
          <w:tcPr>
            <w:tcW w:w="1701" w:type="dxa"/>
            <w:vAlign w:val="center"/>
          </w:tcPr>
          <w:p w:rsidR="00DF3851" w:rsidRPr="00DF3851" w:rsidRDefault="00DF3851" w:rsidP="00DF3851">
            <w:pPr>
              <w:spacing w:before="120" w:after="120"/>
              <w:jc w:val="center"/>
              <w:rPr>
                <w:color w:val="000000"/>
                <w:sz w:val="16"/>
                <w:szCs w:val="16"/>
              </w:rPr>
            </w:pPr>
            <w:r w:rsidRPr="00DF3851">
              <w:rPr>
                <w:color w:val="000000"/>
                <w:sz w:val="16"/>
                <w:szCs w:val="16"/>
              </w:rPr>
              <w:t> </w:t>
            </w:r>
          </w:p>
        </w:tc>
      </w:tr>
      <w:tr w:rsidR="00DF3851" w:rsidRPr="001A5E16" w:rsidTr="00327CCC">
        <w:trPr>
          <w:cantSplit/>
        </w:trPr>
        <w:tc>
          <w:tcPr>
            <w:tcW w:w="1926" w:type="dxa"/>
            <w:shd w:val="clear" w:color="auto" w:fill="F2F2F2" w:themeFill="background1" w:themeFillShade="F2"/>
            <w:vAlign w:val="center"/>
          </w:tcPr>
          <w:p w:rsidR="00DF3851" w:rsidRPr="00292C8B" w:rsidRDefault="00DF3851" w:rsidP="00C81789">
            <w:pPr>
              <w:spacing w:before="120" w:after="120"/>
              <w:rPr>
                <w:sz w:val="16"/>
                <w:szCs w:val="16"/>
              </w:rPr>
            </w:pPr>
            <w:r w:rsidRPr="00292C8B">
              <w:rPr>
                <w:sz w:val="16"/>
                <w:szCs w:val="16"/>
              </w:rPr>
              <w:t>Average of all State and Territory Parliaments excluding Tasmania</w:t>
            </w:r>
          </w:p>
        </w:tc>
        <w:tc>
          <w:tcPr>
            <w:tcW w:w="1605" w:type="dxa"/>
            <w:shd w:val="clear" w:color="auto" w:fill="F2F2F2" w:themeFill="background1" w:themeFillShade="F2"/>
            <w:vAlign w:val="center"/>
          </w:tcPr>
          <w:p w:rsidR="00DF3851" w:rsidRPr="00DF3851" w:rsidRDefault="00DF3851" w:rsidP="00DF3851">
            <w:pPr>
              <w:spacing w:before="120" w:after="120"/>
              <w:jc w:val="center"/>
              <w:rPr>
                <w:color w:val="000000"/>
                <w:sz w:val="16"/>
                <w:szCs w:val="16"/>
              </w:rPr>
            </w:pPr>
            <w:r w:rsidRPr="00DF3851">
              <w:rPr>
                <w:color w:val="000000"/>
                <w:sz w:val="16"/>
                <w:szCs w:val="16"/>
              </w:rPr>
              <w:t>76 067</w:t>
            </w:r>
          </w:p>
        </w:tc>
        <w:tc>
          <w:tcPr>
            <w:tcW w:w="1606" w:type="dxa"/>
            <w:shd w:val="clear" w:color="auto" w:fill="F2F2F2" w:themeFill="background1" w:themeFillShade="F2"/>
            <w:vAlign w:val="center"/>
          </w:tcPr>
          <w:p w:rsidR="00DF3851" w:rsidRPr="00DF3851" w:rsidRDefault="00DF3851" w:rsidP="00DF3851">
            <w:pPr>
              <w:spacing w:before="120" w:after="120"/>
              <w:jc w:val="center"/>
              <w:rPr>
                <w:color w:val="000000"/>
                <w:sz w:val="16"/>
                <w:szCs w:val="16"/>
              </w:rPr>
            </w:pPr>
            <w:r w:rsidRPr="00DF3851">
              <w:rPr>
                <w:color w:val="000000"/>
                <w:sz w:val="16"/>
                <w:szCs w:val="16"/>
              </w:rPr>
              <w:t xml:space="preserve">143,746 </w:t>
            </w:r>
          </w:p>
        </w:tc>
        <w:tc>
          <w:tcPr>
            <w:tcW w:w="1667" w:type="dxa"/>
            <w:shd w:val="clear" w:color="auto" w:fill="F2F2F2" w:themeFill="background1" w:themeFillShade="F2"/>
            <w:vAlign w:val="center"/>
          </w:tcPr>
          <w:p w:rsidR="00DF3851" w:rsidRPr="00DF3851" w:rsidRDefault="00DF3851" w:rsidP="00DF3851">
            <w:pPr>
              <w:spacing w:before="120" w:after="120"/>
              <w:jc w:val="center"/>
              <w:rPr>
                <w:color w:val="000000"/>
                <w:sz w:val="16"/>
                <w:szCs w:val="16"/>
              </w:rPr>
            </w:pPr>
            <w:r w:rsidRPr="00DF3851">
              <w:rPr>
                <w:color w:val="000000"/>
                <w:sz w:val="16"/>
                <w:szCs w:val="16"/>
              </w:rPr>
              <w:t xml:space="preserve">152 069 </w:t>
            </w:r>
          </w:p>
        </w:tc>
        <w:tc>
          <w:tcPr>
            <w:tcW w:w="1701" w:type="dxa"/>
            <w:shd w:val="clear" w:color="auto" w:fill="F2F2F2" w:themeFill="background1" w:themeFillShade="F2"/>
            <w:vAlign w:val="center"/>
          </w:tcPr>
          <w:p w:rsidR="00DF3851" w:rsidRPr="00DF3851" w:rsidRDefault="00DF3851" w:rsidP="00DF3851">
            <w:pPr>
              <w:spacing w:before="120" w:after="120"/>
              <w:jc w:val="center"/>
              <w:rPr>
                <w:color w:val="000000"/>
                <w:sz w:val="16"/>
                <w:szCs w:val="16"/>
              </w:rPr>
            </w:pPr>
            <w:r w:rsidRPr="00DF3851">
              <w:rPr>
                <w:color w:val="000000"/>
                <w:sz w:val="16"/>
                <w:szCs w:val="16"/>
              </w:rPr>
              <w:t>99.91%</w:t>
            </w:r>
          </w:p>
        </w:tc>
        <w:tc>
          <w:tcPr>
            <w:tcW w:w="1701" w:type="dxa"/>
            <w:shd w:val="clear" w:color="auto" w:fill="F2F2F2" w:themeFill="background1" w:themeFillShade="F2"/>
            <w:vAlign w:val="center"/>
          </w:tcPr>
          <w:p w:rsidR="00DF3851" w:rsidRPr="00DF3851" w:rsidRDefault="00DF3851" w:rsidP="00DF3851">
            <w:pPr>
              <w:spacing w:before="120" w:after="120"/>
              <w:jc w:val="center"/>
              <w:rPr>
                <w:color w:val="000000"/>
                <w:sz w:val="16"/>
                <w:szCs w:val="16"/>
              </w:rPr>
            </w:pPr>
            <w:r w:rsidRPr="00DF3851">
              <w:rPr>
                <w:color w:val="000000"/>
                <w:sz w:val="16"/>
                <w:szCs w:val="16"/>
              </w:rPr>
              <w:t>5.79%</w:t>
            </w:r>
          </w:p>
        </w:tc>
      </w:tr>
      <w:tr w:rsidR="00DF3851" w:rsidRPr="001A5E16" w:rsidTr="00327CCC">
        <w:trPr>
          <w:cantSplit/>
        </w:trPr>
        <w:tc>
          <w:tcPr>
            <w:tcW w:w="1926" w:type="dxa"/>
            <w:shd w:val="clear" w:color="auto" w:fill="F2F2F2" w:themeFill="background1" w:themeFillShade="F2"/>
            <w:vAlign w:val="center"/>
          </w:tcPr>
          <w:p w:rsidR="00DF3851" w:rsidRPr="00292C8B" w:rsidRDefault="00DF3851" w:rsidP="00C81789">
            <w:pPr>
              <w:spacing w:before="120" w:after="120"/>
              <w:rPr>
                <w:sz w:val="16"/>
                <w:szCs w:val="16"/>
              </w:rPr>
            </w:pPr>
            <w:r w:rsidRPr="00292C8B">
              <w:rPr>
                <w:sz w:val="16"/>
                <w:szCs w:val="16"/>
              </w:rPr>
              <w:t>% differential from Tasmania</w:t>
            </w:r>
          </w:p>
        </w:tc>
        <w:tc>
          <w:tcPr>
            <w:tcW w:w="1605" w:type="dxa"/>
            <w:shd w:val="clear" w:color="auto" w:fill="F2F2F2" w:themeFill="background1" w:themeFillShade="F2"/>
            <w:vAlign w:val="center"/>
          </w:tcPr>
          <w:p w:rsidR="00DF3851" w:rsidRPr="00DF3851" w:rsidRDefault="00DF3851" w:rsidP="00DF3851">
            <w:pPr>
              <w:spacing w:before="120" w:after="120"/>
              <w:jc w:val="center"/>
              <w:rPr>
                <w:color w:val="000000"/>
                <w:sz w:val="16"/>
                <w:szCs w:val="16"/>
              </w:rPr>
            </w:pPr>
            <w:r w:rsidRPr="00DF3851">
              <w:rPr>
                <w:color w:val="000000"/>
                <w:sz w:val="16"/>
                <w:szCs w:val="16"/>
              </w:rPr>
              <w:t>11.3%</w:t>
            </w:r>
          </w:p>
        </w:tc>
        <w:tc>
          <w:tcPr>
            <w:tcW w:w="1606" w:type="dxa"/>
            <w:shd w:val="clear" w:color="auto" w:fill="F2F2F2" w:themeFill="background1" w:themeFillShade="F2"/>
            <w:vAlign w:val="center"/>
          </w:tcPr>
          <w:p w:rsidR="00DF3851" w:rsidRPr="00DF3851" w:rsidRDefault="00DF3851" w:rsidP="00DF3851">
            <w:pPr>
              <w:spacing w:before="120" w:after="120"/>
              <w:jc w:val="center"/>
              <w:rPr>
                <w:color w:val="000000"/>
                <w:sz w:val="16"/>
                <w:szCs w:val="16"/>
              </w:rPr>
            </w:pPr>
            <w:r w:rsidRPr="00DF3851">
              <w:rPr>
                <w:color w:val="000000"/>
                <w:sz w:val="16"/>
                <w:szCs w:val="16"/>
              </w:rPr>
              <w:t>21.3%</w:t>
            </w:r>
          </w:p>
        </w:tc>
        <w:tc>
          <w:tcPr>
            <w:tcW w:w="1667" w:type="dxa"/>
            <w:shd w:val="clear" w:color="auto" w:fill="F2F2F2" w:themeFill="background1" w:themeFillShade="F2"/>
            <w:vAlign w:val="center"/>
          </w:tcPr>
          <w:p w:rsidR="00DF3851" w:rsidRPr="00DF3851" w:rsidRDefault="00DF3851" w:rsidP="00DF3851">
            <w:pPr>
              <w:spacing w:before="120" w:after="120"/>
              <w:jc w:val="center"/>
              <w:rPr>
                <w:color w:val="000000"/>
                <w:sz w:val="16"/>
                <w:szCs w:val="16"/>
              </w:rPr>
            </w:pPr>
            <w:r w:rsidRPr="00DF3851">
              <w:rPr>
                <w:color w:val="000000"/>
                <w:sz w:val="16"/>
                <w:szCs w:val="16"/>
              </w:rPr>
              <w:t>25.8%</w:t>
            </w:r>
          </w:p>
        </w:tc>
        <w:tc>
          <w:tcPr>
            <w:tcW w:w="1701" w:type="dxa"/>
            <w:shd w:val="clear" w:color="auto" w:fill="auto"/>
            <w:vAlign w:val="center"/>
          </w:tcPr>
          <w:p w:rsidR="00DF3851" w:rsidRPr="00DF3851" w:rsidRDefault="00DF3851" w:rsidP="00DF3851">
            <w:pPr>
              <w:spacing w:before="120" w:after="120"/>
              <w:jc w:val="center"/>
              <w:rPr>
                <w:color w:val="000000"/>
                <w:sz w:val="16"/>
                <w:szCs w:val="16"/>
              </w:rPr>
            </w:pPr>
          </w:p>
        </w:tc>
        <w:tc>
          <w:tcPr>
            <w:tcW w:w="1701" w:type="dxa"/>
            <w:vAlign w:val="center"/>
          </w:tcPr>
          <w:p w:rsidR="00DF3851" w:rsidRPr="00DF3851" w:rsidRDefault="00DF3851" w:rsidP="00DF3851">
            <w:pPr>
              <w:spacing w:before="120" w:after="120"/>
              <w:jc w:val="center"/>
              <w:rPr>
                <w:color w:val="000000"/>
                <w:sz w:val="16"/>
                <w:szCs w:val="16"/>
              </w:rPr>
            </w:pPr>
          </w:p>
        </w:tc>
      </w:tr>
    </w:tbl>
    <w:p w:rsidR="00340799" w:rsidRPr="00292C8B" w:rsidRDefault="00340799" w:rsidP="00340799">
      <w:pPr>
        <w:jc w:val="both"/>
        <w:rPr>
          <w:lang w:val="en-US"/>
        </w:rPr>
      </w:pPr>
    </w:p>
    <w:p w:rsidR="00404159" w:rsidRPr="00C81789" w:rsidRDefault="00404159" w:rsidP="00F324DE">
      <w:pPr>
        <w:pStyle w:val="textbasic"/>
      </w:pPr>
      <w:r w:rsidRPr="00C81789">
        <w:t xml:space="preserve">In their respective submissions, </w:t>
      </w:r>
      <w:r w:rsidRPr="00C81789">
        <w:rPr>
          <w:b/>
        </w:rPr>
        <w:t>Unions Tasmania</w:t>
      </w:r>
      <w:r w:rsidRPr="00C81789">
        <w:t xml:space="preserve">, the </w:t>
      </w:r>
      <w:r w:rsidRPr="00C81789">
        <w:rPr>
          <w:b/>
        </w:rPr>
        <w:t>CPSU</w:t>
      </w:r>
      <w:r w:rsidRPr="00C81789">
        <w:t xml:space="preserve"> and the </w:t>
      </w:r>
      <w:r w:rsidR="00712B10" w:rsidRPr="00C81789">
        <w:rPr>
          <w:b/>
        </w:rPr>
        <w:t>ANMF (Tas)</w:t>
      </w:r>
      <w:r w:rsidRPr="00C81789">
        <w:t xml:space="preserve"> all </w:t>
      </w:r>
      <w:r w:rsidR="009B2842" w:rsidRPr="00C81789">
        <w:t>support</w:t>
      </w:r>
      <w:r w:rsidRPr="00C81789">
        <w:t xml:space="preserve"> </w:t>
      </w:r>
      <w:r w:rsidR="00C81789" w:rsidRPr="00C81789">
        <w:t xml:space="preserve">a determination of a basic salary in line with the 2014 Report and </w:t>
      </w:r>
      <w:r w:rsidR="009B2842" w:rsidRPr="00C81789">
        <w:t xml:space="preserve">a nexus with State and </w:t>
      </w:r>
      <w:r w:rsidR="00E06A1F" w:rsidRPr="00C81789">
        <w:t xml:space="preserve">Territory </w:t>
      </w:r>
      <w:r w:rsidR="009B2842" w:rsidRPr="00C81789">
        <w:t>parliamentarians as an appropriate mechanism for future determinations of the basic salary.</w:t>
      </w:r>
    </w:p>
    <w:p w:rsidR="00241A20" w:rsidRDefault="00404159" w:rsidP="00F324DE">
      <w:pPr>
        <w:pStyle w:val="textbasic"/>
      </w:pPr>
      <w:r w:rsidRPr="000415F0">
        <w:rPr>
          <w:b/>
        </w:rPr>
        <w:t>Union</w:t>
      </w:r>
      <w:r w:rsidR="00376757" w:rsidRPr="000415F0">
        <w:rPr>
          <w:b/>
        </w:rPr>
        <w:t>s</w:t>
      </w:r>
      <w:r w:rsidRPr="000415F0">
        <w:rPr>
          <w:b/>
        </w:rPr>
        <w:t xml:space="preserve"> Tasmania</w:t>
      </w:r>
      <w:r w:rsidRPr="00C81789">
        <w:t xml:space="preserve"> considers</w:t>
      </w:r>
      <w:r w:rsidR="00D22E21">
        <w:t>:</w:t>
      </w:r>
      <w:r w:rsidRPr="00C81789">
        <w:t xml:space="preserve"> </w:t>
      </w:r>
    </w:p>
    <w:p w:rsidR="00404159" w:rsidRPr="00C81789" w:rsidRDefault="00404159" w:rsidP="00241A20">
      <w:pPr>
        <w:pStyle w:val="quoteitalics1"/>
      </w:pPr>
      <w:r w:rsidRPr="00C81789">
        <w:t>“</w:t>
      </w:r>
      <w:r w:rsidR="00241A20">
        <w:tab/>
      </w:r>
      <w:r w:rsidRPr="004B7749">
        <w:t>that</w:t>
      </w:r>
      <w:r w:rsidRPr="00C81789">
        <w:t xml:space="preserve"> </w:t>
      </w:r>
      <w:r w:rsidR="00D22E21" w:rsidRPr="00D22E21">
        <w:rPr>
          <w:i w:val="0"/>
        </w:rPr>
        <w:t>[</w:t>
      </w:r>
      <w:r w:rsidRPr="00D22E21">
        <w:rPr>
          <w:i w:val="0"/>
        </w:rPr>
        <w:t>the basic salary recommended in the 2014 Report</w:t>
      </w:r>
      <w:r w:rsidR="00D22E21" w:rsidRPr="00D22E21">
        <w:rPr>
          <w:i w:val="0"/>
        </w:rPr>
        <w:t>]</w:t>
      </w:r>
      <w:r w:rsidRPr="00C81789">
        <w:t xml:space="preserve"> </w:t>
      </w:r>
      <w:r w:rsidRPr="004B7749">
        <w:t xml:space="preserve">provides the basis for creating the nexus between Tasmanian parliamentarians and other </w:t>
      </w:r>
      <w:r w:rsidR="00D22E21" w:rsidRPr="004B7749">
        <w:t xml:space="preserve">state </w:t>
      </w:r>
      <w:r w:rsidRPr="004B7749">
        <w:t xml:space="preserve">and territory parliamentarians. To establish a nexus for future wage determination </w:t>
      </w:r>
      <w:r w:rsidR="00D22E21">
        <w:t>UT</w:t>
      </w:r>
      <w:r w:rsidRPr="004B7749">
        <w:t xml:space="preserve"> submits that it is reasonable for the average of all state and territory’s excluding Tasmania and the Commonwealth be used to establish the % differential that exists as at the 01 January 2015</w:t>
      </w:r>
      <w:r w:rsidRPr="00C81789">
        <w:t>.”</w:t>
      </w:r>
    </w:p>
    <w:p w:rsidR="00241A20" w:rsidRDefault="009B2842" w:rsidP="00F324DE">
      <w:pPr>
        <w:pStyle w:val="textbasic"/>
      </w:pPr>
      <w:r w:rsidRPr="00C81789">
        <w:t xml:space="preserve">The </w:t>
      </w:r>
      <w:r w:rsidRPr="00C81789">
        <w:rPr>
          <w:b/>
        </w:rPr>
        <w:t>CPSU</w:t>
      </w:r>
      <w:r w:rsidRPr="00C81789">
        <w:t xml:space="preserve"> submit</w:t>
      </w:r>
      <w:r w:rsidR="000415F0">
        <w:t>s</w:t>
      </w:r>
      <w:r w:rsidRPr="00C81789">
        <w:t xml:space="preserve"> that a figure of $131 046 pa would be an appropriate basic salary (as this is the salary proposed in the 2014 Report increased by the WPI for the </w:t>
      </w:r>
      <w:r w:rsidR="00C81789" w:rsidRPr="00C81789">
        <w:t>period</w:t>
      </w:r>
      <w:r w:rsidRPr="00C81789">
        <w:t xml:space="preserve"> March 2014-March 2015). This</w:t>
      </w:r>
      <w:r w:rsidR="00D22E21">
        <w:t>:</w:t>
      </w:r>
      <w:r w:rsidRPr="00C81789">
        <w:t xml:space="preserve"> </w:t>
      </w:r>
    </w:p>
    <w:p w:rsidR="009B2842" w:rsidRPr="00C81789" w:rsidRDefault="009B2842" w:rsidP="00241A20">
      <w:pPr>
        <w:pStyle w:val="quoteitalics1"/>
      </w:pPr>
      <w:r w:rsidRPr="00C81789">
        <w:t>“</w:t>
      </w:r>
      <w:r w:rsidR="00241A20">
        <w:tab/>
      </w:r>
      <w:r w:rsidRPr="004B7749">
        <w:t>would establish a comparator of 88% of the average of the salaries in these jurisdictions. The CPSU considers this comparator should be used in future determinations of increases in basic salary for Tasmanian politicians</w:t>
      </w:r>
      <w:r w:rsidRPr="00C81789">
        <w:t xml:space="preserve">.” </w:t>
      </w:r>
    </w:p>
    <w:p w:rsidR="00930A71" w:rsidRPr="00930A71" w:rsidRDefault="00930A71" w:rsidP="00F324DE">
      <w:pPr>
        <w:pStyle w:val="textbasic"/>
      </w:pPr>
      <w:r w:rsidRPr="00930A71">
        <w:t xml:space="preserve">In terms of comparison with other jurisdictions, we consider, like the Tribunal, that the State and Territory </w:t>
      </w:r>
      <w:r w:rsidR="00E06A1F" w:rsidRPr="00930A71">
        <w:t xml:space="preserve">parliaments </w:t>
      </w:r>
      <w:r w:rsidRPr="00930A71">
        <w:t>are more relevant than the Commonwealth Parliament. In this context it is noted that</w:t>
      </w:r>
      <w:r w:rsidR="00E06A1F">
        <w:t>,</w:t>
      </w:r>
      <w:r w:rsidRPr="00930A71">
        <w:t xml:space="preserve"> whil</w:t>
      </w:r>
      <w:r w:rsidR="00E06A1F">
        <w:t>e</w:t>
      </w:r>
      <w:r w:rsidRPr="00930A71">
        <w:t xml:space="preserve"> </w:t>
      </w:r>
      <w:r w:rsidR="00C81789">
        <w:t xml:space="preserve">as already mentioned </w:t>
      </w:r>
      <w:r w:rsidRPr="00930A71">
        <w:t xml:space="preserve">Tasmania has historically been lower than the average of the other </w:t>
      </w:r>
      <w:r w:rsidR="00E06A1F">
        <w:t xml:space="preserve">State </w:t>
      </w:r>
      <w:r w:rsidR="008A48EB">
        <w:t xml:space="preserve">and </w:t>
      </w:r>
      <w:r w:rsidR="00E06A1F">
        <w:t xml:space="preserve">Territory </w:t>
      </w:r>
      <w:r w:rsidRPr="00930A71">
        <w:t>jurisdictions (</w:t>
      </w:r>
      <w:r w:rsidR="00C81789">
        <w:t xml:space="preserve">11.3% lower in 1996 and </w:t>
      </w:r>
      <w:r w:rsidR="00C81789" w:rsidRPr="00930A71">
        <w:t>21.3% lower in 2013</w:t>
      </w:r>
      <w:r w:rsidRPr="00930A71">
        <w:t xml:space="preserve">), the relative position of Tasmanian MPs </w:t>
      </w:r>
      <w:r w:rsidR="004B7749">
        <w:t xml:space="preserve">has </w:t>
      </w:r>
      <w:r w:rsidRPr="00930A71">
        <w:t xml:space="preserve">declined further </w:t>
      </w:r>
      <w:r w:rsidR="00C81789">
        <w:t>to</w:t>
      </w:r>
      <w:r w:rsidRPr="00930A71">
        <w:t xml:space="preserve"> be </w:t>
      </w:r>
      <w:r w:rsidR="008A48EB" w:rsidRPr="00930A71">
        <w:t xml:space="preserve">currently </w:t>
      </w:r>
      <w:r w:rsidRPr="00930A71">
        <w:t>2</w:t>
      </w:r>
      <w:r w:rsidR="00241A20">
        <w:t>5</w:t>
      </w:r>
      <w:r w:rsidRPr="00930A71">
        <w:t>.</w:t>
      </w:r>
      <w:r w:rsidR="008A48EB">
        <w:t>8</w:t>
      </w:r>
      <w:r w:rsidRPr="00930A71">
        <w:t>% below th</w:t>
      </w:r>
      <w:r w:rsidR="008A48EB">
        <w:t>at</w:t>
      </w:r>
      <w:r w:rsidRPr="00930A71">
        <w:t xml:space="preserve"> average. </w:t>
      </w:r>
    </w:p>
    <w:p w:rsidR="00930A71" w:rsidRDefault="00930A71" w:rsidP="00F324DE">
      <w:pPr>
        <w:pStyle w:val="textbasic"/>
      </w:pPr>
      <w:r w:rsidRPr="00930A71">
        <w:lastRenderedPageBreak/>
        <w:t xml:space="preserve">Put another way, </w:t>
      </w:r>
      <w:r>
        <w:t xml:space="preserve">the </w:t>
      </w:r>
      <w:r w:rsidRPr="00930A71">
        <w:t xml:space="preserve">salaries </w:t>
      </w:r>
      <w:r>
        <w:t xml:space="preserve">of members of </w:t>
      </w:r>
      <w:r w:rsidR="00702D39">
        <w:t xml:space="preserve">Parliament </w:t>
      </w:r>
      <w:r w:rsidRPr="00930A71">
        <w:t>in all other jurisdictions have increased at a faster rate than for Tasmania over the past 20 years.</w:t>
      </w:r>
    </w:p>
    <w:p w:rsidR="000415F0" w:rsidRDefault="000415F0" w:rsidP="00F324DE">
      <w:pPr>
        <w:pStyle w:val="textbasic"/>
      </w:pPr>
      <w:r>
        <w:t>It should also be noted that some jurisdictions (</w:t>
      </w:r>
      <w:r w:rsidR="00490FF6">
        <w:t xml:space="preserve">possibly the Australian Capital Territory, Northern Territory, </w:t>
      </w:r>
      <w:r>
        <w:t xml:space="preserve">Victoria, Western Australia) are likely to increase </w:t>
      </w:r>
      <w:r w:rsidR="00490FF6">
        <w:t xml:space="preserve">or at least review </w:t>
      </w:r>
      <w:r>
        <w:t xml:space="preserve">salaries from 1 July 2016 and this </w:t>
      </w:r>
      <w:r w:rsidR="00490FF6">
        <w:t>is likely to</w:t>
      </w:r>
      <w:r>
        <w:t xml:space="preserve"> further diminish the relativity of the Tasmanian basic salary.</w:t>
      </w:r>
    </w:p>
    <w:p w:rsidR="00C771AD" w:rsidRPr="001B2C0D" w:rsidRDefault="00C771AD" w:rsidP="00EC1A81">
      <w:pPr>
        <w:pStyle w:val="Heading3"/>
      </w:pPr>
      <w:bookmarkStart w:id="39" w:name="_Toc443486913"/>
      <w:r>
        <w:t>5.</w:t>
      </w:r>
      <w:r w:rsidR="00EC1A81">
        <w:t>1.</w:t>
      </w:r>
      <w:r>
        <w:t>3</w:t>
      </w:r>
      <w:r>
        <w:tab/>
      </w:r>
      <w:r w:rsidRPr="001B2C0D">
        <w:t xml:space="preserve">Other Statistical </w:t>
      </w:r>
      <w:r w:rsidRPr="00C81789">
        <w:t>Measures</w:t>
      </w:r>
      <w:bookmarkEnd w:id="39"/>
    </w:p>
    <w:p w:rsidR="00340799" w:rsidRPr="00C84D8D" w:rsidRDefault="00340799" w:rsidP="00F324DE">
      <w:pPr>
        <w:pStyle w:val="textbasic"/>
      </w:pPr>
      <w:r w:rsidRPr="00292C8B">
        <w:t xml:space="preserve">This relative position </w:t>
      </w:r>
      <w:r w:rsidR="00C81789">
        <w:t xml:space="preserve">of Tasmania in </w:t>
      </w:r>
      <w:r w:rsidR="004B7749">
        <w:t xml:space="preserve">the </w:t>
      </w:r>
      <w:r w:rsidR="00C81789">
        <w:t xml:space="preserve">national context </w:t>
      </w:r>
      <w:r w:rsidRPr="00292C8B">
        <w:t>is not, however, unique to MPs. As the following table</w:t>
      </w:r>
      <w:r w:rsidRPr="00C84D8D">
        <w:t xml:space="preserve"> </w:t>
      </w:r>
      <w:r w:rsidR="00E14D34">
        <w:t>(</w:t>
      </w:r>
      <w:r>
        <w:t>Table 3</w:t>
      </w:r>
      <w:r w:rsidR="00E14D34">
        <w:t>)</w:t>
      </w:r>
      <w:r>
        <w:t xml:space="preserve"> </w:t>
      </w:r>
      <w:r w:rsidRPr="00C84D8D">
        <w:t xml:space="preserve">shows, average weekly earnings </w:t>
      </w:r>
      <w:r>
        <w:t>(</w:t>
      </w:r>
      <w:r w:rsidRPr="00C84D8D">
        <w:t>AWE</w:t>
      </w:r>
      <w:r>
        <w:t>)</w:t>
      </w:r>
      <w:r w:rsidRPr="00C84D8D">
        <w:t xml:space="preserve"> in Tasmania have invariably been below the national position.</w:t>
      </w:r>
    </w:p>
    <w:p w:rsidR="00C771AD" w:rsidRPr="00725574" w:rsidRDefault="00725574" w:rsidP="00725574">
      <w:pPr>
        <w:pStyle w:val="TableTitlemain"/>
      </w:pPr>
      <w:r w:rsidRPr="00725574">
        <w:t>Table 3</w:t>
      </w:r>
      <w:r w:rsidRPr="00725574">
        <w:tab/>
      </w:r>
      <w:r w:rsidR="00C771AD" w:rsidRPr="00725574">
        <w:t xml:space="preserve">Average Weekly Ordinary Time Earnings F-T Adults </w:t>
      </w:r>
      <w:r w:rsidR="00E14D34">
        <w:t>(</w:t>
      </w:r>
      <w:r w:rsidR="00C771AD" w:rsidRPr="00725574">
        <w:t>trend</w:t>
      </w:r>
      <w:r w:rsidR="00E14D34">
        <w:t>)</w:t>
      </w:r>
      <w:r w:rsidR="00C771AD" w:rsidRPr="00725574">
        <w:t xml:space="preserve"> Australia and Tasmania 1996 – 2015</w:t>
      </w:r>
      <w:r w:rsidR="00C771AD" w:rsidRPr="00241A20">
        <w:rPr>
          <w:rStyle w:val="FootnoteReference"/>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C771AD" w:rsidRPr="00327CCC" w:rsidTr="00327CCC">
        <w:tc>
          <w:tcPr>
            <w:tcW w:w="2310" w:type="dxa"/>
            <w:shd w:val="clear" w:color="auto" w:fill="D9D9D9" w:themeFill="background1" w:themeFillShade="D9"/>
          </w:tcPr>
          <w:p w:rsidR="00C771AD" w:rsidRPr="00327CCC" w:rsidRDefault="00C771AD" w:rsidP="00C81789">
            <w:pPr>
              <w:spacing w:before="120" w:after="120"/>
              <w:jc w:val="both"/>
              <w:rPr>
                <w:b/>
                <w:sz w:val="16"/>
                <w:szCs w:val="16"/>
                <w:lang w:val="en-US"/>
              </w:rPr>
            </w:pPr>
            <w:r w:rsidRPr="00327CCC">
              <w:rPr>
                <w:b/>
                <w:sz w:val="16"/>
                <w:szCs w:val="16"/>
                <w:lang w:val="en-US"/>
              </w:rPr>
              <w:t>Date</w:t>
            </w:r>
          </w:p>
        </w:tc>
        <w:tc>
          <w:tcPr>
            <w:tcW w:w="2310" w:type="dxa"/>
            <w:shd w:val="clear" w:color="auto" w:fill="D9D9D9" w:themeFill="background1" w:themeFillShade="D9"/>
            <w:vAlign w:val="center"/>
          </w:tcPr>
          <w:p w:rsidR="00C771AD" w:rsidRPr="00327CCC" w:rsidRDefault="00C771AD" w:rsidP="00A37F7D">
            <w:pPr>
              <w:spacing w:before="120" w:after="120"/>
              <w:jc w:val="center"/>
              <w:rPr>
                <w:b/>
                <w:sz w:val="16"/>
                <w:szCs w:val="16"/>
                <w:lang w:val="en-US"/>
              </w:rPr>
            </w:pPr>
            <w:r w:rsidRPr="00327CCC">
              <w:rPr>
                <w:b/>
                <w:sz w:val="16"/>
                <w:szCs w:val="16"/>
                <w:lang w:val="en-US"/>
              </w:rPr>
              <w:t>Australia</w:t>
            </w:r>
          </w:p>
        </w:tc>
        <w:tc>
          <w:tcPr>
            <w:tcW w:w="2311" w:type="dxa"/>
            <w:shd w:val="clear" w:color="auto" w:fill="D9D9D9" w:themeFill="background1" w:themeFillShade="D9"/>
            <w:vAlign w:val="center"/>
          </w:tcPr>
          <w:p w:rsidR="00C771AD" w:rsidRPr="00327CCC" w:rsidRDefault="00C771AD" w:rsidP="00A37F7D">
            <w:pPr>
              <w:spacing w:before="120" w:after="120"/>
              <w:jc w:val="center"/>
              <w:rPr>
                <w:b/>
                <w:sz w:val="16"/>
                <w:szCs w:val="16"/>
                <w:lang w:val="en-US"/>
              </w:rPr>
            </w:pPr>
            <w:r w:rsidRPr="00327CCC">
              <w:rPr>
                <w:b/>
                <w:sz w:val="16"/>
                <w:szCs w:val="16"/>
                <w:lang w:val="en-US"/>
              </w:rPr>
              <w:t>Tasmania</w:t>
            </w:r>
          </w:p>
        </w:tc>
        <w:tc>
          <w:tcPr>
            <w:tcW w:w="2311" w:type="dxa"/>
            <w:shd w:val="clear" w:color="auto" w:fill="D9D9D9" w:themeFill="background1" w:themeFillShade="D9"/>
            <w:vAlign w:val="center"/>
          </w:tcPr>
          <w:p w:rsidR="00C771AD" w:rsidRPr="00327CCC" w:rsidRDefault="00C771AD" w:rsidP="00A37F7D">
            <w:pPr>
              <w:spacing w:before="120" w:after="120"/>
              <w:jc w:val="center"/>
              <w:rPr>
                <w:b/>
                <w:sz w:val="16"/>
                <w:szCs w:val="16"/>
                <w:lang w:val="en-US"/>
              </w:rPr>
            </w:pPr>
            <w:r w:rsidRPr="00327CCC">
              <w:rPr>
                <w:b/>
                <w:sz w:val="16"/>
                <w:szCs w:val="16"/>
                <w:lang w:val="en-US"/>
              </w:rPr>
              <w:t>% differential</w:t>
            </w:r>
            <w:r w:rsidR="00A37F7D" w:rsidRPr="00327CCC">
              <w:rPr>
                <w:rStyle w:val="FootnoteReference"/>
                <w:b/>
                <w:sz w:val="16"/>
                <w:szCs w:val="16"/>
                <w:lang w:val="en-US"/>
              </w:rPr>
              <w:footnoteReference w:id="22"/>
            </w:r>
          </w:p>
        </w:tc>
      </w:tr>
      <w:tr w:rsidR="00C771AD" w:rsidRPr="000A39B0" w:rsidTr="00327CCC">
        <w:tc>
          <w:tcPr>
            <w:tcW w:w="2310" w:type="dxa"/>
            <w:shd w:val="clear" w:color="auto" w:fill="auto"/>
          </w:tcPr>
          <w:p w:rsidR="00C771AD" w:rsidRPr="000A39B0" w:rsidRDefault="00C771AD" w:rsidP="00C81789">
            <w:pPr>
              <w:spacing w:before="120" w:after="120"/>
              <w:jc w:val="both"/>
              <w:rPr>
                <w:sz w:val="16"/>
                <w:szCs w:val="16"/>
                <w:lang w:val="en-US"/>
              </w:rPr>
            </w:pPr>
            <w:r w:rsidRPr="000A39B0">
              <w:rPr>
                <w:sz w:val="16"/>
                <w:szCs w:val="16"/>
                <w:lang w:val="en-US"/>
              </w:rPr>
              <w:t>May 1996</w:t>
            </w:r>
          </w:p>
        </w:tc>
        <w:tc>
          <w:tcPr>
            <w:tcW w:w="2310" w:type="dxa"/>
            <w:shd w:val="clear" w:color="auto" w:fill="auto"/>
            <w:vAlign w:val="center"/>
          </w:tcPr>
          <w:p w:rsidR="00C771AD" w:rsidRPr="000A39B0" w:rsidRDefault="00C771AD" w:rsidP="00A37F7D">
            <w:pPr>
              <w:spacing w:before="120" w:after="120"/>
              <w:jc w:val="center"/>
              <w:rPr>
                <w:sz w:val="16"/>
                <w:szCs w:val="16"/>
                <w:lang w:val="en-US"/>
              </w:rPr>
            </w:pPr>
            <w:r w:rsidRPr="000A39B0">
              <w:rPr>
                <w:sz w:val="16"/>
                <w:szCs w:val="16"/>
                <w:lang w:val="en-US"/>
              </w:rPr>
              <w:t>$672.80</w:t>
            </w:r>
          </w:p>
        </w:tc>
        <w:tc>
          <w:tcPr>
            <w:tcW w:w="2311" w:type="dxa"/>
            <w:shd w:val="clear" w:color="auto" w:fill="auto"/>
            <w:vAlign w:val="center"/>
          </w:tcPr>
          <w:p w:rsidR="00C771AD" w:rsidRPr="000A39B0" w:rsidRDefault="00C771AD" w:rsidP="00A37F7D">
            <w:pPr>
              <w:spacing w:before="120" w:after="120"/>
              <w:jc w:val="center"/>
              <w:rPr>
                <w:sz w:val="16"/>
                <w:szCs w:val="16"/>
                <w:lang w:val="en-US"/>
              </w:rPr>
            </w:pPr>
            <w:r w:rsidRPr="000A39B0">
              <w:rPr>
                <w:sz w:val="16"/>
                <w:szCs w:val="16"/>
                <w:lang w:val="en-US"/>
              </w:rPr>
              <w:t>$630.00</w:t>
            </w:r>
          </w:p>
        </w:tc>
        <w:tc>
          <w:tcPr>
            <w:tcW w:w="2311" w:type="dxa"/>
            <w:shd w:val="clear" w:color="auto" w:fill="F2F2F2" w:themeFill="background1" w:themeFillShade="F2"/>
            <w:vAlign w:val="center"/>
          </w:tcPr>
          <w:p w:rsidR="00C771AD" w:rsidRPr="000A39B0" w:rsidRDefault="00C771AD" w:rsidP="00A37F7D">
            <w:pPr>
              <w:spacing w:before="120" w:after="120"/>
              <w:jc w:val="center"/>
              <w:rPr>
                <w:sz w:val="16"/>
                <w:szCs w:val="16"/>
                <w:lang w:val="en-US"/>
              </w:rPr>
            </w:pPr>
            <w:r w:rsidRPr="000A39B0">
              <w:rPr>
                <w:sz w:val="16"/>
                <w:szCs w:val="16"/>
                <w:lang w:val="en-US"/>
              </w:rPr>
              <w:t>6.8%</w:t>
            </w:r>
          </w:p>
        </w:tc>
      </w:tr>
      <w:tr w:rsidR="00C771AD" w:rsidRPr="000A39B0" w:rsidTr="00327CCC">
        <w:tc>
          <w:tcPr>
            <w:tcW w:w="2310" w:type="dxa"/>
            <w:shd w:val="clear" w:color="auto" w:fill="auto"/>
          </w:tcPr>
          <w:p w:rsidR="00C771AD" w:rsidRPr="000A39B0" w:rsidRDefault="00C771AD" w:rsidP="00C81789">
            <w:pPr>
              <w:spacing w:before="120" w:after="120"/>
              <w:jc w:val="both"/>
              <w:rPr>
                <w:sz w:val="16"/>
                <w:szCs w:val="16"/>
                <w:lang w:val="en-US"/>
              </w:rPr>
            </w:pPr>
            <w:r w:rsidRPr="000A39B0">
              <w:rPr>
                <w:sz w:val="16"/>
                <w:szCs w:val="16"/>
                <w:lang w:val="en-US"/>
              </w:rPr>
              <w:t>May 2005</w:t>
            </w:r>
          </w:p>
        </w:tc>
        <w:tc>
          <w:tcPr>
            <w:tcW w:w="2310" w:type="dxa"/>
            <w:shd w:val="clear" w:color="auto" w:fill="auto"/>
            <w:vAlign w:val="center"/>
          </w:tcPr>
          <w:p w:rsidR="00C771AD" w:rsidRPr="000A39B0" w:rsidRDefault="00C771AD" w:rsidP="00A37F7D">
            <w:pPr>
              <w:spacing w:before="120" w:after="120"/>
              <w:jc w:val="center"/>
              <w:rPr>
                <w:sz w:val="16"/>
                <w:szCs w:val="16"/>
                <w:lang w:val="en-US"/>
              </w:rPr>
            </w:pPr>
            <w:r w:rsidRPr="000A39B0">
              <w:rPr>
                <w:sz w:val="16"/>
                <w:szCs w:val="16"/>
                <w:lang w:val="en-US"/>
              </w:rPr>
              <w:t>$994.70</w:t>
            </w:r>
          </w:p>
        </w:tc>
        <w:tc>
          <w:tcPr>
            <w:tcW w:w="2311" w:type="dxa"/>
            <w:shd w:val="clear" w:color="auto" w:fill="auto"/>
            <w:vAlign w:val="center"/>
          </w:tcPr>
          <w:p w:rsidR="00C771AD" w:rsidRPr="000A39B0" w:rsidRDefault="00C771AD" w:rsidP="00A37F7D">
            <w:pPr>
              <w:spacing w:before="120" w:after="120"/>
              <w:jc w:val="center"/>
              <w:rPr>
                <w:sz w:val="16"/>
                <w:szCs w:val="16"/>
                <w:lang w:val="en-US"/>
              </w:rPr>
            </w:pPr>
            <w:r w:rsidRPr="000A39B0">
              <w:rPr>
                <w:sz w:val="16"/>
                <w:szCs w:val="16"/>
                <w:lang w:val="en-US"/>
              </w:rPr>
              <w:t>$841.30</w:t>
            </w:r>
          </w:p>
        </w:tc>
        <w:tc>
          <w:tcPr>
            <w:tcW w:w="2311" w:type="dxa"/>
            <w:shd w:val="clear" w:color="auto" w:fill="F2F2F2" w:themeFill="background1" w:themeFillShade="F2"/>
            <w:vAlign w:val="center"/>
          </w:tcPr>
          <w:p w:rsidR="00C771AD" w:rsidRPr="000A39B0" w:rsidRDefault="00C771AD" w:rsidP="00A37F7D">
            <w:pPr>
              <w:spacing w:before="120" w:after="120"/>
              <w:jc w:val="center"/>
              <w:rPr>
                <w:sz w:val="16"/>
                <w:szCs w:val="16"/>
                <w:lang w:val="en-US"/>
              </w:rPr>
            </w:pPr>
            <w:r w:rsidRPr="000A39B0">
              <w:rPr>
                <w:sz w:val="16"/>
                <w:szCs w:val="16"/>
                <w:lang w:val="en-US"/>
              </w:rPr>
              <w:t>18.2%</w:t>
            </w:r>
          </w:p>
        </w:tc>
      </w:tr>
      <w:tr w:rsidR="00C771AD" w:rsidRPr="000A39B0" w:rsidTr="00327CCC">
        <w:tc>
          <w:tcPr>
            <w:tcW w:w="2310" w:type="dxa"/>
            <w:shd w:val="clear" w:color="auto" w:fill="auto"/>
          </w:tcPr>
          <w:p w:rsidR="00C771AD" w:rsidRPr="000A39B0" w:rsidRDefault="00C771AD" w:rsidP="00C81789">
            <w:pPr>
              <w:spacing w:before="120" w:after="120"/>
              <w:jc w:val="both"/>
              <w:rPr>
                <w:sz w:val="16"/>
                <w:szCs w:val="16"/>
                <w:lang w:val="en-US"/>
              </w:rPr>
            </w:pPr>
            <w:r w:rsidRPr="000A39B0">
              <w:rPr>
                <w:sz w:val="16"/>
                <w:szCs w:val="16"/>
                <w:lang w:val="en-US"/>
              </w:rPr>
              <w:t>May 2010</w:t>
            </w:r>
          </w:p>
        </w:tc>
        <w:tc>
          <w:tcPr>
            <w:tcW w:w="2310" w:type="dxa"/>
            <w:shd w:val="clear" w:color="auto" w:fill="auto"/>
            <w:vAlign w:val="center"/>
          </w:tcPr>
          <w:p w:rsidR="00C771AD" w:rsidRPr="000A39B0" w:rsidRDefault="00C771AD" w:rsidP="00A37F7D">
            <w:pPr>
              <w:spacing w:before="120" w:after="120"/>
              <w:jc w:val="center"/>
              <w:rPr>
                <w:sz w:val="16"/>
                <w:szCs w:val="16"/>
                <w:lang w:val="en-US"/>
              </w:rPr>
            </w:pPr>
            <w:r w:rsidRPr="000A39B0">
              <w:rPr>
                <w:sz w:val="16"/>
                <w:szCs w:val="16"/>
                <w:lang w:val="en-US"/>
              </w:rPr>
              <w:t>$1251.30</w:t>
            </w:r>
          </w:p>
        </w:tc>
        <w:tc>
          <w:tcPr>
            <w:tcW w:w="2311" w:type="dxa"/>
            <w:shd w:val="clear" w:color="auto" w:fill="auto"/>
            <w:vAlign w:val="center"/>
          </w:tcPr>
          <w:p w:rsidR="00C771AD" w:rsidRPr="000A39B0" w:rsidRDefault="00C771AD" w:rsidP="00A37F7D">
            <w:pPr>
              <w:spacing w:before="120" w:after="120"/>
              <w:jc w:val="center"/>
              <w:rPr>
                <w:sz w:val="16"/>
                <w:szCs w:val="16"/>
                <w:lang w:val="en-US"/>
              </w:rPr>
            </w:pPr>
            <w:r w:rsidRPr="000A39B0">
              <w:rPr>
                <w:sz w:val="16"/>
                <w:szCs w:val="16"/>
                <w:lang w:val="en-US"/>
              </w:rPr>
              <w:t>$1085.00</w:t>
            </w:r>
          </w:p>
        </w:tc>
        <w:tc>
          <w:tcPr>
            <w:tcW w:w="2311" w:type="dxa"/>
            <w:shd w:val="clear" w:color="auto" w:fill="F2F2F2" w:themeFill="background1" w:themeFillShade="F2"/>
            <w:vAlign w:val="center"/>
          </w:tcPr>
          <w:p w:rsidR="00C771AD" w:rsidRPr="000A39B0" w:rsidRDefault="00C771AD" w:rsidP="00A37F7D">
            <w:pPr>
              <w:spacing w:before="120" w:after="120"/>
              <w:jc w:val="center"/>
              <w:rPr>
                <w:sz w:val="16"/>
                <w:szCs w:val="16"/>
                <w:lang w:val="en-US"/>
              </w:rPr>
            </w:pPr>
            <w:r w:rsidRPr="000A39B0">
              <w:rPr>
                <w:sz w:val="16"/>
                <w:szCs w:val="16"/>
                <w:lang w:val="en-US"/>
              </w:rPr>
              <w:t>15.3%</w:t>
            </w:r>
          </w:p>
        </w:tc>
      </w:tr>
      <w:tr w:rsidR="00C771AD" w:rsidRPr="000A39B0" w:rsidTr="00327CCC">
        <w:tc>
          <w:tcPr>
            <w:tcW w:w="2310" w:type="dxa"/>
            <w:shd w:val="clear" w:color="auto" w:fill="auto"/>
          </w:tcPr>
          <w:p w:rsidR="00C771AD" w:rsidRPr="000A39B0" w:rsidRDefault="00C771AD" w:rsidP="00C81789">
            <w:pPr>
              <w:spacing w:before="120" w:after="120"/>
              <w:jc w:val="both"/>
              <w:rPr>
                <w:sz w:val="16"/>
                <w:szCs w:val="16"/>
                <w:lang w:val="en-US"/>
              </w:rPr>
            </w:pPr>
            <w:r w:rsidRPr="000A39B0">
              <w:rPr>
                <w:sz w:val="16"/>
                <w:szCs w:val="16"/>
                <w:lang w:val="en-US"/>
              </w:rPr>
              <w:t>May 2015</w:t>
            </w:r>
          </w:p>
        </w:tc>
        <w:tc>
          <w:tcPr>
            <w:tcW w:w="2310" w:type="dxa"/>
            <w:shd w:val="clear" w:color="auto" w:fill="auto"/>
            <w:vAlign w:val="center"/>
          </w:tcPr>
          <w:p w:rsidR="00C771AD" w:rsidRPr="000A39B0" w:rsidRDefault="00C771AD" w:rsidP="00A37F7D">
            <w:pPr>
              <w:spacing w:before="120" w:after="120"/>
              <w:jc w:val="center"/>
              <w:rPr>
                <w:sz w:val="16"/>
                <w:szCs w:val="16"/>
                <w:lang w:val="en-US"/>
              </w:rPr>
            </w:pPr>
            <w:r w:rsidRPr="000A39B0">
              <w:rPr>
                <w:sz w:val="16"/>
                <w:szCs w:val="16"/>
                <w:lang w:val="en-US"/>
              </w:rPr>
              <w:t>$1484.50</w:t>
            </w:r>
          </w:p>
        </w:tc>
        <w:tc>
          <w:tcPr>
            <w:tcW w:w="2311" w:type="dxa"/>
            <w:shd w:val="clear" w:color="auto" w:fill="auto"/>
            <w:vAlign w:val="center"/>
          </w:tcPr>
          <w:p w:rsidR="00C771AD" w:rsidRPr="000A39B0" w:rsidRDefault="00C771AD" w:rsidP="00A37F7D">
            <w:pPr>
              <w:spacing w:before="120" w:after="120"/>
              <w:jc w:val="center"/>
              <w:rPr>
                <w:sz w:val="16"/>
                <w:szCs w:val="16"/>
                <w:lang w:val="en-US"/>
              </w:rPr>
            </w:pPr>
            <w:r w:rsidRPr="000A39B0">
              <w:rPr>
                <w:sz w:val="16"/>
                <w:szCs w:val="16"/>
                <w:lang w:val="en-US"/>
              </w:rPr>
              <w:t>$1289.30</w:t>
            </w:r>
          </w:p>
        </w:tc>
        <w:tc>
          <w:tcPr>
            <w:tcW w:w="2311" w:type="dxa"/>
            <w:shd w:val="clear" w:color="auto" w:fill="F2F2F2" w:themeFill="background1" w:themeFillShade="F2"/>
            <w:vAlign w:val="center"/>
          </w:tcPr>
          <w:p w:rsidR="00C771AD" w:rsidRPr="000A39B0" w:rsidRDefault="00C771AD" w:rsidP="00A37F7D">
            <w:pPr>
              <w:spacing w:before="120" w:after="120"/>
              <w:jc w:val="center"/>
              <w:rPr>
                <w:sz w:val="16"/>
                <w:szCs w:val="16"/>
                <w:lang w:val="en-US"/>
              </w:rPr>
            </w:pPr>
            <w:r w:rsidRPr="000A39B0">
              <w:rPr>
                <w:sz w:val="16"/>
                <w:szCs w:val="16"/>
                <w:lang w:val="en-US"/>
              </w:rPr>
              <w:t>15.1%</w:t>
            </w:r>
          </w:p>
        </w:tc>
      </w:tr>
    </w:tbl>
    <w:p w:rsidR="00C81789" w:rsidRDefault="00C81789" w:rsidP="00C771AD">
      <w:pPr>
        <w:jc w:val="both"/>
        <w:rPr>
          <w:lang w:val="en-US"/>
        </w:rPr>
      </w:pPr>
    </w:p>
    <w:p w:rsidR="00C771AD" w:rsidRPr="00725574" w:rsidRDefault="00930A71" w:rsidP="00F324DE">
      <w:pPr>
        <w:pStyle w:val="textbasic"/>
      </w:pPr>
      <w:r w:rsidRPr="00725574">
        <w:t>We note</w:t>
      </w:r>
      <w:r w:rsidR="00E06A1F">
        <w:t>,</w:t>
      </w:r>
      <w:r w:rsidR="00C771AD" w:rsidRPr="00725574">
        <w:t xml:space="preserve"> </w:t>
      </w:r>
      <w:r w:rsidR="00C81789" w:rsidRPr="00725574">
        <w:t>though</w:t>
      </w:r>
      <w:r w:rsidR="00E06A1F">
        <w:t>,</w:t>
      </w:r>
      <w:r w:rsidR="00C81789" w:rsidRPr="00725574">
        <w:t xml:space="preserve"> </w:t>
      </w:r>
      <w:r w:rsidR="00C771AD" w:rsidRPr="00725574">
        <w:t xml:space="preserve">that the differential in average weekly earnings (AWE) </w:t>
      </w:r>
      <w:r w:rsidR="00AD51A0" w:rsidRPr="00725574">
        <w:t xml:space="preserve">between Tasmania and the whole of Australia </w:t>
      </w:r>
      <w:r w:rsidR="00C771AD" w:rsidRPr="00725574">
        <w:t xml:space="preserve">of 15.1% as at May 2015 </w:t>
      </w:r>
      <w:r w:rsidR="00AD51A0" w:rsidRPr="00725574">
        <w:t>is much lower than the</w:t>
      </w:r>
      <w:r w:rsidR="00C771AD" w:rsidRPr="00725574">
        <w:t xml:space="preserve"> </w:t>
      </w:r>
      <w:r w:rsidRPr="00725574">
        <w:t>current 2</w:t>
      </w:r>
      <w:r w:rsidR="00241A20">
        <w:t>5</w:t>
      </w:r>
      <w:r w:rsidRPr="00725574">
        <w:t>.</w:t>
      </w:r>
      <w:r w:rsidR="000415F0">
        <w:t>8</w:t>
      </w:r>
      <w:r w:rsidRPr="00725574">
        <w:t xml:space="preserve">% salary </w:t>
      </w:r>
      <w:r w:rsidR="00C771AD" w:rsidRPr="00725574">
        <w:t xml:space="preserve">differential of MPs with their interstate </w:t>
      </w:r>
      <w:r w:rsidRPr="00725574">
        <w:t xml:space="preserve">parliamentary </w:t>
      </w:r>
      <w:r w:rsidR="00C771AD" w:rsidRPr="00725574">
        <w:t>colleagues.</w:t>
      </w:r>
    </w:p>
    <w:p w:rsidR="00C771AD" w:rsidRPr="00C84D8D" w:rsidRDefault="00C771AD" w:rsidP="00F324DE">
      <w:pPr>
        <w:pStyle w:val="textbasic"/>
      </w:pPr>
      <w:r>
        <w:t>Table 4 shows</w:t>
      </w:r>
      <w:r w:rsidRPr="00C84D8D">
        <w:t xml:space="preserve"> changes in the basic salary </w:t>
      </w:r>
      <w:r>
        <w:t xml:space="preserve">compared to movements </w:t>
      </w:r>
      <w:r w:rsidR="00E06A1F">
        <w:t>in</w:t>
      </w:r>
      <w:r w:rsidRPr="00C84D8D">
        <w:t xml:space="preserve"> the Consumer Price Index </w:t>
      </w:r>
      <w:r w:rsidR="00E14D34">
        <w:t>(</w:t>
      </w:r>
      <w:r w:rsidRPr="00C84D8D">
        <w:t>CPI</w:t>
      </w:r>
      <w:r w:rsidR="00E14D34">
        <w:t>)</w:t>
      </w:r>
      <w:r w:rsidRPr="00C84D8D">
        <w:t xml:space="preserve"> and relevant wage indices applicable to the Tasmanian workforce generally.</w:t>
      </w:r>
    </w:p>
    <w:p w:rsidR="00C771AD" w:rsidRPr="00C84D8D" w:rsidRDefault="00725574" w:rsidP="00725574">
      <w:pPr>
        <w:pStyle w:val="TableTitlemain"/>
      </w:pPr>
      <w:r>
        <w:t>Table 4</w:t>
      </w:r>
      <w:r>
        <w:tab/>
      </w:r>
      <w:r w:rsidR="00C771AD" w:rsidRPr="00C84D8D">
        <w:t xml:space="preserve">Comparison between </w:t>
      </w:r>
      <w:r w:rsidR="00322F0D">
        <w:t xml:space="preserve">increases in </w:t>
      </w:r>
      <w:r w:rsidR="00E06A1F" w:rsidRPr="00C84D8D">
        <w:t>b</w:t>
      </w:r>
      <w:r w:rsidR="00E06A1F">
        <w:t>asic salary</w:t>
      </w:r>
      <w:r w:rsidR="00D22E21">
        <w:t>, CPI, AWOTE and WPI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C771AD" w:rsidRPr="00327CCC" w:rsidTr="00327CCC">
        <w:trPr>
          <w:cantSplit/>
          <w:tblHeader/>
        </w:trPr>
        <w:tc>
          <w:tcPr>
            <w:tcW w:w="1848" w:type="dxa"/>
            <w:shd w:val="clear" w:color="auto" w:fill="D9D9D9" w:themeFill="background1" w:themeFillShade="D9"/>
          </w:tcPr>
          <w:p w:rsidR="00C771AD" w:rsidRPr="00327CCC" w:rsidRDefault="00C771AD" w:rsidP="00C81789">
            <w:pPr>
              <w:spacing w:before="120" w:after="120"/>
              <w:jc w:val="both"/>
              <w:rPr>
                <w:b/>
                <w:sz w:val="16"/>
                <w:szCs w:val="16"/>
                <w:lang w:val="en-US"/>
              </w:rPr>
            </w:pPr>
            <w:r w:rsidRPr="00327CCC">
              <w:rPr>
                <w:b/>
                <w:sz w:val="16"/>
                <w:szCs w:val="16"/>
                <w:lang w:val="en-US"/>
              </w:rPr>
              <w:t xml:space="preserve">Date </w:t>
            </w:r>
          </w:p>
        </w:tc>
        <w:tc>
          <w:tcPr>
            <w:tcW w:w="1848" w:type="dxa"/>
            <w:shd w:val="clear" w:color="auto" w:fill="D9D9D9" w:themeFill="background1" w:themeFillShade="D9"/>
          </w:tcPr>
          <w:p w:rsidR="00C771AD" w:rsidRPr="00327CCC" w:rsidRDefault="00322F0D" w:rsidP="00C81789">
            <w:pPr>
              <w:spacing w:before="120" w:after="120"/>
              <w:jc w:val="center"/>
              <w:rPr>
                <w:b/>
                <w:sz w:val="16"/>
                <w:szCs w:val="16"/>
                <w:lang w:val="en-US"/>
              </w:rPr>
            </w:pPr>
            <w:r w:rsidRPr="00327CCC">
              <w:rPr>
                <w:b/>
                <w:sz w:val="16"/>
                <w:szCs w:val="16"/>
                <w:lang w:val="en-US"/>
              </w:rPr>
              <w:t xml:space="preserve">MP </w:t>
            </w:r>
            <w:r w:rsidR="00C771AD" w:rsidRPr="00327CCC">
              <w:rPr>
                <w:b/>
                <w:sz w:val="16"/>
                <w:szCs w:val="16"/>
                <w:lang w:val="en-US"/>
              </w:rPr>
              <w:t xml:space="preserve">Basic salary </w:t>
            </w:r>
            <w:r w:rsidR="00C771AD" w:rsidRPr="00327CCC">
              <w:rPr>
                <w:b/>
                <w:sz w:val="16"/>
                <w:szCs w:val="16"/>
                <w:lang w:val="en-US"/>
              </w:rPr>
              <w:br/>
              <w:t>$pa</w:t>
            </w:r>
          </w:p>
        </w:tc>
        <w:tc>
          <w:tcPr>
            <w:tcW w:w="1848" w:type="dxa"/>
            <w:shd w:val="clear" w:color="auto" w:fill="D9D9D9" w:themeFill="background1" w:themeFillShade="D9"/>
          </w:tcPr>
          <w:p w:rsidR="00C771AD" w:rsidRPr="00327CCC" w:rsidRDefault="00C771AD" w:rsidP="00C81789">
            <w:pPr>
              <w:spacing w:before="120" w:after="120"/>
              <w:jc w:val="center"/>
              <w:rPr>
                <w:b/>
                <w:sz w:val="16"/>
                <w:szCs w:val="16"/>
                <w:lang w:val="en-US"/>
              </w:rPr>
            </w:pPr>
            <w:r w:rsidRPr="00327CCC">
              <w:rPr>
                <w:b/>
                <w:sz w:val="16"/>
                <w:szCs w:val="16"/>
                <w:lang w:val="en-US"/>
              </w:rPr>
              <w:t>CPI All groups</w:t>
            </w:r>
            <w:r w:rsidRPr="00327CCC">
              <w:rPr>
                <w:b/>
                <w:sz w:val="16"/>
                <w:szCs w:val="16"/>
                <w:lang w:val="en-US"/>
              </w:rPr>
              <w:br/>
              <w:t>Hobart</w:t>
            </w:r>
            <w:r w:rsidRPr="00327CCC">
              <w:rPr>
                <w:rStyle w:val="FootnoteReference"/>
                <w:b/>
                <w:sz w:val="16"/>
                <w:szCs w:val="16"/>
                <w:lang w:val="en-US"/>
              </w:rPr>
              <w:footnoteReference w:id="23"/>
            </w:r>
          </w:p>
          <w:p w:rsidR="00C771AD" w:rsidRPr="00327CCC" w:rsidRDefault="00C771AD" w:rsidP="00C81789">
            <w:pPr>
              <w:spacing w:before="120" w:after="120"/>
              <w:jc w:val="center"/>
              <w:rPr>
                <w:b/>
                <w:sz w:val="16"/>
                <w:szCs w:val="16"/>
                <w:lang w:val="en-US"/>
              </w:rPr>
            </w:pPr>
          </w:p>
        </w:tc>
        <w:tc>
          <w:tcPr>
            <w:tcW w:w="1849" w:type="dxa"/>
            <w:shd w:val="clear" w:color="auto" w:fill="D9D9D9" w:themeFill="background1" w:themeFillShade="D9"/>
          </w:tcPr>
          <w:p w:rsidR="00C771AD" w:rsidRPr="00327CCC" w:rsidRDefault="00C771AD" w:rsidP="00C81789">
            <w:pPr>
              <w:spacing w:before="120" w:after="120"/>
              <w:jc w:val="center"/>
              <w:rPr>
                <w:b/>
                <w:sz w:val="16"/>
                <w:szCs w:val="16"/>
                <w:lang w:val="en-US"/>
              </w:rPr>
            </w:pPr>
            <w:r w:rsidRPr="00327CCC">
              <w:rPr>
                <w:b/>
                <w:sz w:val="16"/>
                <w:szCs w:val="16"/>
                <w:lang w:val="en-US"/>
              </w:rPr>
              <w:t>AWOTE Full Time Adults (Tasmania)</w:t>
            </w:r>
            <w:r w:rsidRPr="00327CCC">
              <w:rPr>
                <w:b/>
                <w:sz w:val="16"/>
                <w:szCs w:val="16"/>
                <w:lang w:val="en-US"/>
              </w:rPr>
              <w:br/>
              <w:t>$pw</w:t>
            </w:r>
            <w:r w:rsidRPr="00327CCC">
              <w:rPr>
                <w:rStyle w:val="FootnoteReference"/>
                <w:b/>
                <w:sz w:val="16"/>
                <w:szCs w:val="16"/>
                <w:lang w:val="en-US"/>
              </w:rPr>
              <w:footnoteReference w:id="24"/>
            </w:r>
          </w:p>
        </w:tc>
        <w:tc>
          <w:tcPr>
            <w:tcW w:w="1849" w:type="dxa"/>
            <w:shd w:val="clear" w:color="auto" w:fill="D9D9D9" w:themeFill="background1" w:themeFillShade="D9"/>
          </w:tcPr>
          <w:p w:rsidR="00C771AD" w:rsidRPr="00327CCC" w:rsidRDefault="00C771AD" w:rsidP="00C81789">
            <w:pPr>
              <w:spacing w:before="120" w:after="120"/>
              <w:jc w:val="center"/>
              <w:rPr>
                <w:b/>
                <w:sz w:val="16"/>
                <w:szCs w:val="16"/>
                <w:lang w:val="en-US"/>
              </w:rPr>
            </w:pPr>
            <w:r w:rsidRPr="00327CCC">
              <w:rPr>
                <w:b/>
                <w:sz w:val="16"/>
                <w:szCs w:val="16"/>
                <w:lang w:val="en-US"/>
              </w:rPr>
              <w:t xml:space="preserve">WPI </w:t>
            </w:r>
            <w:r w:rsidRPr="00327CCC">
              <w:rPr>
                <w:b/>
                <w:sz w:val="16"/>
                <w:szCs w:val="16"/>
                <w:lang w:val="en-US"/>
              </w:rPr>
              <w:br/>
              <w:t>Tasmania</w:t>
            </w:r>
            <w:r w:rsidRPr="00327CCC">
              <w:rPr>
                <w:rStyle w:val="FootnoteReference"/>
                <w:b/>
                <w:sz w:val="16"/>
                <w:szCs w:val="16"/>
                <w:lang w:val="en-US"/>
              </w:rPr>
              <w:footnoteReference w:id="25"/>
            </w:r>
          </w:p>
          <w:p w:rsidR="00C771AD" w:rsidRPr="00327CCC" w:rsidRDefault="00C771AD" w:rsidP="00C81789">
            <w:pPr>
              <w:spacing w:before="120" w:after="120"/>
              <w:jc w:val="center"/>
              <w:rPr>
                <w:b/>
                <w:sz w:val="16"/>
                <w:szCs w:val="16"/>
                <w:lang w:val="en-US"/>
              </w:rPr>
            </w:pPr>
          </w:p>
        </w:tc>
      </w:tr>
      <w:tr w:rsidR="00C771AD" w:rsidRPr="000A39B0" w:rsidTr="00C771AD">
        <w:tc>
          <w:tcPr>
            <w:tcW w:w="1848" w:type="dxa"/>
            <w:shd w:val="clear" w:color="auto" w:fill="auto"/>
          </w:tcPr>
          <w:p w:rsidR="00C771AD" w:rsidRPr="000A39B0" w:rsidRDefault="00C771AD" w:rsidP="00C81789">
            <w:pPr>
              <w:spacing w:before="120" w:after="120"/>
              <w:rPr>
                <w:sz w:val="16"/>
                <w:szCs w:val="16"/>
                <w:lang w:val="en-US"/>
              </w:rPr>
            </w:pPr>
            <w:r w:rsidRPr="000A39B0">
              <w:rPr>
                <w:sz w:val="16"/>
                <w:szCs w:val="16"/>
                <w:lang w:val="en-US"/>
              </w:rPr>
              <w:t>1 July 1996</w:t>
            </w:r>
          </w:p>
        </w:tc>
        <w:tc>
          <w:tcPr>
            <w:tcW w:w="1848" w:type="dxa"/>
            <w:shd w:val="clear" w:color="auto" w:fill="auto"/>
          </w:tcPr>
          <w:p w:rsidR="00C771AD" w:rsidRPr="000A39B0" w:rsidRDefault="00C771AD" w:rsidP="00C81789">
            <w:pPr>
              <w:spacing w:before="120" w:after="120"/>
              <w:jc w:val="center"/>
              <w:rPr>
                <w:sz w:val="16"/>
                <w:szCs w:val="16"/>
                <w:lang w:val="en-US"/>
              </w:rPr>
            </w:pPr>
            <w:r w:rsidRPr="000A39B0">
              <w:rPr>
                <w:sz w:val="16"/>
                <w:szCs w:val="16"/>
                <w:lang w:val="en-US"/>
              </w:rPr>
              <w:t>68 372</w:t>
            </w:r>
          </w:p>
        </w:tc>
        <w:tc>
          <w:tcPr>
            <w:tcW w:w="1848" w:type="dxa"/>
            <w:shd w:val="clear" w:color="auto" w:fill="auto"/>
          </w:tcPr>
          <w:p w:rsidR="00C771AD" w:rsidRPr="000A39B0" w:rsidRDefault="00C771AD" w:rsidP="00C81789">
            <w:pPr>
              <w:spacing w:before="120" w:after="120"/>
              <w:jc w:val="center"/>
              <w:rPr>
                <w:sz w:val="16"/>
                <w:szCs w:val="16"/>
                <w:lang w:val="en-US"/>
              </w:rPr>
            </w:pPr>
            <w:r w:rsidRPr="000A39B0">
              <w:rPr>
                <w:sz w:val="16"/>
                <w:szCs w:val="16"/>
                <w:lang w:val="en-US"/>
              </w:rPr>
              <w:t>67.7</w:t>
            </w:r>
          </w:p>
        </w:tc>
        <w:tc>
          <w:tcPr>
            <w:tcW w:w="1849" w:type="dxa"/>
            <w:shd w:val="clear" w:color="auto" w:fill="auto"/>
          </w:tcPr>
          <w:p w:rsidR="00C771AD" w:rsidRPr="000A39B0" w:rsidRDefault="00C771AD" w:rsidP="00C81789">
            <w:pPr>
              <w:spacing w:before="120" w:after="120"/>
              <w:jc w:val="center"/>
              <w:rPr>
                <w:sz w:val="16"/>
                <w:szCs w:val="16"/>
                <w:lang w:val="en-US"/>
              </w:rPr>
            </w:pPr>
            <w:r w:rsidRPr="000A39B0">
              <w:rPr>
                <w:sz w:val="16"/>
                <w:szCs w:val="16"/>
                <w:lang w:val="en-US"/>
              </w:rPr>
              <w:t>630.00</w:t>
            </w:r>
          </w:p>
        </w:tc>
        <w:tc>
          <w:tcPr>
            <w:tcW w:w="1849" w:type="dxa"/>
            <w:shd w:val="clear" w:color="auto" w:fill="auto"/>
          </w:tcPr>
          <w:p w:rsidR="00C771AD" w:rsidRPr="000A39B0" w:rsidRDefault="00C771AD" w:rsidP="00C81789">
            <w:pPr>
              <w:spacing w:before="120" w:after="120"/>
              <w:jc w:val="center"/>
              <w:rPr>
                <w:sz w:val="16"/>
                <w:szCs w:val="16"/>
                <w:lang w:val="en-US"/>
              </w:rPr>
            </w:pPr>
          </w:p>
        </w:tc>
      </w:tr>
      <w:tr w:rsidR="00C771AD" w:rsidRPr="000A39B0" w:rsidTr="00C771AD">
        <w:tc>
          <w:tcPr>
            <w:tcW w:w="1848" w:type="dxa"/>
            <w:shd w:val="clear" w:color="auto" w:fill="auto"/>
          </w:tcPr>
          <w:p w:rsidR="00C771AD" w:rsidRPr="000A39B0" w:rsidRDefault="00C771AD" w:rsidP="00C81789">
            <w:pPr>
              <w:spacing w:before="120" w:after="120"/>
              <w:rPr>
                <w:sz w:val="16"/>
                <w:szCs w:val="16"/>
                <w:lang w:val="en-US"/>
              </w:rPr>
            </w:pPr>
            <w:r w:rsidRPr="000A39B0">
              <w:rPr>
                <w:sz w:val="16"/>
                <w:szCs w:val="16"/>
                <w:lang w:val="en-US"/>
              </w:rPr>
              <w:t>1 July 2005</w:t>
            </w:r>
          </w:p>
        </w:tc>
        <w:tc>
          <w:tcPr>
            <w:tcW w:w="1848" w:type="dxa"/>
            <w:shd w:val="clear" w:color="auto" w:fill="auto"/>
          </w:tcPr>
          <w:p w:rsidR="00C771AD" w:rsidRPr="000A39B0" w:rsidRDefault="00C771AD" w:rsidP="00C81789">
            <w:pPr>
              <w:spacing w:before="120" w:after="120"/>
              <w:jc w:val="center"/>
              <w:rPr>
                <w:sz w:val="16"/>
                <w:szCs w:val="16"/>
                <w:lang w:val="en-US"/>
              </w:rPr>
            </w:pPr>
            <w:r w:rsidRPr="000A39B0">
              <w:rPr>
                <w:sz w:val="16"/>
                <w:szCs w:val="16"/>
                <w:lang w:val="en-US"/>
              </w:rPr>
              <w:t>90 957</w:t>
            </w:r>
          </w:p>
        </w:tc>
        <w:tc>
          <w:tcPr>
            <w:tcW w:w="1848" w:type="dxa"/>
            <w:shd w:val="clear" w:color="auto" w:fill="auto"/>
          </w:tcPr>
          <w:p w:rsidR="00C771AD" w:rsidRPr="000A39B0" w:rsidRDefault="00C771AD" w:rsidP="00C81789">
            <w:pPr>
              <w:spacing w:before="120" w:after="120"/>
              <w:jc w:val="center"/>
              <w:rPr>
                <w:sz w:val="16"/>
                <w:szCs w:val="16"/>
                <w:lang w:val="en-US"/>
              </w:rPr>
            </w:pPr>
            <w:r w:rsidRPr="000A39B0">
              <w:rPr>
                <w:sz w:val="16"/>
                <w:szCs w:val="16"/>
                <w:lang w:val="en-US"/>
              </w:rPr>
              <w:t>83.5</w:t>
            </w:r>
          </w:p>
        </w:tc>
        <w:tc>
          <w:tcPr>
            <w:tcW w:w="1849" w:type="dxa"/>
            <w:shd w:val="clear" w:color="auto" w:fill="auto"/>
          </w:tcPr>
          <w:p w:rsidR="00C771AD" w:rsidRPr="000A39B0" w:rsidRDefault="00C771AD" w:rsidP="00C81789">
            <w:pPr>
              <w:spacing w:before="120" w:after="120"/>
              <w:jc w:val="center"/>
              <w:rPr>
                <w:sz w:val="16"/>
                <w:szCs w:val="16"/>
                <w:lang w:val="en-US"/>
              </w:rPr>
            </w:pPr>
            <w:r w:rsidRPr="000A39B0">
              <w:rPr>
                <w:sz w:val="16"/>
                <w:szCs w:val="16"/>
                <w:lang w:val="en-US"/>
              </w:rPr>
              <w:t>841.30</w:t>
            </w:r>
          </w:p>
        </w:tc>
        <w:tc>
          <w:tcPr>
            <w:tcW w:w="1849" w:type="dxa"/>
            <w:shd w:val="clear" w:color="auto" w:fill="auto"/>
          </w:tcPr>
          <w:p w:rsidR="00C771AD" w:rsidRPr="000A39B0" w:rsidRDefault="00C771AD" w:rsidP="00C81789">
            <w:pPr>
              <w:spacing w:before="120" w:after="120"/>
              <w:jc w:val="center"/>
              <w:rPr>
                <w:sz w:val="16"/>
                <w:szCs w:val="16"/>
                <w:lang w:val="en-US"/>
              </w:rPr>
            </w:pPr>
            <w:r w:rsidRPr="000A39B0">
              <w:rPr>
                <w:sz w:val="16"/>
                <w:szCs w:val="16"/>
                <w:lang w:val="en-US"/>
              </w:rPr>
              <w:t>86.2</w:t>
            </w:r>
          </w:p>
        </w:tc>
      </w:tr>
      <w:tr w:rsidR="00C771AD" w:rsidRPr="000A39B0" w:rsidTr="00C771AD">
        <w:tc>
          <w:tcPr>
            <w:tcW w:w="1848" w:type="dxa"/>
            <w:shd w:val="clear" w:color="auto" w:fill="auto"/>
          </w:tcPr>
          <w:p w:rsidR="00C771AD" w:rsidRPr="000A39B0" w:rsidRDefault="00C771AD" w:rsidP="00C81789">
            <w:pPr>
              <w:spacing w:before="120" w:after="120"/>
              <w:rPr>
                <w:sz w:val="16"/>
                <w:szCs w:val="16"/>
                <w:lang w:val="en-US"/>
              </w:rPr>
            </w:pPr>
            <w:r w:rsidRPr="000A39B0">
              <w:rPr>
                <w:sz w:val="16"/>
                <w:szCs w:val="16"/>
                <w:lang w:val="en-US"/>
              </w:rPr>
              <w:t>1 July 2010</w:t>
            </w:r>
          </w:p>
        </w:tc>
        <w:tc>
          <w:tcPr>
            <w:tcW w:w="1848" w:type="dxa"/>
            <w:shd w:val="clear" w:color="auto" w:fill="auto"/>
          </w:tcPr>
          <w:p w:rsidR="00C771AD" w:rsidRPr="000A39B0" w:rsidRDefault="00C771AD" w:rsidP="00C81789">
            <w:pPr>
              <w:spacing w:before="120" w:after="120"/>
              <w:jc w:val="center"/>
              <w:rPr>
                <w:sz w:val="16"/>
                <w:szCs w:val="16"/>
                <w:lang w:val="en-US"/>
              </w:rPr>
            </w:pPr>
            <w:r w:rsidRPr="000A39B0">
              <w:rPr>
                <w:sz w:val="16"/>
                <w:szCs w:val="16"/>
                <w:lang w:val="en-US"/>
              </w:rPr>
              <w:t>111 633</w:t>
            </w:r>
          </w:p>
        </w:tc>
        <w:tc>
          <w:tcPr>
            <w:tcW w:w="1848" w:type="dxa"/>
            <w:shd w:val="clear" w:color="auto" w:fill="auto"/>
          </w:tcPr>
          <w:p w:rsidR="00C771AD" w:rsidRPr="000A39B0" w:rsidRDefault="00C771AD" w:rsidP="00C81789">
            <w:pPr>
              <w:spacing w:before="120" w:after="120"/>
              <w:jc w:val="center"/>
              <w:rPr>
                <w:sz w:val="16"/>
                <w:szCs w:val="16"/>
                <w:lang w:val="en-US"/>
              </w:rPr>
            </w:pPr>
            <w:r w:rsidRPr="000A39B0">
              <w:rPr>
                <w:sz w:val="16"/>
                <w:szCs w:val="16"/>
                <w:lang w:val="en-US"/>
              </w:rPr>
              <w:t>95.8</w:t>
            </w:r>
          </w:p>
        </w:tc>
        <w:tc>
          <w:tcPr>
            <w:tcW w:w="1849" w:type="dxa"/>
            <w:shd w:val="clear" w:color="auto" w:fill="auto"/>
          </w:tcPr>
          <w:p w:rsidR="00C771AD" w:rsidRPr="000A39B0" w:rsidRDefault="00C771AD" w:rsidP="00C81789">
            <w:pPr>
              <w:spacing w:before="120" w:after="120"/>
              <w:jc w:val="center"/>
              <w:rPr>
                <w:sz w:val="16"/>
                <w:szCs w:val="16"/>
                <w:lang w:val="en-US"/>
              </w:rPr>
            </w:pPr>
            <w:r w:rsidRPr="000A39B0">
              <w:rPr>
                <w:sz w:val="16"/>
                <w:szCs w:val="16"/>
                <w:lang w:val="en-US"/>
              </w:rPr>
              <w:t>1085.00</w:t>
            </w:r>
          </w:p>
        </w:tc>
        <w:tc>
          <w:tcPr>
            <w:tcW w:w="1849" w:type="dxa"/>
            <w:shd w:val="clear" w:color="auto" w:fill="auto"/>
          </w:tcPr>
          <w:p w:rsidR="00C771AD" w:rsidRPr="000A39B0" w:rsidRDefault="00C771AD" w:rsidP="00C81789">
            <w:pPr>
              <w:spacing w:before="120" w:after="120"/>
              <w:jc w:val="center"/>
              <w:rPr>
                <w:sz w:val="16"/>
                <w:szCs w:val="16"/>
                <w:lang w:val="en-US"/>
              </w:rPr>
            </w:pPr>
            <w:r w:rsidRPr="000A39B0">
              <w:rPr>
                <w:sz w:val="16"/>
                <w:szCs w:val="16"/>
                <w:lang w:val="en-US"/>
              </w:rPr>
              <w:t>104.9</w:t>
            </w:r>
          </w:p>
        </w:tc>
      </w:tr>
      <w:tr w:rsidR="00C771AD" w:rsidRPr="000A39B0" w:rsidTr="00C771AD">
        <w:tc>
          <w:tcPr>
            <w:tcW w:w="1848" w:type="dxa"/>
            <w:shd w:val="clear" w:color="auto" w:fill="auto"/>
          </w:tcPr>
          <w:p w:rsidR="00C771AD" w:rsidRPr="000A39B0" w:rsidRDefault="00C771AD" w:rsidP="00C81789">
            <w:pPr>
              <w:spacing w:before="120" w:after="120"/>
              <w:rPr>
                <w:sz w:val="16"/>
                <w:szCs w:val="16"/>
                <w:lang w:val="en-US"/>
              </w:rPr>
            </w:pPr>
            <w:r w:rsidRPr="000A39B0">
              <w:rPr>
                <w:sz w:val="16"/>
                <w:szCs w:val="16"/>
                <w:lang w:val="en-US"/>
              </w:rPr>
              <w:t>1 July 2015</w:t>
            </w:r>
          </w:p>
        </w:tc>
        <w:tc>
          <w:tcPr>
            <w:tcW w:w="1848" w:type="dxa"/>
            <w:shd w:val="clear" w:color="auto" w:fill="auto"/>
          </w:tcPr>
          <w:p w:rsidR="00C771AD" w:rsidRPr="000A39B0" w:rsidRDefault="00C771AD" w:rsidP="00C81789">
            <w:pPr>
              <w:spacing w:before="120" w:after="120"/>
              <w:jc w:val="center"/>
              <w:rPr>
                <w:sz w:val="16"/>
                <w:szCs w:val="16"/>
                <w:lang w:val="en-US"/>
              </w:rPr>
            </w:pPr>
            <w:r w:rsidRPr="000A39B0">
              <w:rPr>
                <w:sz w:val="16"/>
                <w:szCs w:val="16"/>
                <w:lang w:val="en-US"/>
              </w:rPr>
              <w:t>120 835</w:t>
            </w:r>
          </w:p>
        </w:tc>
        <w:tc>
          <w:tcPr>
            <w:tcW w:w="1848" w:type="dxa"/>
            <w:shd w:val="clear" w:color="auto" w:fill="auto"/>
          </w:tcPr>
          <w:p w:rsidR="00C771AD" w:rsidRPr="000A39B0" w:rsidRDefault="00C771AD" w:rsidP="00C81789">
            <w:pPr>
              <w:spacing w:before="120" w:after="120"/>
              <w:jc w:val="center"/>
              <w:rPr>
                <w:sz w:val="16"/>
                <w:szCs w:val="16"/>
                <w:lang w:val="en-US"/>
              </w:rPr>
            </w:pPr>
            <w:r w:rsidRPr="000A39B0">
              <w:rPr>
                <w:sz w:val="16"/>
                <w:szCs w:val="16"/>
                <w:lang w:val="en-US"/>
              </w:rPr>
              <w:t>105.1</w:t>
            </w:r>
          </w:p>
        </w:tc>
        <w:tc>
          <w:tcPr>
            <w:tcW w:w="1849" w:type="dxa"/>
            <w:shd w:val="clear" w:color="auto" w:fill="auto"/>
          </w:tcPr>
          <w:p w:rsidR="00C771AD" w:rsidRPr="000A39B0" w:rsidRDefault="00C771AD" w:rsidP="00C81789">
            <w:pPr>
              <w:spacing w:before="120" w:after="120"/>
              <w:jc w:val="center"/>
              <w:rPr>
                <w:sz w:val="16"/>
                <w:szCs w:val="16"/>
                <w:lang w:val="en-US"/>
              </w:rPr>
            </w:pPr>
            <w:r w:rsidRPr="000A39B0">
              <w:rPr>
                <w:sz w:val="16"/>
                <w:szCs w:val="16"/>
                <w:lang w:val="en-US"/>
              </w:rPr>
              <w:t>1289.3</w:t>
            </w:r>
          </w:p>
        </w:tc>
        <w:tc>
          <w:tcPr>
            <w:tcW w:w="1849" w:type="dxa"/>
            <w:shd w:val="clear" w:color="auto" w:fill="auto"/>
          </w:tcPr>
          <w:p w:rsidR="00C771AD" w:rsidRPr="000A39B0" w:rsidRDefault="00C771AD" w:rsidP="00C81789">
            <w:pPr>
              <w:spacing w:before="120" w:after="120"/>
              <w:jc w:val="center"/>
              <w:rPr>
                <w:sz w:val="16"/>
                <w:szCs w:val="16"/>
                <w:lang w:val="en-US"/>
              </w:rPr>
            </w:pPr>
            <w:r w:rsidRPr="000A39B0">
              <w:rPr>
                <w:sz w:val="16"/>
                <w:szCs w:val="16"/>
                <w:lang w:val="en-US"/>
              </w:rPr>
              <w:t>120.9</w:t>
            </w:r>
          </w:p>
        </w:tc>
      </w:tr>
      <w:tr w:rsidR="00C771AD" w:rsidRPr="000A39B0" w:rsidTr="006C0DC0">
        <w:tc>
          <w:tcPr>
            <w:tcW w:w="1848" w:type="dxa"/>
            <w:shd w:val="clear" w:color="auto" w:fill="F2F2F2" w:themeFill="background1" w:themeFillShade="F2"/>
          </w:tcPr>
          <w:p w:rsidR="00C771AD" w:rsidRPr="000A39B0" w:rsidRDefault="00C771AD" w:rsidP="00C81789">
            <w:pPr>
              <w:spacing w:before="120" w:after="120"/>
              <w:rPr>
                <w:sz w:val="16"/>
                <w:szCs w:val="16"/>
                <w:lang w:val="en-US"/>
              </w:rPr>
            </w:pPr>
            <w:r w:rsidRPr="000A39B0">
              <w:rPr>
                <w:sz w:val="16"/>
                <w:szCs w:val="16"/>
                <w:lang w:val="en-US"/>
              </w:rPr>
              <w:t>% change since</w:t>
            </w:r>
            <w:r w:rsidRPr="000A39B0">
              <w:rPr>
                <w:sz w:val="16"/>
                <w:szCs w:val="16"/>
                <w:lang w:val="en-US"/>
              </w:rPr>
              <w:br/>
              <w:t>July 1996</w:t>
            </w:r>
          </w:p>
        </w:tc>
        <w:tc>
          <w:tcPr>
            <w:tcW w:w="1848" w:type="dxa"/>
            <w:shd w:val="clear" w:color="auto" w:fill="F2F2F2" w:themeFill="background1" w:themeFillShade="F2"/>
          </w:tcPr>
          <w:p w:rsidR="00C771AD" w:rsidRPr="000A39B0" w:rsidRDefault="00C771AD" w:rsidP="00C81789">
            <w:pPr>
              <w:spacing w:before="120" w:after="120"/>
              <w:jc w:val="center"/>
              <w:rPr>
                <w:sz w:val="16"/>
                <w:szCs w:val="16"/>
                <w:lang w:val="en-US"/>
              </w:rPr>
            </w:pPr>
            <w:r w:rsidRPr="000A39B0">
              <w:rPr>
                <w:sz w:val="16"/>
                <w:szCs w:val="16"/>
                <w:lang w:val="en-US"/>
              </w:rPr>
              <w:t>76.7%</w:t>
            </w:r>
          </w:p>
        </w:tc>
        <w:tc>
          <w:tcPr>
            <w:tcW w:w="1848" w:type="dxa"/>
            <w:shd w:val="clear" w:color="auto" w:fill="F2F2F2" w:themeFill="background1" w:themeFillShade="F2"/>
          </w:tcPr>
          <w:p w:rsidR="00C771AD" w:rsidRPr="000A39B0" w:rsidRDefault="00C771AD" w:rsidP="00C81789">
            <w:pPr>
              <w:spacing w:before="120" w:after="120"/>
              <w:jc w:val="center"/>
              <w:rPr>
                <w:sz w:val="16"/>
                <w:szCs w:val="16"/>
                <w:lang w:val="en-US"/>
              </w:rPr>
            </w:pPr>
            <w:r w:rsidRPr="000A39B0">
              <w:rPr>
                <w:sz w:val="16"/>
                <w:szCs w:val="16"/>
                <w:lang w:val="en-US"/>
              </w:rPr>
              <w:t>55.2%</w:t>
            </w:r>
          </w:p>
        </w:tc>
        <w:tc>
          <w:tcPr>
            <w:tcW w:w="1849" w:type="dxa"/>
            <w:shd w:val="clear" w:color="auto" w:fill="F2F2F2" w:themeFill="background1" w:themeFillShade="F2"/>
          </w:tcPr>
          <w:p w:rsidR="00C771AD" w:rsidRPr="000A39B0" w:rsidRDefault="00C771AD" w:rsidP="00C81789">
            <w:pPr>
              <w:spacing w:before="120" w:after="120"/>
              <w:jc w:val="center"/>
              <w:rPr>
                <w:sz w:val="16"/>
                <w:szCs w:val="16"/>
                <w:lang w:val="en-US"/>
              </w:rPr>
            </w:pPr>
            <w:r w:rsidRPr="000A39B0">
              <w:rPr>
                <w:sz w:val="16"/>
                <w:szCs w:val="16"/>
                <w:lang w:val="en-US"/>
              </w:rPr>
              <w:t>104.7%</w:t>
            </w:r>
          </w:p>
        </w:tc>
        <w:tc>
          <w:tcPr>
            <w:tcW w:w="1849" w:type="dxa"/>
            <w:shd w:val="clear" w:color="auto" w:fill="auto"/>
          </w:tcPr>
          <w:p w:rsidR="00C771AD" w:rsidRPr="000A39B0" w:rsidRDefault="00C771AD" w:rsidP="00C81789">
            <w:pPr>
              <w:spacing w:before="120" w:after="120"/>
              <w:jc w:val="center"/>
              <w:rPr>
                <w:sz w:val="16"/>
                <w:szCs w:val="16"/>
                <w:lang w:val="en-US"/>
              </w:rPr>
            </w:pPr>
          </w:p>
        </w:tc>
      </w:tr>
      <w:tr w:rsidR="00C771AD" w:rsidRPr="000A39B0" w:rsidTr="00327CCC">
        <w:tc>
          <w:tcPr>
            <w:tcW w:w="1848" w:type="dxa"/>
            <w:shd w:val="clear" w:color="auto" w:fill="F2F2F2" w:themeFill="background1" w:themeFillShade="F2"/>
          </w:tcPr>
          <w:p w:rsidR="00C771AD" w:rsidRPr="000A39B0" w:rsidRDefault="00C771AD" w:rsidP="00C81789">
            <w:pPr>
              <w:spacing w:before="120" w:after="120"/>
              <w:rPr>
                <w:sz w:val="16"/>
                <w:szCs w:val="16"/>
                <w:lang w:val="en-US"/>
              </w:rPr>
            </w:pPr>
            <w:r w:rsidRPr="000A39B0">
              <w:rPr>
                <w:sz w:val="16"/>
                <w:szCs w:val="16"/>
                <w:lang w:val="en-US"/>
              </w:rPr>
              <w:lastRenderedPageBreak/>
              <w:t>% change since</w:t>
            </w:r>
            <w:r w:rsidRPr="000A39B0">
              <w:rPr>
                <w:sz w:val="16"/>
                <w:szCs w:val="16"/>
                <w:lang w:val="en-US"/>
              </w:rPr>
              <w:br/>
              <w:t>July 2005</w:t>
            </w:r>
          </w:p>
        </w:tc>
        <w:tc>
          <w:tcPr>
            <w:tcW w:w="1848" w:type="dxa"/>
            <w:shd w:val="clear" w:color="auto" w:fill="F2F2F2" w:themeFill="background1" w:themeFillShade="F2"/>
          </w:tcPr>
          <w:p w:rsidR="00C771AD" w:rsidRPr="000A39B0" w:rsidRDefault="00C771AD" w:rsidP="00C81789">
            <w:pPr>
              <w:spacing w:before="120" w:after="120"/>
              <w:jc w:val="center"/>
              <w:rPr>
                <w:sz w:val="16"/>
                <w:szCs w:val="16"/>
                <w:lang w:val="en-US"/>
              </w:rPr>
            </w:pPr>
            <w:r w:rsidRPr="000A39B0">
              <w:rPr>
                <w:sz w:val="16"/>
                <w:szCs w:val="16"/>
                <w:lang w:val="en-US"/>
              </w:rPr>
              <w:t>32.8%</w:t>
            </w:r>
          </w:p>
        </w:tc>
        <w:tc>
          <w:tcPr>
            <w:tcW w:w="1848" w:type="dxa"/>
            <w:shd w:val="clear" w:color="auto" w:fill="F2F2F2" w:themeFill="background1" w:themeFillShade="F2"/>
          </w:tcPr>
          <w:p w:rsidR="00C771AD" w:rsidRPr="000A39B0" w:rsidRDefault="00C771AD" w:rsidP="00C81789">
            <w:pPr>
              <w:spacing w:before="120" w:after="120"/>
              <w:jc w:val="center"/>
              <w:rPr>
                <w:sz w:val="16"/>
                <w:szCs w:val="16"/>
                <w:lang w:val="en-US"/>
              </w:rPr>
            </w:pPr>
            <w:r w:rsidRPr="000A39B0">
              <w:rPr>
                <w:sz w:val="16"/>
                <w:szCs w:val="16"/>
                <w:lang w:val="en-US"/>
              </w:rPr>
              <w:t>25.9%</w:t>
            </w:r>
          </w:p>
        </w:tc>
        <w:tc>
          <w:tcPr>
            <w:tcW w:w="1849" w:type="dxa"/>
            <w:shd w:val="clear" w:color="auto" w:fill="F2F2F2" w:themeFill="background1" w:themeFillShade="F2"/>
          </w:tcPr>
          <w:p w:rsidR="00C771AD" w:rsidRPr="000A39B0" w:rsidRDefault="00C771AD" w:rsidP="00C81789">
            <w:pPr>
              <w:spacing w:before="120" w:after="120"/>
              <w:jc w:val="center"/>
              <w:rPr>
                <w:sz w:val="16"/>
                <w:szCs w:val="16"/>
                <w:lang w:val="en-US"/>
              </w:rPr>
            </w:pPr>
            <w:r w:rsidRPr="000A39B0">
              <w:rPr>
                <w:sz w:val="16"/>
                <w:szCs w:val="16"/>
                <w:lang w:val="en-US"/>
              </w:rPr>
              <w:t>53.3%</w:t>
            </w:r>
          </w:p>
        </w:tc>
        <w:tc>
          <w:tcPr>
            <w:tcW w:w="1849" w:type="dxa"/>
            <w:shd w:val="clear" w:color="auto" w:fill="F2F2F2" w:themeFill="background1" w:themeFillShade="F2"/>
          </w:tcPr>
          <w:p w:rsidR="00C771AD" w:rsidRPr="000A39B0" w:rsidRDefault="00C771AD" w:rsidP="00C81789">
            <w:pPr>
              <w:spacing w:before="120" w:after="120"/>
              <w:jc w:val="center"/>
              <w:rPr>
                <w:sz w:val="16"/>
                <w:szCs w:val="16"/>
                <w:lang w:val="en-US"/>
              </w:rPr>
            </w:pPr>
            <w:r w:rsidRPr="000A39B0">
              <w:rPr>
                <w:sz w:val="16"/>
                <w:szCs w:val="16"/>
                <w:lang w:val="en-US"/>
              </w:rPr>
              <w:t>40.3%</w:t>
            </w:r>
          </w:p>
        </w:tc>
      </w:tr>
      <w:tr w:rsidR="00C771AD" w:rsidRPr="000A39B0" w:rsidTr="00327CCC">
        <w:tc>
          <w:tcPr>
            <w:tcW w:w="1848" w:type="dxa"/>
            <w:shd w:val="clear" w:color="auto" w:fill="F2F2F2" w:themeFill="background1" w:themeFillShade="F2"/>
          </w:tcPr>
          <w:p w:rsidR="00C771AD" w:rsidRPr="000A39B0" w:rsidRDefault="00C771AD" w:rsidP="00C81789">
            <w:pPr>
              <w:spacing w:before="120" w:after="120"/>
              <w:rPr>
                <w:sz w:val="16"/>
                <w:szCs w:val="16"/>
                <w:lang w:val="en-US"/>
              </w:rPr>
            </w:pPr>
            <w:r w:rsidRPr="000A39B0">
              <w:rPr>
                <w:sz w:val="16"/>
                <w:szCs w:val="16"/>
                <w:lang w:val="en-US"/>
              </w:rPr>
              <w:t>% change since</w:t>
            </w:r>
            <w:r w:rsidRPr="000A39B0">
              <w:rPr>
                <w:sz w:val="16"/>
                <w:szCs w:val="16"/>
                <w:lang w:val="en-US"/>
              </w:rPr>
              <w:br/>
              <w:t>July 2010</w:t>
            </w:r>
          </w:p>
        </w:tc>
        <w:tc>
          <w:tcPr>
            <w:tcW w:w="1848" w:type="dxa"/>
            <w:shd w:val="clear" w:color="auto" w:fill="F2F2F2" w:themeFill="background1" w:themeFillShade="F2"/>
          </w:tcPr>
          <w:p w:rsidR="00C771AD" w:rsidRPr="000A39B0" w:rsidRDefault="00C771AD" w:rsidP="00C81789">
            <w:pPr>
              <w:spacing w:before="120" w:after="120"/>
              <w:jc w:val="center"/>
              <w:rPr>
                <w:sz w:val="16"/>
                <w:szCs w:val="16"/>
                <w:lang w:val="en-US"/>
              </w:rPr>
            </w:pPr>
            <w:r w:rsidRPr="000A39B0">
              <w:rPr>
                <w:sz w:val="16"/>
                <w:szCs w:val="16"/>
                <w:lang w:val="en-US"/>
              </w:rPr>
              <w:t>8.2%</w:t>
            </w:r>
          </w:p>
        </w:tc>
        <w:tc>
          <w:tcPr>
            <w:tcW w:w="1848" w:type="dxa"/>
            <w:shd w:val="clear" w:color="auto" w:fill="F2F2F2" w:themeFill="background1" w:themeFillShade="F2"/>
          </w:tcPr>
          <w:p w:rsidR="00C771AD" w:rsidRPr="000A39B0" w:rsidRDefault="00C771AD" w:rsidP="00C81789">
            <w:pPr>
              <w:spacing w:before="120" w:after="120"/>
              <w:jc w:val="center"/>
              <w:rPr>
                <w:sz w:val="16"/>
                <w:szCs w:val="16"/>
                <w:lang w:val="en-US"/>
              </w:rPr>
            </w:pPr>
            <w:r w:rsidRPr="000A39B0">
              <w:rPr>
                <w:sz w:val="16"/>
                <w:szCs w:val="16"/>
                <w:lang w:val="en-US"/>
              </w:rPr>
              <w:t>9.7%</w:t>
            </w:r>
          </w:p>
        </w:tc>
        <w:tc>
          <w:tcPr>
            <w:tcW w:w="1849" w:type="dxa"/>
            <w:shd w:val="clear" w:color="auto" w:fill="F2F2F2" w:themeFill="background1" w:themeFillShade="F2"/>
          </w:tcPr>
          <w:p w:rsidR="00C771AD" w:rsidRPr="000A39B0" w:rsidRDefault="00C771AD" w:rsidP="00C81789">
            <w:pPr>
              <w:spacing w:before="120" w:after="120"/>
              <w:jc w:val="center"/>
              <w:rPr>
                <w:sz w:val="16"/>
                <w:szCs w:val="16"/>
                <w:lang w:val="en-US"/>
              </w:rPr>
            </w:pPr>
            <w:r w:rsidRPr="000A39B0">
              <w:rPr>
                <w:sz w:val="16"/>
                <w:szCs w:val="16"/>
                <w:lang w:val="en-US"/>
              </w:rPr>
              <w:t>18.8%</w:t>
            </w:r>
          </w:p>
        </w:tc>
        <w:tc>
          <w:tcPr>
            <w:tcW w:w="1849" w:type="dxa"/>
            <w:shd w:val="clear" w:color="auto" w:fill="F2F2F2" w:themeFill="background1" w:themeFillShade="F2"/>
          </w:tcPr>
          <w:p w:rsidR="00C771AD" w:rsidRPr="000A39B0" w:rsidRDefault="00C771AD" w:rsidP="00C81789">
            <w:pPr>
              <w:spacing w:before="120" w:after="120"/>
              <w:jc w:val="center"/>
              <w:rPr>
                <w:sz w:val="16"/>
                <w:szCs w:val="16"/>
                <w:lang w:val="en-US"/>
              </w:rPr>
            </w:pPr>
            <w:r w:rsidRPr="000A39B0">
              <w:rPr>
                <w:sz w:val="16"/>
                <w:szCs w:val="16"/>
                <w:lang w:val="en-US"/>
              </w:rPr>
              <w:t>15.3%</w:t>
            </w:r>
          </w:p>
        </w:tc>
      </w:tr>
    </w:tbl>
    <w:p w:rsidR="00C771AD" w:rsidRPr="00C84D8D" w:rsidRDefault="00C771AD" w:rsidP="00C771AD">
      <w:pPr>
        <w:jc w:val="both"/>
        <w:rPr>
          <w:lang w:val="en-US"/>
        </w:rPr>
      </w:pPr>
    </w:p>
    <w:p w:rsidR="004B7749" w:rsidRDefault="00930A71" w:rsidP="00F324DE">
      <w:pPr>
        <w:pStyle w:val="textbasic"/>
      </w:pPr>
      <w:r>
        <w:t>We</w:t>
      </w:r>
      <w:r w:rsidR="00C771AD" w:rsidRPr="00C84D8D">
        <w:t xml:space="preserve"> </w:t>
      </w:r>
      <w:r w:rsidR="00EE7618">
        <w:t xml:space="preserve">also </w:t>
      </w:r>
      <w:r w:rsidR="00C771AD" w:rsidRPr="00C84D8D">
        <w:t xml:space="preserve">note that salary increases for MPs have lagged behind </w:t>
      </w:r>
      <w:r w:rsidR="00EE7618">
        <w:t>those</w:t>
      </w:r>
      <w:r w:rsidR="00C771AD" w:rsidRPr="00C84D8D">
        <w:t xml:space="preserve"> applicable </w:t>
      </w:r>
      <w:r w:rsidR="00C771AD">
        <w:t xml:space="preserve">to </w:t>
      </w:r>
      <w:r w:rsidR="00C771AD" w:rsidRPr="00C84D8D">
        <w:t>the wider workforce over time and ha</w:t>
      </w:r>
      <w:r w:rsidR="00EE7618">
        <w:t>ve</w:t>
      </w:r>
      <w:r w:rsidR="00C771AD" w:rsidRPr="00C84D8D">
        <w:t xml:space="preserve"> been approximately half the rate of increase over the past five years. </w:t>
      </w:r>
      <w:r w:rsidR="00975ECD" w:rsidRPr="00C84D8D">
        <w:t>Indeed</w:t>
      </w:r>
      <w:r w:rsidR="00975ECD">
        <w:t>,</w:t>
      </w:r>
      <w:r w:rsidR="00975ECD" w:rsidRPr="00C84D8D">
        <w:t xml:space="preserve"> salary increases for MPs have not kept pace with inflation over the past five years.</w:t>
      </w:r>
    </w:p>
    <w:p w:rsidR="00AF63E4" w:rsidRPr="001B2C0D" w:rsidRDefault="00E23CE6" w:rsidP="00EC1A81">
      <w:pPr>
        <w:pStyle w:val="Heading3"/>
      </w:pPr>
      <w:bookmarkStart w:id="40" w:name="_Toc443486914"/>
      <w:r>
        <w:t>5</w:t>
      </w:r>
      <w:r w:rsidR="00EC1A81">
        <w:t>.1</w:t>
      </w:r>
      <w:r>
        <w:t>.4</w:t>
      </w:r>
      <w:r>
        <w:tab/>
      </w:r>
      <w:r w:rsidR="00AF63E4" w:rsidRPr="001B2C0D">
        <w:t xml:space="preserve">Comparison </w:t>
      </w:r>
      <w:r w:rsidR="001839BE" w:rsidRPr="001B2C0D">
        <w:t>between</w:t>
      </w:r>
      <w:r w:rsidR="00AF63E4" w:rsidRPr="001B2C0D">
        <w:t xml:space="preserve"> Basic Salary and Representative </w:t>
      </w:r>
      <w:r w:rsidR="00930A71">
        <w:t>Public</w:t>
      </w:r>
      <w:r w:rsidR="00AF63E4" w:rsidRPr="001B2C0D">
        <w:t xml:space="preserve"> Service Positions</w:t>
      </w:r>
      <w:bookmarkEnd w:id="40"/>
    </w:p>
    <w:p w:rsidR="00067833" w:rsidRDefault="009B2842" w:rsidP="00F324DE">
      <w:pPr>
        <w:pStyle w:val="textbasic"/>
      </w:pPr>
      <w:r>
        <w:t xml:space="preserve">The </w:t>
      </w:r>
      <w:r w:rsidR="00325226">
        <w:t xml:space="preserve">submissions of the </w:t>
      </w:r>
      <w:r w:rsidRPr="00067833">
        <w:rPr>
          <w:b/>
        </w:rPr>
        <w:t>Labor Opposition</w:t>
      </w:r>
      <w:r>
        <w:t xml:space="preserve"> and the </w:t>
      </w:r>
      <w:r w:rsidR="00067833" w:rsidRPr="00067833">
        <w:rPr>
          <w:b/>
        </w:rPr>
        <w:t>Tasmanian</w:t>
      </w:r>
      <w:r w:rsidRPr="00067833">
        <w:rPr>
          <w:b/>
        </w:rPr>
        <w:t xml:space="preserve"> Greens</w:t>
      </w:r>
      <w:r>
        <w:t xml:space="preserve"> support the use of a </w:t>
      </w:r>
      <w:r w:rsidR="00067833">
        <w:t>State</w:t>
      </w:r>
      <w:r>
        <w:t xml:space="preserve"> Service </w:t>
      </w:r>
      <w:r w:rsidR="00067833">
        <w:t>reference</w:t>
      </w:r>
      <w:r>
        <w:t xml:space="preserve"> s</w:t>
      </w:r>
      <w:r w:rsidR="00067833">
        <w:t>a</w:t>
      </w:r>
      <w:r>
        <w:t xml:space="preserve">lary for the future </w:t>
      </w:r>
      <w:r w:rsidR="00067833">
        <w:t>determination</w:t>
      </w:r>
      <w:r>
        <w:t xml:space="preserve"> of </w:t>
      </w:r>
      <w:r w:rsidR="00067833">
        <w:t>the basic salary.</w:t>
      </w:r>
    </w:p>
    <w:p w:rsidR="00067833" w:rsidRDefault="00067833" w:rsidP="00F324DE">
      <w:pPr>
        <w:pStyle w:val="textbasic"/>
      </w:pPr>
      <w:r>
        <w:t xml:space="preserve">The </w:t>
      </w:r>
      <w:r w:rsidRPr="00067833">
        <w:rPr>
          <w:b/>
        </w:rPr>
        <w:t>Tasmanian Greens</w:t>
      </w:r>
      <w:r>
        <w:t xml:space="preserve"> consider that the work of MPs is a public service and it is logical that the salary for MPs should be linked to the State public sector.  They contend that the basic salary for 2016-17 should be determined by a similar mechanism </w:t>
      </w:r>
      <w:r w:rsidR="00E06A1F">
        <w:t xml:space="preserve">to </w:t>
      </w:r>
      <w:r>
        <w:t xml:space="preserve">that </w:t>
      </w:r>
      <w:r w:rsidR="00E06A1F">
        <w:t xml:space="preserve">which </w:t>
      </w:r>
      <w:r>
        <w:t>was included in a Bill</w:t>
      </w:r>
      <w:r>
        <w:rPr>
          <w:rStyle w:val="FootnoteReference"/>
        </w:rPr>
        <w:footnoteReference w:id="26"/>
      </w:r>
      <w:r>
        <w:t xml:space="preserve"> presented to the Parliament in 2012.  This Bill provided for the salary for </w:t>
      </w:r>
      <w:r w:rsidR="006D5495">
        <w:t>an MP</w:t>
      </w:r>
      <w:r>
        <w:t xml:space="preserve"> to be 95.734% of a classification point in the general stream of the Tasmanian State Service Award.</w:t>
      </w:r>
    </w:p>
    <w:p w:rsidR="00325226" w:rsidRDefault="00B44103" w:rsidP="00F324DE">
      <w:pPr>
        <w:pStyle w:val="textbasic"/>
      </w:pPr>
      <w:r>
        <w:t xml:space="preserve">The </w:t>
      </w:r>
      <w:r w:rsidRPr="00B44103">
        <w:rPr>
          <w:b/>
        </w:rPr>
        <w:t>Labor Opposition</w:t>
      </w:r>
      <w:r>
        <w:t xml:space="preserve"> submit</w:t>
      </w:r>
      <w:r w:rsidR="000415F0">
        <w:t>s</w:t>
      </w:r>
      <w:r>
        <w:t xml:space="preserve"> that</w:t>
      </w:r>
      <w:r w:rsidR="00D22E21">
        <w:t>:</w:t>
      </w:r>
      <w:r>
        <w:t xml:space="preserve"> </w:t>
      </w:r>
    </w:p>
    <w:p w:rsidR="00325226" w:rsidRPr="00EE7618" w:rsidRDefault="00B44103" w:rsidP="00325226">
      <w:pPr>
        <w:pStyle w:val="quoteitalics1"/>
      </w:pPr>
      <w:r>
        <w:t>“</w:t>
      </w:r>
      <w:r w:rsidR="00325226">
        <w:tab/>
      </w:r>
      <w:r w:rsidRPr="00325226">
        <w:t xml:space="preserve">In our view the </w:t>
      </w:r>
      <w:r w:rsidR="00D22E21" w:rsidRPr="00D22E21">
        <w:rPr>
          <w:i w:val="0"/>
        </w:rPr>
        <w:t>[</w:t>
      </w:r>
      <w:r w:rsidRPr="00D22E21">
        <w:rPr>
          <w:i w:val="0"/>
        </w:rPr>
        <w:t>Commission</w:t>
      </w:r>
      <w:r w:rsidR="00D22E21" w:rsidRPr="00D22E21">
        <w:rPr>
          <w:i w:val="0"/>
        </w:rPr>
        <w:t>]</w:t>
      </w:r>
      <w:r w:rsidRPr="00325226">
        <w:t xml:space="preserve"> should identify an appropriate reference salary within the General Stream of the Tasmanian State Service Award so that the basic salary of a Member of Parliament moves in line with any variation to that reference salary.</w:t>
      </w:r>
      <w:r>
        <w:t>”</w:t>
      </w:r>
      <w:r w:rsidR="00325226" w:rsidRPr="00325226">
        <w:t xml:space="preserve"> </w:t>
      </w:r>
    </w:p>
    <w:p w:rsidR="00E23CE6" w:rsidRPr="00C84D8D" w:rsidRDefault="00E23CE6" w:rsidP="00F324DE">
      <w:pPr>
        <w:pStyle w:val="textbasic"/>
      </w:pPr>
      <w:r>
        <w:t xml:space="preserve">Table 5 was provided in the 2015 Issues Paper and it </w:t>
      </w:r>
      <w:r w:rsidRPr="00C84D8D">
        <w:t xml:space="preserve">compares salary movements for MPs with representative </w:t>
      </w:r>
      <w:r w:rsidR="00930A71">
        <w:t>Public</w:t>
      </w:r>
      <w:r w:rsidRPr="00C84D8D">
        <w:t xml:space="preserve"> Service positions.</w:t>
      </w:r>
    </w:p>
    <w:p w:rsidR="00E23CE6" w:rsidRPr="00C84D8D" w:rsidRDefault="00E23CE6" w:rsidP="00725574">
      <w:pPr>
        <w:pStyle w:val="TableTitlemain"/>
      </w:pPr>
      <w:r w:rsidRPr="00C84D8D">
        <w:t>Table 5</w:t>
      </w:r>
      <w:r>
        <w:tab/>
      </w:r>
      <w:r w:rsidRPr="00C84D8D">
        <w:t xml:space="preserve">Comparison </w:t>
      </w:r>
      <w:r w:rsidR="001839BE" w:rsidRPr="00C84D8D">
        <w:t>between</w:t>
      </w:r>
      <w:r w:rsidRPr="00C84D8D">
        <w:t xml:space="preserve"> Basic Salary and Representative </w:t>
      </w:r>
      <w:r w:rsidR="00930A71">
        <w:t>Public Service</w:t>
      </w:r>
      <w:r w:rsidR="00930A71" w:rsidRPr="00C84D8D">
        <w:t xml:space="preserve"> </w:t>
      </w:r>
      <w:r w:rsidRPr="00C84D8D">
        <w:t>Positions</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537"/>
        <w:gridCol w:w="1540"/>
        <w:gridCol w:w="1545"/>
        <w:gridCol w:w="1539"/>
        <w:gridCol w:w="1577"/>
      </w:tblGrid>
      <w:tr w:rsidR="00E23CE6" w:rsidRPr="00327CCC" w:rsidTr="001C028F">
        <w:trPr>
          <w:cantSplit/>
          <w:trHeight w:val="922"/>
          <w:tblHeader/>
        </w:trPr>
        <w:tc>
          <w:tcPr>
            <w:tcW w:w="1546" w:type="dxa"/>
            <w:shd w:val="clear" w:color="auto" w:fill="D9D9D9" w:themeFill="background1" w:themeFillShade="D9"/>
          </w:tcPr>
          <w:p w:rsidR="00E23CE6" w:rsidRPr="00327CCC" w:rsidRDefault="00EE7618" w:rsidP="00EE7618">
            <w:pPr>
              <w:spacing w:before="120" w:after="120"/>
              <w:jc w:val="both"/>
              <w:rPr>
                <w:b/>
                <w:sz w:val="16"/>
                <w:szCs w:val="16"/>
                <w:lang w:val="en-US"/>
              </w:rPr>
            </w:pPr>
            <w:r w:rsidRPr="00327CCC">
              <w:rPr>
                <w:b/>
                <w:sz w:val="16"/>
                <w:szCs w:val="16"/>
                <w:lang w:val="en-US"/>
              </w:rPr>
              <w:t>Date</w:t>
            </w:r>
          </w:p>
        </w:tc>
        <w:tc>
          <w:tcPr>
            <w:tcW w:w="1537" w:type="dxa"/>
            <w:shd w:val="clear" w:color="auto" w:fill="D9D9D9" w:themeFill="background1" w:themeFillShade="D9"/>
          </w:tcPr>
          <w:p w:rsidR="00E23CE6" w:rsidRPr="00327CCC" w:rsidRDefault="00E23CE6" w:rsidP="00EE7618">
            <w:pPr>
              <w:spacing w:before="120" w:after="120"/>
              <w:jc w:val="center"/>
              <w:rPr>
                <w:b/>
                <w:sz w:val="16"/>
                <w:szCs w:val="16"/>
                <w:lang w:val="en-US"/>
              </w:rPr>
            </w:pPr>
            <w:r w:rsidRPr="00327CCC">
              <w:rPr>
                <w:b/>
                <w:sz w:val="16"/>
                <w:szCs w:val="16"/>
                <w:lang w:val="en-US"/>
              </w:rPr>
              <w:t>Basic Salary</w:t>
            </w:r>
          </w:p>
        </w:tc>
        <w:tc>
          <w:tcPr>
            <w:tcW w:w="1540" w:type="dxa"/>
            <w:shd w:val="clear" w:color="auto" w:fill="D9D9D9" w:themeFill="background1" w:themeFillShade="D9"/>
          </w:tcPr>
          <w:p w:rsidR="00E23CE6" w:rsidRPr="00327CCC" w:rsidRDefault="00E23CE6" w:rsidP="00EE7618">
            <w:pPr>
              <w:spacing w:before="120" w:after="120"/>
              <w:jc w:val="center"/>
              <w:rPr>
                <w:b/>
                <w:sz w:val="16"/>
                <w:szCs w:val="16"/>
                <w:lang w:val="en-US"/>
              </w:rPr>
            </w:pPr>
            <w:r w:rsidRPr="00327CCC">
              <w:rPr>
                <w:b/>
                <w:sz w:val="16"/>
                <w:szCs w:val="16"/>
                <w:lang w:val="en-US"/>
              </w:rPr>
              <w:t>A &amp;C level 12</w:t>
            </w:r>
            <w:r w:rsidR="00EE7618" w:rsidRPr="00327CCC">
              <w:rPr>
                <w:b/>
                <w:sz w:val="16"/>
                <w:szCs w:val="16"/>
                <w:lang w:val="en-US"/>
              </w:rPr>
              <w:br/>
            </w:r>
            <w:r w:rsidRPr="00327CCC">
              <w:rPr>
                <w:b/>
                <w:sz w:val="16"/>
                <w:szCs w:val="16"/>
                <w:lang w:val="en-US"/>
              </w:rPr>
              <w:t>TSSA Band 8 R1-2</w:t>
            </w:r>
          </w:p>
        </w:tc>
        <w:tc>
          <w:tcPr>
            <w:tcW w:w="1545" w:type="dxa"/>
            <w:shd w:val="clear" w:color="auto" w:fill="D9D9D9" w:themeFill="background1" w:themeFillShade="D9"/>
          </w:tcPr>
          <w:p w:rsidR="00E23CE6" w:rsidRPr="00327CCC" w:rsidRDefault="00E23CE6" w:rsidP="00EE7618">
            <w:pPr>
              <w:spacing w:before="120" w:after="120"/>
              <w:jc w:val="center"/>
              <w:rPr>
                <w:b/>
                <w:sz w:val="16"/>
                <w:szCs w:val="16"/>
                <w:lang w:val="en-US"/>
              </w:rPr>
            </w:pPr>
            <w:r w:rsidRPr="00327CCC">
              <w:rPr>
                <w:b/>
                <w:sz w:val="16"/>
                <w:szCs w:val="16"/>
                <w:lang w:val="en-US"/>
              </w:rPr>
              <w:t>Registered Nurse L.1 year 8</w:t>
            </w:r>
          </w:p>
        </w:tc>
        <w:tc>
          <w:tcPr>
            <w:tcW w:w="1539" w:type="dxa"/>
            <w:shd w:val="clear" w:color="auto" w:fill="D9D9D9" w:themeFill="background1" w:themeFillShade="D9"/>
          </w:tcPr>
          <w:p w:rsidR="00E23CE6" w:rsidRPr="00327CCC" w:rsidRDefault="00E23CE6" w:rsidP="00EE7618">
            <w:pPr>
              <w:spacing w:before="120" w:after="120"/>
              <w:jc w:val="center"/>
              <w:rPr>
                <w:b/>
                <w:sz w:val="16"/>
                <w:szCs w:val="16"/>
                <w:lang w:val="en-US"/>
              </w:rPr>
            </w:pPr>
            <w:r w:rsidRPr="00327CCC">
              <w:rPr>
                <w:b/>
                <w:sz w:val="16"/>
                <w:szCs w:val="16"/>
                <w:lang w:val="en-US"/>
              </w:rPr>
              <w:t>Teacher</w:t>
            </w:r>
            <w:r w:rsidR="00EE7618" w:rsidRPr="00327CCC">
              <w:rPr>
                <w:b/>
                <w:sz w:val="16"/>
                <w:szCs w:val="16"/>
                <w:lang w:val="en-US"/>
              </w:rPr>
              <w:br/>
            </w:r>
            <w:r w:rsidRPr="00327CCC">
              <w:rPr>
                <w:b/>
                <w:sz w:val="16"/>
                <w:szCs w:val="16"/>
                <w:lang w:val="en-US"/>
              </w:rPr>
              <w:t>B1 Level 12</w:t>
            </w:r>
          </w:p>
        </w:tc>
        <w:tc>
          <w:tcPr>
            <w:tcW w:w="1577" w:type="dxa"/>
            <w:shd w:val="clear" w:color="auto" w:fill="D9D9D9" w:themeFill="background1" w:themeFillShade="D9"/>
          </w:tcPr>
          <w:p w:rsidR="00E23CE6" w:rsidRPr="00327CCC" w:rsidRDefault="00E23CE6" w:rsidP="00EE7618">
            <w:pPr>
              <w:spacing w:before="120" w:after="120"/>
              <w:jc w:val="center"/>
              <w:rPr>
                <w:b/>
                <w:sz w:val="16"/>
                <w:szCs w:val="16"/>
                <w:lang w:val="en-US"/>
              </w:rPr>
            </w:pPr>
            <w:r w:rsidRPr="00327CCC">
              <w:rPr>
                <w:b/>
                <w:sz w:val="16"/>
                <w:szCs w:val="16"/>
                <w:lang w:val="en-US"/>
              </w:rPr>
              <w:t>Police Commander Level 1</w:t>
            </w:r>
          </w:p>
        </w:tc>
      </w:tr>
      <w:tr w:rsidR="00E23CE6" w:rsidRPr="000A39B0" w:rsidTr="00E23CE6">
        <w:trPr>
          <w:trHeight w:val="449"/>
        </w:trPr>
        <w:tc>
          <w:tcPr>
            <w:tcW w:w="1546" w:type="dxa"/>
            <w:shd w:val="clear" w:color="auto" w:fill="auto"/>
          </w:tcPr>
          <w:p w:rsidR="00E23CE6" w:rsidRPr="000A39B0" w:rsidRDefault="00E23CE6" w:rsidP="00EE7618">
            <w:pPr>
              <w:spacing w:before="120" w:after="120"/>
              <w:jc w:val="both"/>
              <w:rPr>
                <w:sz w:val="16"/>
                <w:szCs w:val="16"/>
                <w:lang w:val="en-US"/>
              </w:rPr>
            </w:pPr>
            <w:r w:rsidRPr="000A39B0">
              <w:rPr>
                <w:sz w:val="16"/>
                <w:szCs w:val="16"/>
                <w:lang w:val="en-US"/>
              </w:rPr>
              <w:t>1 July 2005</w:t>
            </w:r>
          </w:p>
        </w:tc>
        <w:tc>
          <w:tcPr>
            <w:tcW w:w="1537" w:type="dxa"/>
            <w:shd w:val="clear" w:color="auto" w:fill="auto"/>
          </w:tcPr>
          <w:p w:rsidR="00E23CE6" w:rsidRPr="000A39B0" w:rsidRDefault="00E23CE6" w:rsidP="00EE7618">
            <w:pPr>
              <w:spacing w:before="120" w:after="120"/>
              <w:jc w:val="center"/>
              <w:rPr>
                <w:sz w:val="16"/>
                <w:szCs w:val="16"/>
                <w:lang w:val="en-US"/>
              </w:rPr>
            </w:pPr>
            <w:r w:rsidRPr="000A39B0">
              <w:rPr>
                <w:sz w:val="16"/>
                <w:szCs w:val="16"/>
                <w:lang w:val="en-US"/>
              </w:rPr>
              <w:t>90 957</w:t>
            </w:r>
          </w:p>
        </w:tc>
        <w:tc>
          <w:tcPr>
            <w:tcW w:w="1540" w:type="dxa"/>
            <w:shd w:val="clear" w:color="auto" w:fill="auto"/>
          </w:tcPr>
          <w:p w:rsidR="00E23CE6" w:rsidRPr="000A39B0" w:rsidRDefault="00E23CE6" w:rsidP="00EE7618">
            <w:pPr>
              <w:spacing w:before="120" w:after="120"/>
              <w:jc w:val="center"/>
              <w:rPr>
                <w:sz w:val="16"/>
                <w:szCs w:val="16"/>
                <w:lang w:val="en-US"/>
              </w:rPr>
            </w:pPr>
            <w:r w:rsidRPr="000A39B0">
              <w:rPr>
                <w:sz w:val="16"/>
                <w:szCs w:val="16"/>
                <w:lang w:val="en-US"/>
              </w:rPr>
              <w:t>76 658</w:t>
            </w:r>
          </w:p>
        </w:tc>
        <w:tc>
          <w:tcPr>
            <w:tcW w:w="1545" w:type="dxa"/>
            <w:shd w:val="clear" w:color="auto" w:fill="auto"/>
          </w:tcPr>
          <w:p w:rsidR="00E23CE6" w:rsidRPr="000A39B0" w:rsidRDefault="00E23CE6" w:rsidP="00EE7618">
            <w:pPr>
              <w:spacing w:before="120" w:after="120"/>
              <w:jc w:val="center"/>
              <w:rPr>
                <w:sz w:val="16"/>
                <w:szCs w:val="16"/>
                <w:lang w:val="en-US"/>
              </w:rPr>
            </w:pPr>
            <w:r w:rsidRPr="000A39B0">
              <w:rPr>
                <w:sz w:val="16"/>
                <w:szCs w:val="16"/>
                <w:lang w:val="en-US"/>
              </w:rPr>
              <w:t>50 926</w:t>
            </w:r>
          </w:p>
        </w:tc>
        <w:tc>
          <w:tcPr>
            <w:tcW w:w="1539" w:type="dxa"/>
            <w:shd w:val="clear" w:color="auto" w:fill="auto"/>
          </w:tcPr>
          <w:p w:rsidR="00E23CE6" w:rsidRPr="000A39B0" w:rsidRDefault="00E23CE6" w:rsidP="00EE7618">
            <w:pPr>
              <w:spacing w:before="120" w:after="120"/>
              <w:jc w:val="center"/>
              <w:rPr>
                <w:sz w:val="16"/>
                <w:szCs w:val="16"/>
                <w:lang w:val="en-US"/>
              </w:rPr>
            </w:pPr>
            <w:r w:rsidRPr="000A39B0">
              <w:rPr>
                <w:sz w:val="16"/>
                <w:szCs w:val="16"/>
                <w:lang w:val="en-US"/>
              </w:rPr>
              <w:t>62 815</w:t>
            </w:r>
          </w:p>
        </w:tc>
        <w:tc>
          <w:tcPr>
            <w:tcW w:w="1577" w:type="dxa"/>
            <w:shd w:val="clear" w:color="auto" w:fill="auto"/>
          </w:tcPr>
          <w:p w:rsidR="00E23CE6" w:rsidRPr="000A39B0" w:rsidRDefault="00E23CE6" w:rsidP="00EE7618">
            <w:pPr>
              <w:spacing w:before="120" w:after="120"/>
              <w:jc w:val="center"/>
              <w:rPr>
                <w:sz w:val="16"/>
                <w:szCs w:val="16"/>
                <w:lang w:val="en-US"/>
              </w:rPr>
            </w:pPr>
            <w:r w:rsidRPr="000A39B0">
              <w:rPr>
                <w:sz w:val="16"/>
                <w:szCs w:val="16"/>
                <w:lang w:val="en-US"/>
              </w:rPr>
              <w:t>89 183</w:t>
            </w:r>
          </w:p>
        </w:tc>
      </w:tr>
      <w:tr w:rsidR="00E23CE6" w:rsidRPr="000A39B0" w:rsidTr="00E23CE6">
        <w:trPr>
          <w:trHeight w:val="449"/>
        </w:trPr>
        <w:tc>
          <w:tcPr>
            <w:tcW w:w="1546" w:type="dxa"/>
            <w:shd w:val="clear" w:color="auto" w:fill="auto"/>
          </w:tcPr>
          <w:p w:rsidR="00E23CE6" w:rsidRPr="000A39B0" w:rsidRDefault="00E23CE6" w:rsidP="00EE7618">
            <w:pPr>
              <w:spacing w:before="120" w:after="120"/>
              <w:jc w:val="both"/>
              <w:rPr>
                <w:sz w:val="16"/>
                <w:szCs w:val="16"/>
                <w:lang w:val="en-US"/>
              </w:rPr>
            </w:pPr>
            <w:r w:rsidRPr="000A39B0">
              <w:rPr>
                <w:sz w:val="16"/>
                <w:szCs w:val="16"/>
                <w:lang w:val="en-US"/>
              </w:rPr>
              <w:t>1 July 2010</w:t>
            </w:r>
          </w:p>
        </w:tc>
        <w:tc>
          <w:tcPr>
            <w:tcW w:w="1537" w:type="dxa"/>
            <w:shd w:val="clear" w:color="auto" w:fill="auto"/>
          </w:tcPr>
          <w:p w:rsidR="00E23CE6" w:rsidRPr="000A39B0" w:rsidRDefault="00E23CE6" w:rsidP="00EE7618">
            <w:pPr>
              <w:spacing w:before="120" w:after="120"/>
              <w:jc w:val="center"/>
              <w:rPr>
                <w:sz w:val="16"/>
                <w:szCs w:val="16"/>
                <w:lang w:val="en-US"/>
              </w:rPr>
            </w:pPr>
            <w:r w:rsidRPr="000A39B0">
              <w:rPr>
                <w:sz w:val="16"/>
                <w:szCs w:val="16"/>
                <w:lang w:val="en-US"/>
              </w:rPr>
              <w:t>111 633</w:t>
            </w:r>
          </w:p>
        </w:tc>
        <w:tc>
          <w:tcPr>
            <w:tcW w:w="1540" w:type="dxa"/>
            <w:shd w:val="clear" w:color="auto" w:fill="auto"/>
          </w:tcPr>
          <w:p w:rsidR="00E23CE6" w:rsidRPr="000A39B0" w:rsidRDefault="00E23CE6" w:rsidP="00EE7618">
            <w:pPr>
              <w:spacing w:before="120" w:after="120"/>
              <w:jc w:val="center"/>
              <w:rPr>
                <w:sz w:val="16"/>
                <w:szCs w:val="16"/>
                <w:lang w:val="en-US"/>
              </w:rPr>
            </w:pPr>
            <w:r w:rsidRPr="000A39B0">
              <w:rPr>
                <w:sz w:val="16"/>
                <w:szCs w:val="16"/>
                <w:lang w:val="en-US"/>
              </w:rPr>
              <w:t>95 630</w:t>
            </w:r>
          </w:p>
        </w:tc>
        <w:tc>
          <w:tcPr>
            <w:tcW w:w="1545" w:type="dxa"/>
            <w:shd w:val="clear" w:color="auto" w:fill="auto"/>
          </w:tcPr>
          <w:p w:rsidR="00E23CE6" w:rsidRPr="000A39B0" w:rsidRDefault="00E23CE6" w:rsidP="00EE7618">
            <w:pPr>
              <w:spacing w:before="120" w:after="120"/>
              <w:jc w:val="center"/>
              <w:rPr>
                <w:sz w:val="16"/>
                <w:szCs w:val="16"/>
                <w:lang w:val="en-US"/>
              </w:rPr>
            </w:pPr>
            <w:r w:rsidRPr="000A39B0">
              <w:rPr>
                <w:sz w:val="16"/>
                <w:szCs w:val="16"/>
                <w:lang w:val="en-US"/>
              </w:rPr>
              <w:t>64 842</w:t>
            </w:r>
          </w:p>
        </w:tc>
        <w:tc>
          <w:tcPr>
            <w:tcW w:w="1539" w:type="dxa"/>
            <w:shd w:val="clear" w:color="auto" w:fill="auto"/>
          </w:tcPr>
          <w:p w:rsidR="00E23CE6" w:rsidRPr="000A39B0" w:rsidRDefault="00E23CE6" w:rsidP="00EE7618">
            <w:pPr>
              <w:spacing w:before="120" w:after="120"/>
              <w:jc w:val="center"/>
              <w:rPr>
                <w:sz w:val="16"/>
                <w:szCs w:val="16"/>
                <w:lang w:val="en-US"/>
              </w:rPr>
            </w:pPr>
            <w:r w:rsidRPr="000A39B0">
              <w:rPr>
                <w:sz w:val="16"/>
                <w:szCs w:val="16"/>
                <w:lang w:val="en-US"/>
              </w:rPr>
              <w:t>78 509</w:t>
            </w:r>
          </w:p>
        </w:tc>
        <w:tc>
          <w:tcPr>
            <w:tcW w:w="1577" w:type="dxa"/>
            <w:shd w:val="clear" w:color="auto" w:fill="auto"/>
          </w:tcPr>
          <w:p w:rsidR="00E23CE6" w:rsidRPr="000A39B0" w:rsidRDefault="00E23CE6" w:rsidP="00EE7618">
            <w:pPr>
              <w:spacing w:before="120" w:after="120"/>
              <w:jc w:val="center"/>
              <w:rPr>
                <w:sz w:val="16"/>
                <w:szCs w:val="16"/>
                <w:lang w:val="en-US"/>
              </w:rPr>
            </w:pPr>
            <w:r w:rsidRPr="000A39B0">
              <w:rPr>
                <w:sz w:val="16"/>
                <w:szCs w:val="16"/>
                <w:lang w:val="en-US"/>
              </w:rPr>
              <w:t>114 776</w:t>
            </w:r>
          </w:p>
        </w:tc>
      </w:tr>
      <w:tr w:rsidR="00E23CE6" w:rsidRPr="000A39B0" w:rsidTr="00E23CE6">
        <w:trPr>
          <w:trHeight w:val="459"/>
        </w:trPr>
        <w:tc>
          <w:tcPr>
            <w:tcW w:w="1546" w:type="dxa"/>
            <w:shd w:val="clear" w:color="auto" w:fill="auto"/>
          </w:tcPr>
          <w:p w:rsidR="00E23CE6" w:rsidRPr="000A39B0" w:rsidRDefault="00E23CE6" w:rsidP="00EE7618">
            <w:pPr>
              <w:spacing w:before="120" w:after="120"/>
              <w:jc w:val="both"/>
              <w:rPr>
                <w:sz w:val="16"/>
                <w:szCs w:val="16"/>
                <w:lang w:val="en-US"/>
              </w:rPr>
            </w:pPr>
            <w:r w:rsidRPr="000A39B0">
              <w:rPr>
                <w:sz w:val="16"/>
                <w:szCs w:val="16"/>
                <w:lang w:val="en-US"/>
              </w:rPr>
              <w:t>1 July 2015</w:t>
            </w:r>
          </w:p>
        </w:tc>
        <w:tc>
          <w:tcPr>
            <w:tcW w:w="1537" w:type="dxa"/>
            <w:shd w:val="clear" w:color="auto" w:fill="auto"/>
          </w:tcPr>
          <w:p w:rsidR="00E23CE6" w:rsidRPr="000A39B0" w:rsidRDefault="00E23CE6" w:rsidP="00EE7618">
            <w:pPr>
              <w:spacing w:before="120" w:after="120"/>
              <w:jc w:val="center"/>
              <w:rPr>
                <w:sz w:val="16"/>
                <w:szCs w:val="16"/>
                <w:lang w:val="en-US"/>
              </w:rPr>
            </w:pPr>
            <w:r w:rsidRPr="000A39B0">
              <w:rPr>
                <w:sz w:val="16"/>
                <w:szCs w:val="16"/>
                <w:lang w:val="en-US"/>
              </w:rPr>
              <w:t>120 835</w:t>
            </w:r>
          </w:p>
        </w:tc>
        <w:tc>
          <w:tcPr>
            <w:tcW w:w="1540" w:type="dxa"/>
            <w:shd w:val="clear" w:color="auto" w:fill="auto"/>
          </w:tcPr>
          <w:p w:rsidR="00E23CE6" w:rsidRPr="000A39B0" w:rsidRDefault="00E23CE6" w:rsidP="00EE7618">
            <w:pPr>
              <w:spacing w:before="120" w:after="120"/>
              <w:jc w:val="center"/>
              <w:rPr>
                <w:sz w:val="16"/>
                <w:szCs w:val="16"/>
                <w:lang w:val="en-US"/>
              </w:rPr>
            </w:pPr>
            <w:r w:rsidRPr="000A39B0">
              <w:rPr>
                <w:sz w:val="16"/>
                <w:szCs w:val="16"/>
                <w:lang w:val="en-US"/>
              </w:rPr>
              <w:t>111 465</w:t>
            </w:r>
            <w:r w:rsidRPr="000A39B0">
              <w:rPr>
                <w:rStyle w:val="FootnoteReference"/>
                <w:sz w:val="16"/>
                <w:szCs w:val="16"/>
                <w:lang w:val="en-US"/>
              </w:rPr>
              <w:footnoteReference w:id="27"/>
            </w:r>
          </w:p>
        </w:tc>
        <w:tc>
          <w:tcPr>
            <w:tcW w:w="1545" w:type="dxa"/>
            <w:shd w:val="clear" w:color="auto" w:fill="auto"/>
          </w:tcPr>
          <w:p w:rsidR="00E23CE6" w:rsidRPr="000A39B0" w:rsidRDefault="00E23CE6" w:rsidP="00EE7618">
            <w:pPr>
              <w:spacing w:before="120" w:after="120"/>
              <w:jc w:val="center"/>
              <w:rPr>
                <w:sz w:val="16"/>
                <w:szCs w:val="16"/>
                <w:lang w:val="en-US"/>
              </w:rPr>
            </w:pPr>
            <w:r w:rsidRPr="000A39B0">
              <w:rPr>
                <w:sz w:val="16"/>
                <w:szCs w:val="16"/>
                <w:lang w:val="en-US"/>
              </w:rPr>
              <w:t>76 249</w:t>
            </w:r>
          </w:p>
        </w:tc>
        <w:tc>
          <w:tcPr>
            <w:tcW w:w="1539" w:type="dxa"/>
            <w:shd w:val="clear" w:color="auto" w:fill="auto"/>
          </w:tcPr>
          <w:p w:rsidR="00E23CE6" w:rsidRPr="000A39B0" w:rsidRDefault="00E23CE6" w:rsidP="00EE7618">
            <w:pPr>
              <w:spacing w:before="120" w:after="120"/>
              <w:jc w:val="center"/>
              <w:rPr>
                <w:sz w:val="16"/>
                <w:szCs w:val="16"/>
                <w:lang w:val="en-US"/>
              </w:rPr>
            </w:pPr>
            <w:r w:rsidRPr="000A39B0">
              <w:rPr>
                <w:sz w:val="16"/>
                <w:szCs w:val="16"/>
                <w:lang w:val="en-US"/>
              </w:rPr>
              <w:t>92 496</w:t>
            </w:r>
            <w:r w:rsidRPr="000A39B0">
              <w:rPr>
                <w:rStyle w:val="FootnoteReference"/>
                <w:sz w:val="16"/>
                <w:szCs w:val="16"/>
                <w:lang w:val="en-US"/>
              </w:rPr>
              <w:footnoteReference w:id="28"/>
            </w:r>
          </w:p>
        </w:tc>
        <w:tc>
          <w:tcPr>
            <w:tcW w:w="1577" w:type="dxa"/>
            <w:shd w:val="clear" w:color="auto" w:fill="auto"/>
          </w:tcPr>
          <w:p w:rsidR="00E23CE6" w:rsidRPr="000A39B0" w:rsidRDefault="00E23CE6" w:rsidP="00327CCC">
            <w:pPr>
              <w:spacing w:before="120" w:after="120"/>
              <w:jc w:val="center"/>
              <w:rPr>
                <w:sz w:val="16"/>
                <w:szCs w:val="16"/>
                <w:lang w:val="en-US"/>
              </w:rPr>
            </w:pPr>
            <w:r w:rsidRPr="000A39B0">
              <w:rPr>
                <w:sz w:val="16"/>
                <w:szCs w:val="16"/>
                <w:lang w:val="en-US"/>
              </w:rPr>
              <w:t>145</w:t>
            </w:r>
            <w:r>
              <w:rPr>
                <w:sz w:val="16"/>
                <w:szCs w:val="16"/>
                <w:lang w:val="en-US"/>
              </w:rPr>
              <w:t xml:space="preserve"> </w:t>
            </w:r>
            <w:r w:rsidRPr="000A39B0">
              <w:rPr>
                <w:sz w:val="16"/>
                <w:szCs w:val="16"/>
                <w:lang w:val="en-US"/>
              </w:rPr>
              <w:t>884</w:t>
            </w:r>
            <w:r w:rsidRPr="000A39B0">
              <w:rPr>
                <w:rStyle w:val="FootnoteReference"/>
                <w:sz w:val="16"/>
                <w:szCs w:val="16"/>
                <w:lang w:val="en-US"/>
              </w:rPr>
              <w:footnoteReference w:id="29"/>
            </w:r>
          </w:p>
        </w:tc>
      </w:tr>
      <w:tr w:rsidR="00E23CE6" w:rsidRPr="000A39B0" w:rsidTr="00327CCC">
        <w:trPr>
          <w:trHeight w:val="454"/>
        </w:trPr>
        <w:tc>
          <w:tcPr>
            <w:tcW w:w="1546" w:type="dxa"/>
            <w:shd w:val="clear" w:color="auto" w:fill="F2F2F2" w:themeFill="background1" w:themeFillShade="F2"/>
          </w:tcPr>
          <w:p w:rsidR="00E23CE6" w:rsidRPr="000A39B0" w:rsidRDefault="00E23CE6" w:rsidP="00EE7618">
            <w:pPr>
              <w:spacing w:before="120" w:after="120"/>
              <w:jc w:val="both"/>
              <w:rPr>
                <w:sz w:val="16"/>
                <w:szCs w:val="16"/>
                <w:lang w:val="en-US"/>
              </w:rPr>
            </w:pPr>
            <w:r w:rsidRPr="000A39B0">
              <w:rPr>
                <w:sz w:val="16"/>
                <w:szCs w:val="16"/>
                <w:lang w:val="en-US"/>
              </w:rPr>
              <w:t>% change since 1 July 2005</w:t>
            </w:r>
          </w:p>
        </w:tc>
        <w:tc>
          <w:tcPr>
            <w:tcW w:w="1537" w:type="dxa"/>
            <w:shd w:val="clear" w:color="auto" w:fill="F2F2F2" w:themeFill="background1" w:themeFillShade="F2"/>
          </w:tcPr>
          <w:p w:rsidR="00E23CE6" w:rsidRPr="000A39B0" w:rsidRDefault="00E23CE6" w:rsidP="00EE7618">
            <w:pPr>
              <w:spacing w:before="120" w:after="120"/>
              <w:jc w:val="center"/>
              <w:rPr>
                <w:sz w:val="16"/>
                <w:szCs w:val="16"/>
                <w:lang w:val="en-US"/>
              </w:rPr>
            </w:pPr>
            <w:r w:rsidRPr="000A39B0">
              <w:rPr>
                <w:sz w:val="16"/>
                <w:szCs w:val="16"/>
                <w:lang w:val="en-US"/>
              </w:rPr>
              <w:t>32.8%</w:t>
            </w:r>
          </w:p>
        </w:tc>
        <w:tc>
          <w:tcPr>
            <w:tcW w:w="1540" w:type="dxa"/>
            <w:shd w:val="clear" w:color="auto" w:fill="F2F2F2" w:themeFill="background1" w:themeFillShade="F2"/>
          </w:tcPr>
          <w:p w:rsidR="00E23CE6" w:rsidRPr="000A39B0" w:rsidRDefault="00E23CE6" w:rsidP="00EE7618">
            <w:pPr>
              <w:spacing w:before="120" w:after="120"/>
              <w:jc w:val="center"/>
              <w:rPr>
                <w:sz w:val="16"/>
                <w:szCs w:val="16"/>
                <w:lang w:val="en-US"/>
              </w:rPr>
            </w:pPr>
            <w:r w:rsidRPr="000A39B0">
              <w:rPr>
                <w:sz w:val="16"/>
                <w:szCs w:val="16"/>
                <w:lang w:val="en-US"/>
              </w:rPr>
              <w:t>45.4%</w:t>
            </w:r>
          </w:p>
        </w:tc>
        <w:tc>
          <w:tcPr>
            <w:tcW w:w="1545" w:type="dxa"/>
            <w:shd w:val="clear" w:color="auto" w:fill="F2F2F2" w:themeFill="background1" w:themeFillShade="F2"/>
          </w:tcPr>
          <w:p w:rsidR="00E23CE6" w:rsidRPr="000A39B0" w:rsidRDefault="00E23CE6" w:rsidP="00EE7618">
            <w:pPr>
              <w:spacing w:before="120" w:after="120"/>
              <w:jc w:val="center"/>
              <w:rPr>
                <w:sz w:val="16"/>
                <w:szCs w:val="16"/>
                <w:lang w:val="en-US"/>
              </w:rPr>
            </w:pPr>
            <w:r w:rsidRPr="000A39B0">
              <w:rPr>
                <w:sz w:val="16"/>
                <w:szCs w:val="16"/>
                <w:lang w:val="en-US"/>
              </w:rPr>
              <w:t>49.7%</w:t>
            </w:r>
          </w:p>
        </w:tc>
        <w:tc>
          <w:tcPr>
            <w:tcW w:w="1539" w:type="dxa"/>
            <w:shd w:val="clear" w:color="auto" w:fill="F2F2F2" w:themeFill="background1" w:themeFillShade="F2"/>
          </w:tcPr>
          <w:p w:rsidR="00E23CE6" w:rsidRPr="000A39B0" w:rsidRDefault="00E23CE6" w:rsidP="00EE7618">
            <w:pPr>
              <w:spacing w:before="120" w:after="120"/>
              <w:jc w:val="center"/>
              <w:rPr>
                <w:sz w:val="16"/>
                <w:szCs w:val="16"/>
                <w:lang w:val="en-US"/>
              </w:rPr>
            </w:pPr>
            <w:r w:rsidRPr="000A39B0">
              <w:rPr>
                <w:sz w:val="16"/>
                <w:szCs w:val="16"/>
                <w:lang w:val="en-US"/>
              </w:rPr>
              <w:t>4</w:t>
            </w:r>
            <w:r>
              <w:rPr>
                <w:sz w:val="16"/>
                <w:szCs w:val="16"/>
                <w:lang w:val="en-US"/>
              </w:rPr>
              <w:t>7</w:t>
            </w:r>
            <w:r w:rsidRPr="000A39B0">
              <w:rPr>
                <w:sz w:val="16"/>
                <w:szCs w:val="16"/>
                <w:lang w:val="en-US"/>
              </w:rPr>
              <w:t>.3%</w:t>
            </w:r>
          </w:p>
        </w:tc>
        <w:tc>
          <w:tcPr>
            <w:tcW w:w="1577" w:type="dxa"/>
            <w:shd w:val="clear" w:color="auto" w:fill="F2F2F2" w:themeFill="background1" w:themeFillShade="F2"/>
          </w:tcPr>
          <w:p w:rsidR="00E23CE6" w:rsidRPr="000A39B0" w:rsidRDefault="00E23CE6" w:rsidP="00EE7618">
            <w:pPr>
              <w:spacing w:before="120" w:after="120"/>
              <w:jc w:val="center"/>
              <w:rPr>
                <w:sz w:val="16"/>
                <w:szCs w:val="16"/>
                <w:lang w:val="en-US"/>
              </w:rPr>
            </w:pPr>
            <w:r>
              <w:rPr>
                <w:sz w:val="16"/>
                <w:szCs w:val="16"/>
                <w:lang w:val="en-US"/>
              </w:rPr>
              <w:t>63.6</w:t>
            </w:r>
            <w:r w:rsidRPr="000A39B0">
              <w:rPr>
                <w:sz w:val="16"/>
                <w:szCs w:val="16"/>
                <w:lang w:val="en-US"/>
              </w:rPr>
              <w:t>%</w:t>
            </w:r>
          </w:p>
        </w:tc>
      </w:tr>
      <w:tr w:rsidR="00E23CE6" w:rsidRPr="000A39B0" w:rsidTr="00327CCC">
        <w:trPr>
          <w:trHeight w:val="454"/>
        </w:trPr>
        <w:tc>
          <w:tcPr>
            <w:tcW w:w="1546" w:type="dxa"/>
            <w:shd w:val="clear" w:color="auto" w:fill="F2F2F2" w:themeFill="background1" w:themeFillShade="F2"/>
          </w:tcPr>
          <w:p w:rsidR="00E23CE6" w:rsidRPr="000A39B0" w:rsidRDefault="00E23CE6" w:rsidP="00EE7618">
            <w:pPr>
              <w:spacing w:before="120" w:after="120"/>
              <w:jc w:val="both"/>
              <w:rPr>
                <w:sz w:val="16"/>
                <w:szCs w:val="16"/>
                <w:lang w:val="en-US"/>
              </w:rPr>
            </w:pPr>
            <w:r w:rsidRPr="000A39B0">
              <w:rPr>
                <w:sz w:val="16"/>
                <w:szCs w:val="16"/>
                <w:lang w:val="en-US"/>
              </w:rPr>
              <w:lastRenderedPageBreak/>
              <w:t>% change since 1 July 2010</w:t>
            </w:r>
          </w:p>
        </w:tc>
        <w:tc>
          <w:tcPr>
            <w:tcW w:w="1537" w:type="dxa"/>
            <w:shd w:val="clear" w:color="auto" w:fill="F2F2F2" w:themeFill="background1" w:themeFillShade="F2"/>
          </w:tcPr>
          <w:p w:rsidR="00E23CE6" w:rsidRPr="000A39B0" w:rsidRDefault="00E23CE6" w:rsidP="00EE7618">
            <w:pPr>
              <w:spacing w:before="120" w:after="120"/>
              <w:jc w:val="center"/>
              <w:rPr>
                <w:sz w:val="16"/>
                <w:szCs w:val="16"/>
                <w:lang w:val="en-US"/>
              </w:rPr>
            </w:pPr>
            <w:r w:rsidRPr="000A39B0">
              <w:rPr>
                <w:sz w:val="16"/>
                <w:szCs w:val="16"/>
                <w:lang w:val="en-US"/>
              </w:rPr>
              <w:t>8.2%</w:t>
            </w:r>
          </w:p>
        </w:tc>
        <w:tc>
          <w:tcPr>
            <w:tcW w:w="1540" w:type="dxa"/>
            <w:shd w:val="clear" w:color="auto" w:fill="F2F2F2" w:themeFill="background1" w:themeFillShade="F2"/>
          </w:tcPr>
          <w:p w:rsidR="00E23CE6" w:rsidRPr="000A39B0" w:rsidRDefault="00E23CE6" w:rsidP="00EE7618">
            <w:pPr>
              <w:spacing w:before="120" w:after="120"/>
              <w:jc w:val="center"/>
              <w:rPr>
                <w:sz w:val="16"/>
                <w:szCs w:val="16"/>
                <w:lang w:val="en-US"/>
              </w:rPr>
            </w:pPr>
            <w:r w:rsidRPr="000A39B0">
              <w:rPr>
                <w:sz w:val="16"/>
                <w:szCs w:val="16"/>
                <w:lang w:val="en-US"/>
              </w:rPr>
              <w:t>16.6%</w:t>
            </w:r>
          </w:p>
        </w:tc>
        <w:tc>
          <w:tcPr>
            <w:tcW w:w="1545" w:type="dxa"/>
            <w:shd w:val="clear" w:color="auto" w:fill="F2F2F2" w:themeFill="background1" w:themeFillShade="F2"/>
          </w:tcPr>
          <w:p w:rsidR="00E23CE6" w:rsidRPr="000A39B0" w:rsidRDefault="00E23CE6" w:rsidP="00EE7618">
            <w:pPr>
              <w:spacing w:before="120" w:after="120"/>
              <w:jc w:val="center"/>
              <w:rPr>
                <w:sz w:val="16"/>
                <w:szCs w:val="16"/>
                <w:lang w:val="en-US"/>
              </w:rPr>
            </w:pPr>
            <w:r w:rsidRPr="000A39B0">
              <w:rPr>
                <w:sz w:val="16"/>
                <w:szCs w:val="16"/>
                <w:lang w:val="en-US"/>
              </w:rPr>
              <w:t>17.6%</w:t>
            </w:r>
          </w:p>
        </w:tc>
        <w:tc>
          <w:tcPr>
            <w:tcW w:w="1539" w:type="dxa"/>
            <w:shd w:val="clear" w:color="auto" w:fill="F2F2F2" w:themeFill="background1" w:themeFillShade="F2"/>
          </w:tcPr>
          <w:p w:rsidR="00E23CE6" w:rsidRPr="000A39B0" w:rsidRDefault="00E23CE6" w:rsidP="00EE7618">
            <w:pPr>
              <w:spacing w:before="120" w:after="120"/>
              <w:jc w:val="center"/>
              <w:rPr>
                <w:sz w:val="16"/>
                <w:szCs w:val="16"/>
                <w:lang w:val="en-US"/>
              </w:rPr>
            </w:pPr>
            <w:r w:rsidRPr="000A39B0">
              <w:rPr>
                <w:sz w:val="16"/>
                <w:szCs w:val="16"/>
                <w:lang w:val="en-US"/>
              </w:rPr>
              <w:t>17.8%</w:t>
            </w:r>
          </w:p>
        </w:tc>
        <w:tc>
          <w:tcPr>
            <w:tcW w:w="1577" w:type="dxa"/>
            <w:shd w:val="clear" w:color="auto" w:fill="F2F2F2" w:themeFill="background1" w:themeFillShade="F2"/>
          </w:tcPr>
          <w:p w:rsidR="00E23CE6" w:rsidRPr="000A39B0" w:rsidRDefault="00E23CE6" w:rsidP="00EE7618">
            <w:pPr>
              <w:spacing w:before="120" w:after="120"/>
              <w:jc w:val="center"/>
              <w:rPr>
                <w:sz w:val="16"/>
                <w:szCs w:val="16"/>
                <w:lang w:val="en-US"/>
              </w:rPr>
            </w:pPr>
            <w:r w:rsidRPr="000A39B0">
              <w:rPr>
                <w:sz w:val="16"/>
                <w:szCs w:val="16"/>
                <w:lang w:val="en-US"/>
              </w:rPr>
              <w:t>27.1%</w:t>
            </w:r>
          </w:p>
        </w:tc>
      </w:tr>
    </w:tbl>
    <w:p w:rsidR="00E23CE6" w:rsidRPr="00C84D8D" w:rsidRDefault="00E23CE6" w:rsidP="00E23CE6">
      <w:pPr>
        <w:jc w:val="both"/>
        <w:rPr>
          <w:b/>
          <w:lang w:val="en-US"/>
        </w:rPr>
      </w:pPr>
    </w:p>
    <w:p w:rsidR="00E23CE6" w:rsidRPr="00C84D8D" w:rsidRDefault="00E23CE6" w:rsidP="00F324DE">
      <w:pPr>
        <w:pStyle w:val="textbasic"/>
      </w:pPr>
      <w:r w:rsidRPr="00C84D8D">
        <w:t xml:space="preserve">Again a picture that emerges is that </w:t>
      </w:r>
      <w:r w:rsidR="00D26B03">
        <w:t xml:space="preserve">in Tasmania </w:t>
      </w:r>
      <w:r w:rsidRPr="00C84D8D">
        <w:t xml:space="preserve">salaries for MPs have increased at a lesser rate </w:t>
      </w:r>
      <w:r>
        <w:t>than</w:t>
      </w:r>
      <w:r w:rsidRPr="00C84D8D">
        <w:t xml:space="preserve"> the </w:t>
      </w:r>
      <w:r w:rsidR="00930A71">
        <w:t>Public</w:t>
      </w:r>
      <w:r w:rsidRPr="00C84D8D">
        <w:t xml:space="preserve"> Service and ha</w:t>
      </w:r>
      <w:r w:rsidR="00930A71">
        <w:t>ve</w:t>
      </w:r>
      <w:r w:rsidRPr="00C84D8D">
        <w:t xml:space="preserve"> been less than half the rate of increase </w:t>
      </w:r>
      <w:r w:rsidR="00930A71">
        <w:t xml:space="preserve">in Public Service wages </w:t>
      </w:r>
      <w:r w:rsidRPr="00C84D8D">
        <w:t>over the past five years.</w:t>
      </w:r>
    </w:p>
    <w:p w:rsidR="00AF63E4" w:rsidRPr="00EE7618" w:rsidRDefault="00AF63E4" w:rsidP="00F324DE">
      <w:pPr>
        <w:pStyle w:val="textbasic"/>
      </w:pPr>
      <w:r w:rsidRPr="00EE7618">
        <w:t xml:space="preserve">The </w:t>
      </w:r>
      <w:r w:rsidR="001839BE" w:rsidRPr="00EE7618">
        <w:t xml:space="preserve">submission from the </w:t>
      </w:r>
      <w:r w:rsidR="001839BE" w:rsidRPr="00EE7618">
        <w:rPr>
          <w:b/>
        </w:rPr>
        <w:t>SSMO</w:t>
      </w:r>
      <w:r w:rsidR="001839BE" w:rsidRPr="00EE7618">
        <w:t xml:space="preserve"> </w:t>
      </w:r>
      <w:r w:rsidRPr="00EE7618">
        <w:t>present</w:t>
      </w:r>
      <w:r w:rsidR="000415F0">
        <w:t>s</w:t>
      </w:r>
      <w:r w:rsidRPr="00EE7618">
        <w:t xml:space="preserve"> a similar table with a commencing date of 1</w:t>
      </w:r>
      <w:r w:rsidR="009B2842" w:rsidRPr="00EE7618">
        <w:t> </w:t>
      </w:r>
      <w:r w:rsidRPr="00EE7618">
        <w:t xml:space="preserve">March 2011 rather than </w:t>
      </w:r>
      <w:r w:rsidR="001839BE" w:rsidRPr="00EE7618">
        <w:t>the dates used in Table 5</w:t>
      </w:r>
      <w:r w:rsidRPr="00EE7618">
        <w:t xml:space="preserve">. </w:t>
      </w:r>
      <w:r w:rsidR="001839BE" w:rsidRPr="00EE7618">
        <w:t xml:space="preserve"> </w:t>
      </w:r>
      <w:r w:rsidRPr="00EE7618">
        <w:t xml:space="preserve">The table </w:t>
      </w:r>
      <w:r w:rsidR="001839BE" w:rsidRPr="00EE7618">
        <w:t xml:space="preserve">from this submission </w:t>
      </w:r>
      <w:r w:rsidRPr="00EE7618">
        <w:t>is reproduced below</w:t>
      </w:r>
      <w:r w:rsidR="001839BE" w:rsidRPr="00EE7618">
        <w:t xml:space="preserve"> </w:t>
      </w:r>
      <w:r w:rsidR="00E14D34">
        <w:t>(</w:t>
      </w:r>
      <w:r w:rsidR="001839BE" w:rsidRPr="00EE7618">
        <w:t>Table</w:t>
      </w:r>
      <w:r w:rsidR="00D26B03">
        <w:t> </w:t>
      </w:r>
      <w:r w:rsidR="001839BE" w:rsidRPr="00EE7618">
        <w:t>5A</w:t>
      </w:r>
      <w:r w:rsidR="00E14D34">
        <w:t>)</w:t>
      </w:r>
      <w:r w:rsidRPr="00EE7618">
        <w:t xml:space="preserve">. The </w:t>
      </w:r>
      <w:r w:rsidR="00EE7618" w:rsidRPr="00EE7618">
        <w:rPr>
          <w:b/>
        </w:rPr>
        <w:t>SSMO</w:t>
      </w:r>
      <w:r w:rsidR="00EE7618">
        <w:t xml:space="preserve"> </w:t>
      </w:r>
      <w:r w:rsidRPr="00EE7618">
        <w:t>submission states that</w:t>
      </w:r>
      <w:r w:rsidR="00D22E21">
        <w:t>:</w:t>
      </w:r>
      <w:r w:rsidRPr="00EE7618">
        <w:t xml:space="preserve"> </w:t>
      </w:r>
    </w:p>
    <w:p w:rsidR="00AF63E4" w:rsidRPr="00EE7618" w:rsidRDefault="00AF63E4" w:rsidP="00F700FC">
      <w:pPr>
        <w:pStyle w:val="quoteitalics1"/>
      </w:pPr>
      <w:r w:rsidRPr="00EE7618">
        <w:t>“</w:t>
      </w:r>
      <w:r w:rsidR="00930A71" w:rsidRPr="00EE7618">
        <w:tab/>
      </w:r>
      <w:r w:rsidRPr="00EE7618">
        <w:t>This was the time of the finali</w:t>
      </w:r>
      <w:r w:rsidR="00D61820">
        <w:t>s</w:t>
      </w:r>
      <w:r w:rsidRPr="00EE7618">
        <w:t xml:space="preserve">ation of significant adjustment to those salaries and structures, and since the last adjustment to Parliamentary salaries in July 2010. Since this time, successive governments have generally </w:t>
      </w:r>
      <w:r w:rsidR="00E06A1F">
        <w:t xml:space="preserve">had </w:t>
      </w:r>
      <w:r w:rsidRPr="00EE7618">
        <w:t xml:space="preserve">a policy of limiting headline wage growth in the State </w:t>
      </w:r>
      <w:r w:rsidR="00E06A1F" w:rsidRPr="00EE7618">
        <w:t xml:space="preserve">Service </w:t>
      </w:r>
      <w:r w:rsidRPr="00EE7618">
        <w:t xml:space="preserve">to about two </w:t>
      </w:r>
      <w:r w:rsidR="00E14D34">
        <w:t>(</w:t>
      </w:r>
      <w:r w:rsidRPr="00EE7618">
        <w:t>2</w:t>
      </w:r>
      <w:r w:rsidR="00E14D34">
        <w:t>)</w:t>
      </w:r>
      <w:r w:rsidRPr="00EE7618">
        <w:t xml:space="preserve"> percent per annum.” </w:t>
      </w:r>
    </w:p>
    <w:p w:rsidR="00AF63E4" w:rsidRPr="00EE7618" w:rsidRDefault="00AF63E4" w:rsidP="00F324DE">
      <w:pPr>
        <w:pStyle w:val="textbasic"/>
      </w:pPr>
      <w:r w:rsidRPr="00EE7618">
        <w:t xml:space="preserve">We acknowledge that the choice of the base datum point will impact on the measure of change over time, particularly when atypical salary adjustments are either excluded or included, as the case may be. That is why it is usually safer to select a relatively longer time frame </w:t>
      </w:r>
      <w:r w:rsidR="00E14D34">
        <w:t>(</w:t>
      </w:r>
      <w:r w:rsidRPr="00EE7618">
        <w:t>say 10 years</w:t>
      </w:r>
      <w:r w:rsidR="00E14D34">
        <w:t>)</w:t>
      </w:r>
      <w:r w:rsidRPr="00EE7618">
        <w:t xml:space="preserve"> to gain a meaningful picture. However, even on the </w:t>
      </w:r>
      <w:r w:rsidR="001839BE" w:rsidRPr="00EE7618">
        <w:t>SSMO’s</w:t>
      </w:r>
      <w:r w:rsidRPr="00EE7618">
        <w:t xml:space="preserve"> time frame, salary adjustments for MPs have not kept pace with the State Service. This disparity is even more apparent when incremental adjustments within bands are taken into account. According to the </w:t>
      </w:r>
      <w:r w:rsidR="001839BE" w:rsidRPr="00EE7618">
        <w:t>SSMO</w:t>
      </w:r>
      <w:r w:rsidRPr="00EE7618">
        <w:t xml:space="preserve"> submission, the actual increase under the Tasmanian State Service Award </w:t>
      </w:r>
      <w:r w:rsidR="000415F0">
        <w:t>(</w:t>
      </w:r>
      <w:r w:rsidRPr="00EE7618">
        <w:t>TSSA</w:t>
      </w:r>
      <w:r w:rsidR="000415F0">
        <w:t>)</w:t>
      </w:r>
      <w:r w:rsidRPr="00EE7618">
        <w:t xml:space="preserve"> in this time frame ranged from 10.4% to 24.7%, compared with a headline Award increase of 10% and an actual increase in the </w:t>
      </w:r>
      <w:r w:rsidR="00325226">
        <w:t>basic salary</w:t>
      </w:r>
      <w:r w:rsidRPr="00EE7618">
        <w:t xml:space="preserve"> of 8.3%.</w:t>
      </w:r>
      <w:r w:rsidR="00325226">
        <w:t xml:space="preserve"> </w:t>
      </w:r>
      <w:r w:rsidRPr="00EE7618">
        <w:t xml:space="preserve"> Incremental adjustments are not available to MPs.</w:t>
      </w:r>
    </w:p>
    <w:p w:rsidR="00F35B0C" w:rsidRPr="00F35B0C" w:rsidRDefault="00F35B0C" w:rsidP="00F35B0C">
      <w:pPr>
        <w:rPr>
          <w:rFonts w:eastAsia="Times New Roman"/>
          <w:b/>
          <w:szCs w:val="20"/>
        </w:rPr>
      </w:pPr>
      <w:r w:rsidRPr="00F35B0C">
        <w:rPr>
          <w:rFonts w:eastAsia="Times New Roman"/>
          <w:b/>
          <w:szCs w:val="20"/>
        </w:rPr>
        <w:t>Table 5A</w:t>
      </w:r>
      <w:r>
        <w:rPr>
          <w:rFonts w:eastAsia="Times New Roman"/>
          <w:b/>
          <w:szCs w:val="20"/>
        </w:rPr>
        <w:t xml:space="preserve"> - </w:t>
      </w:r>
      <w:r w:rsidRPr="00F35B0C">
        <w:rPr>
          <w:rFonts w:eastAsia="Times New Roman"/>
          <w:b/>
          <w:szCs w:val="20"/>
        </w:rPr>
        <w:t xml:space="preserve">State Service </w:t>
      </w:r>
      <w:r>
        <w:rPr>
          <w:rFonts w:eastAsia="Times New Roman"/>
          <w:b/>
          <w:szCs w:val="20"/>
        </w:rPr>
        <w:t>a</w:t>
      </w:r>
      <w:r w:rsidRPr="00F35B0C">
        <w:rPr>
          <w:rFonts w:eastAsia="Times New Roman"/>
          <w:b/>
          <w:szCs w:val="20"/>
        </w:rPr>
        <w:t>nd Parliamentary Comparisons</w:t>
      </w:r>
      <w:r w:rsidR="005779EB" w:rsidRPr="005779EB">
        <w:rPr>
          <w:rStyle w:val="FootnoteReference"/>
          <w:rFonts w:eastAsia="Times New Roman"/>
          <w:sz w:val="16"/>
          <w:szCs w:val="16"/>
        </w:rPr>
        <w:footnoteReference w:id="30"/>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559"/>
        <w:gridCol w:w="1560"/>
        <w:gridCol w:w="1417"/>
        <w:gridCol w:w="1701"/>
      </w:tblGrid>
      <w:tr w:rsidR="00F35B0C" w:rsidRPr="00327CCC" w:rsidTr="00327CCC">
        <w:trPr>
          <w:cantSplit/>
          <w:tblHeader/>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5B0C" w:rsidRPr="00327CCC" w:rsidRDefault="00F35B0C" w:rsidP="00EE7618">
            <w:pPr>
              <w:spacing w:before="120" w:after="120"/>
              <w:jc w:val="center"/>
              <w:rPr>
                <w:rFonts w:eastAsia="Times New Roman"/>
                <w:b/>
                <w:sz w:val="16"/>
                <w:szCs w:val="16"/>
              </w:rPr>
            </w:pPr>
            <w:r w:rsidRPr="00327CCC">
              <w:rPr>
                <w:rFonts w:eastAsia="Times New Roman"/>
                <w:b/>
                <w:sz w:val="16"/>
                <w:szCs w:val="16"/>
              </w:rPr>
              <w:t>Date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5B0C" w:rsidRPr="00327CCC" w:rsidRDefault="00F35B0C" w:rsidP="00EE7618">
            <w:pPr>
              <w:spacing w:before="120" w:after="120"/>
              <w:jc w:val="center"/>
              <w:rPr>
                <w:rFonts w:eastAsia="Times New Roman"/>
                <w:b/>
                <w:sz w:val="16"/>
                <w:szCs w:val="16"/>
              </w:rPr>
            </w:pPr>
            <w:r w:rsidRPr="00327CCC">
              <w:rPr>
                <w:rFonts w:eastAsia="Times New Roman"/>
                <w:b/>
                <w:sz w:val="16"/>
                <w:szCs w:val="16"/>
              </w:rPr>
              <w:t>Basic Salary MPs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5B0C" w:rsidRPr="00327CCC" w:rsidRDefault="00F35B0C" w:rsidP="00EE7618">
            <w:pPr>
              <w:spacing w:before="120" w:after="120"/>
              <w:jc w:val="center"/>
              <w:rPr>
                <w:rFonts w:eastAsia="Times New Roman"/>
                <w:b/>
                <w:sz w:val="16"/>
                <w:szCs w:val="16"/>
              </w:rPr>
            </w:pPr>
            <w:r w:rsidRPr="00327CCC">
              <w:rPr>
                <w:rFonts w:eastAsia="Times New Roman"/>
                <w:b/>
                <w:sz w:val="16"/>
                <w:szCs w:val="16"/>
              </w:rPr>
              <w:t xml:space="preserve">TSSA </w:t>
            </w:r>
            <w:r w:rsidRPr="00327CCC">
              <w:rPr>
                <w:rFonts w:eastAsia="Times New Roman"/>
                <w:b/>
                <w:sz w:val="16"/>
                <w:szCs w:val="16"/>
              </w:rPr>
              <w:br w:type="textWrapping" w:clear="all"/>
              <w:t>Band 8 Rl-1</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5B0C" w:rsidRPr="00327CCC" w:rsidRDefault="00F35B0C" w:rsidP="00EE7618">
            <w:pPr>
              <w:spacing w:before="120" w:after="120"/>
              <w:jc w:val="center"/>
              <w:rPr>
                <w:rFonts w:eastAsia="Times New Roman"/>
                <w:b/>
                <w:sz w:val="16"/>
                <w:szCs w:val="16"/>
              </w:rPr>
            </w:pPr>
            <w:r w:rsidRPr="00327CCC">
              <w:rPr>
                <w:rFonts w:eastAsia="Times New Roman"/>
                <w:b/>
                <w:sz w:val="16"/>
                <w:szCs w:val="16"/>
              </w:rPr>
              <w:t xml:space="preserve">Registered Nurse </w:t>
            </w:r>
            <w:r w:rsidRPr="00327CCC">
              <w:rPr>
                <w:rFonts w:eastAsia="Times New Roman"/>
                <w:b/>
                <w:sz w:val="16"/>
                <w:szCs w:val="16"/>
              </w:rPr>
              <w:br w:type="textWrapping" w:clear="all"/>
              <w:t>Gr 3 max</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5B0C" w:rsidRPr="00327CCC" w:rsidRDefault="00F35B0C" w:rsidP="00EE7618">
            <w:pPr>
              <w:spacing w:before="120" w:after="120"/>
              <w:jc w:val="center"/>
              <w:rPr>
                <w:rFonts w:eastAsia="Times New Roman"/>
                <w:b/>
                <w:sz w:val="16"/>
                <w:szCs w:val="16"/>
              </w:rPr>
            </w:pPr>
            <w:r w:rsidRPr="00327CCC">
              <w:rPr>
                <w:rFonts w:eastAsia="Times New Roman"/>
                <w:b/>
                <w:sz w:val="16"/>
                <w:szCs w:val="16"/>
              </w:rPr>
              <w:t xml:space="preserve">Teacher </w:t>
            </w:r>
            <w:r w:rsidRPr="00327CCC">
              <w:rPr>
                <w:rFonts w:eastAsia="Times New Roman"/>
                <w:b/>
                <w:sz w:val="16"/>
                <w:szCs w:val="16"/>
              </w:rPr>
              <w:br w:type="textWrapping" w:clear="all"/>
              <w:t>Grade 1 Level 12</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5B0C" w:rsidRPr="00327CCC" w:rsidRDefault="00F35B0C" w:rsidP="00EE7618">
            <w:pPr>
              <w:spacing w:before="120" w:after="120"/>
              <w:jc w:val="center"/>
              <w:rPr>
                <w:rFonts w:eastAsia="Times New Roman"/>
                <w:b/>
                <w:sz w:val="16"/>
                <w:szCs w:val="16"/>
              </w:rPr>
            </w:pPr>
            <w:r w:rsidRPr="00327CCC">
              <w:rPr>
                <w:rFonts w:eastAsia="Times New Roman"/>
                <w:b/>
                <w:sz w:val="16"/>
                <w:szCs w:val="16"/>
              </w:rPr>
              <w:t>Police Commander Level1</w:t>
            </w:r>
            <w:r w:rsidR="00EE7618" w:rsidRPr="00327CCC">
              <w:rPr>
                <w:rFonts w:eastAsia="Times New Roman"/>
                <w:b/>
                <w:sz w:val="16"/>
                <w:szCs w:val="16"/>
              </w:rPr>
              <w:t xml:space="preserve"> </w:t>
            </w:r>
            <w:r w:rsidRPr="00327CCC">
              <w:rPr>
                <w:rFonts w:eastAsia="Times New Roman"/>
                <w:b/>
                <w:sz w:val="16"/>
                <w:szCs w:val="16"/>
              </w:rPr>
              <w:t>(Award)</w:t>
            </w:r>
          </w:p>
        </w:tc>
      </w:tr>
      <w:tr w:rsidR="00F35B0C" w:rsidRPr="00F35B0C" w:rsidTr="000B79A2">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35B0C" w:rsidRPr="00F35B0C" w:rsidRDefault="00F35B0C" w:rsidP="00EE7618">
            <w:pPr>
              <w:spacing w:before="120" w:after="120"/>
              <w:rPr>
                <w:rFonts w:eastAsia="Times New Roman"/>
                <w:sz w:val="16"/>
                <w:szCs w:val="16"/>
              </w:rPr>
            </w:pPr>
            <w:r w:rsidRPr="00F35B0C">
              <w:rPr>
                <w:rFonts w:eastAsia="Times New Roman"/>
                <w:sz w:val="16"/>
                <w:szCs w:val="16"/>
              </w:rPr>
              <w:t>1 March 2011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35B0C" w:rsidRPr="00F35B0C" w:rsidRDefault="00F35B0C" w:rsidP="00283355">
            <w:pPr>
              <w:spacing w:before="120" w:after="120"/>
              <w:jc w:val="center"/>
              <w:rPr>
                <w:rFonts w:eastAsia="Times New Roman"/>
                <w:sz w:val="16"/>
                <w:szCs w:val="16"/>
                <w:vertAlign w:val="superscript"/>
              </w:rPr>
            </w:pPr>
            <w:r w:rsidRPr="00F35B0C">
              <w:rPr>
                <w:rFonts w:eastAsia="Times New Roman"/>
                <w:sz w:val="16"/>
                <w:szCs w:val="16"/>
              </w:rPr>
              <w:t>111 633</w:t>
            </w:r>
            <w:r w:rsidR="00283355">
              <w:rPr>
                <w:rStyle w:val="FootnoteReference"/>
                <w:rFonts w:eastAsia="Times New Roman"/>
                <w:sz w:val="16"/>
                <w:szCs w:val="16"/>
              </w:rPr>
              <w:footnoteReference w:id="31"/>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35B0C" w:rsidRPr="00F35B0C" w:rsidRDefault="00F35B0C" w:rsidP="00EE7618">
            <w:pPr>
              <w:spacing w:before="120" w:after="120"/>
              <w:jc w:val="center"/>
              <w:rPr>
                <w:rFonts w:eastAsia="Times New Roman"/>
                <w:sz w:val="16"/>
                <w:szCs w:val="16"/>
              </w:rPr>
            </w:pPr>
            <w:r w:rsidRPr="00F35B0C">
              <w:rPr>
                <w:rFonts w:eastAsia="Times New Roman"/>
                <w:sz w:val="16"/>
                <w:szCs w:val="16"/>
              </w:rPr>
              <w:t>98 977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35B0C" w:rsidRPr="00F35B0C" w:rsidRDefault="00F35B0C" w:rsidP="00EE7618">
            <w:pPr>
              <w:spacing w:before="120" w:after="120"/>
              <w:jc w:val="center"/>
              <w:rPr>
                <w:rFonts w:eastAsia="Times New Roman"/>
                <w:sz w:val="16"/>
                <w:szCs w:val="16"/>
              </w:rPr>
            </w:pPr>
            <w:r w:rsidRPr="00F35B0C">
              <w:rPr>
                <w:rFonts w:eastAsia="Times New Roman"/>
                <w:sz w:val="16"/>
                <w:szCs w:val="16"/>
              </w:rPr>
              <w:t>67 111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35B0C" w:rsidRPr="00F35B0C" w:rsidRDefault="00F35B0C" w:rsidP="00EE7618">
            <w:pPr>
              <w:spacing w:before="120" w:after="120"/>
              <w:jc w:val="center"/>
              <w:rPr>
                <w:rFonts w:eastAsia="Times New Roman"/>
                <w:sz w:val="16"/>
                <w:szCs w:val="16"/>
              </w:rPr>
            </w:pPr>
            <w:r w:rsidRPr="00F35B0C">
              <w:rPr>
                <w:rFonts w:eastAsia="Times New Roman"/>
                <w:sz w:val="16"/>
                <w:szCs w:val="16"/>
              </w:rPr>
              <w:t>82 533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35B0C" w:rsidRPr="00F35B0C" w:rsidRDefault="00F35B0C" w:rsidP="00EE7618">
            <w:pPr>
              <w:spacing w:before="120" w:after="120"/>
              <w:jc w:val="center"/>
              <w:rPr>
                <w:rFonts w:eastAsia="Times New Roman"/>
                <w:sz w:val="16"/>
                <w:szCs w:val="16"/>
              </w:rPr>
            </w:pPr>
            <w:r w:rsidRPr="00F35B0C">
              <w:rPr>
                <w:rFonts w:eastAsia="Times New Roman"/>
                <w:sz w:val="16"/>
                <w:szCs w:val="16"/>
              </w:rPr>
              <w:t>130 082</w:t>
            </w:r>
          </w:p>
        </w:tc>
      </w:tr>
      <w:tr w:rsidR="00F35B0C" w:rsidRPr="00F35B0C" w:rsidTr="000B79A2">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35B0C" w:rsidRPr="00F35B0C" w:rsidRDefault="00F35B0C" w:rsidP="00EE7618">
            <w:pPr>
              <w:spacing w:before="120" w:after="120"/>
              <w:rPr>
                <w:rFonts w:eastAsia="Times New Roman"/>
                <w:sz w:val="16"/>
                <w:szCs w:val="16"/>
              </w:rPr>
            </w:pPr>
            <w:r w:rsidRPr="00F35B0C">
              <w:rPr>
                <w:rFonts w:eastAsia="Times New Roman"/>
                <w:sz w:val="16"/>
                <w:szCs w:val="16"/>
              </w:rPr>
              <w:t>1 July 2015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35B0C" w:rsidRPr="00F35B0C" w:rsidRDefault="00F35B0C" w:rsidP="00EE7618">
            <w:pPr>
              <w:spacing w:before="120" w:after="120"/>
              <w:jc w:val="center"/>
              <w:rPr>
                <w:rFonts w:eastAsia="Times New Roman"/>
                <w:sz w:val="16"/>
                <w:szCs w:val="16"/>
              </w:rPr>
            </w:pPr>
            <w:r w:rsidRPr="00F35B0C">
              <w:rPr>
                <w:rFonts w:eastAsia="Times New Roman"/>
                <w:sz w:val="16"/>
                <w:szCs w:val="16"/>
              </w:rPr>
              <w:t>120 835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35B0C" w:rsidRPr="00F35B0C" w:rsidRDefault="00F35B0C" w:rsidP="00EE7618">
            <w:pPr>
              <w:spacing w:before="120" w:after="120"/>
              <w:jc w:val="center"/>
              <w:rPr>
                <w:rFonts w:eastAsia="Times New Roman"/>
                <w:sz w:val="16"/>
                <w:szCs w:val="16"/>
              </w:rPr>
            </w:pPr>
            <w:r w:rsidRPr="00F35B0C">
              <w:rPr>
                <w:rFonts w:eastAsia="Times New Roman"/>
                <w:sz w:val="16"/>
                <w:szCs w:val="16"/>
              </w:rPr>
              <w:t>109 279</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35B0C" w:rsidRPr="00F35B0C" w:rsidRDefault="00F35B0C" w:rsidP="00EE7618">
            <w:pPr>
              <w:spacing w:before="120" w:after="120"/>
              <w:jc w:val="center"/>
              <w:rPr>
                <w:rFonts w:eastAsia="Times New Roman"/>
                <w:sz w:val="16"/>
                <w:szCs w:val="16"/>
              </w:rPr>
            </w:pPr>
            <w:r w:rsidRPr="00F35B0C">
              <w:rPr>
                <w:rFonts w:eastAsia="Times New Roman"/>
                <w:sz w:val="16"/>
                <w:szCs w:val="16"/>
              </w:rPr>
              <w:t>74 754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35B0C" w:rsidRPr="00F35B0C" w:rsidRDefault="00F35B0C" w:rsidP="00EE7618">
            <w:pPr>
              <w:spacing w:before="120" w:after="120"/>
              <w:jc w:val="center"/>
              <w:rPr>
                <w:rFonts w:eastAsia="Times New Roman"/>
                <w:sz w:val="16"/>
                <w:szCs w:val="16"/>
              </w:rPr>
            </w:pPr>
            <w:r w:rsidRPr="00F35B0C">
              <w:rPr>
                <w:rFonts w:eastAsia="Times New Roman"/>
                <w:sz w:val="16"/>
                <w:szCs w:val="16"/>
              </w:rPr>
              <w:t>90 682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35B0C" w:rsidRPr="00F35B0C" w:rsidRDefault="00F35B0C" w:rsidP="00EE7618">
            <w:pPr>
              <w:spacing w:before="120" w:after="120"/>
              <w:jc w:val="center"/>
              <w:rPr>
                <w:rFonts w:eastAsia="Times New Roman"/>
                <w:sz w:val="16"/>
                <w:szCs w:val="16"/>
              </w:rPr>
            </w:pPr>
            <w:r w:rsidRPr="00F35B0C">
              <w:rPr>
                <w:rFonts w:eastAsia="Times New Roman"/>
                <w:sz w:val="16"/>
                <w:szCs w:val="16"/>
              </w:rPr>
              <w:t>143 024</w:t>
            </w:r>
          </w:p>
        </w:tc>
      </w:tr>
      <w:tr w:rsidR="00F35B0C" w:rsidRPr="00F35B0C" w:rsidTr="000B79A2">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35B0C" w:rsidRPr="00F35B0C" w:rsidRDefault="00F35B0C" w:rsidP="00EE7618">
            <w:pPr>
              <w:spacing w:before="120" w:after="120"/>
              <w:rPr>
                <w:rFonts w:eastAsia="Times New Roman"/>
                <w:sz w:val="16"/>
                <w:szCs w:val="16"/>
              </w:rPr>
            </w:pPr>
            <w:r w:rsidRPr="00F35B0C">
              <w:rPr>
                <w:rFonts w:eastAsia="Times New Roman"/>
                <w:sz w:val="16"/>
                <w:szCs w:val="16"/>
              </w:rPr>
              <w:t>1 Dec 2015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35B0C" w:rsidRPr="00F35B0C" w:rsidRDefault="00F35B0C" w:rsidP="00EE7618">
            <w:pPr>
              <w:spacing w:before="120" w:after="120"/>
              <w:jc w:val="center"/>
              <w:rPr>
                <w:rFonts w:eastAsia="Times New Roman"/>
                <w:sz w:val="16"/>
                <w:szCs w:val="16"/>
              </w:rPr>
            </w:pPr>
            <w:r w:rsidRPr="00F35B0C">
              <w:rPr>
                <w:rFonts w:eastAsia="Times New Roman"/>
                <w:sz w:val="16"/>
                <w:szCs w:val="16"/>
              </w:rPr>
              <w:t>120 835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35B0C" w:rsidRPr="00F35B0C" w:rsidRDefault="00F35B0C" w:rsidP="00EE7618">
            <w:pPr>
              <w:spacing w:before="120" w:after="120"/>
              <w:jc w:val="center"/>
              <w:rPr>
                <w:rFonts w:eastAsia="Times New Roman"/>
                <w:sz w:val="16"/>
                <w:szCs w:val="16"/>
              </w:rPr>
            </w:pPr>
            <w:r w:rsidRPr="00F35B0C">
              <w:rPr>
                <w:rFonts w:eastAsia="Times New Roman"/>
                <w:sz w:val="16"/>
                <w:szCs w:val="16"/>
              </w:rPr>
              <w:t>111 465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35B0C" w:rsidRPr="00F35B0C" w:rsidRDefault="00F35B0C" w:rsidP="00EE7618">
            <w:pPr>
              <w:spacing w:before="120" w:after="120"/>
              <w:jc w:val="center"/>
              <w:rPr>
                <w:rFonts w:eastAsia="Times New Roman"/>
                <w:sz w:val="16"/>
                <w:szCs w:val="16"/>
              </w:rPr>
            </w:pPr>
            <w:r w:rsidRPr="00F35B0C">
              <w:rPr>
                <w:rFonts w:eastAsia="Times New Roman"/>
                <w:sz w:val="16"/>
                <w:szCs w:val="16"/>
              </w:rPr>
              <w:t>76 249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35B0C" w:rsidRPr="00F35B0C" w:rsidRDefault="00F35B0C" w:rsidP="00283355">
            <w:pPr>
              <w:spacing w:before="120" w:after="120"/>
              <w:jc w:val="center"/>
              <w:rPr>
                <w:rFonts w:eastAsia="Times New Roman"/>
                <w:sz w:val="16"/>
                <w:szCs w:val="16"/>
                <w:vertAlign w:val="superscript"/>
              </w:rPr>
            </w:pPr>
            <w:r w:rsidRPr="00F35B0C">
              <w:rPr>
                <w:rFonts w:eastAsia="Times New Roman"/>
                <w:sz w:val="16"/>
                <w:szCs w:val="16"/>
              </w:rPr>
              <w:t>90 682</w:t>
            </w:r>
            <w:r w:rsidR="00283355">
              <w:rPr>
                <w:rStyle w:val="FootnoteReference"/>
                <w:rFonts w:eastAsia="Times New Roman"/>
                <w:sz w:val="16"/>
                <w:szCs w:val="16"/>
              </w:rPr>
              <w:footnoteReference w:id="32"/>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35B0C" w:rsidRPr="00F35B0C" w:rsidRDefault="00F35B0C" w:rsidP="00EE7618">
            <w:pPr>
              <w:spacing w:before="120" w:after="120"/>
              <w:jc w:val="center"/>
              <w:rPr>
                <w:rFonts w:eastAsia="Times New Roman"/>
                <w:sz w:val="16"/>
                <w:szCs w:val="16"/>
              </w:rPr>
            </w:pPr>
            <w:r w:rsidRPr="00F35B0C">
              <w:rPr>
                <w:rFonts w:eastAsia="Times New Roman"/>
                <w:sz w:val="16"/>
                <w:szCs w:val="16"/>
              </w:rPr>
              <w:t>143 024</w:t>
            </w:r>
          </w:p>
        </w:tc>
      </w:tr>
      <w:tr w:rsidR="00F35B0C" w:rsidRPr="00F35B0C" w:rsidTr="00327CC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5B0C" w:rsidRPr="00F35B0C" w:rsidRDefault="00F35B0C" w:rsidP="00EE7618">
            <w:pPr>
              <w:spacing w:before="120" w:after="120"/>
              <w:rPr>
                <w:rFonts w:eastAsia="Times New Roman"/>
                <w:sz w:val="16"/>
                <w:szCs w:val="16"/>
              </w:rPr>
            </w:pPr>
            <w:r w:rsidRPr="00F35B0C">
              <w:rPr>
                <w:rFonts w:eastAsia="Times New Roman"/>
                <w:sz w:val="16"/>
                <w:szCs w:val="16"/>
              </w:rPr>
              <w:t xml:space="preserve">% Change 2011 </w:t>
            </w:r>
            <w:r w:rsidR="00EE7618">
              <w:rPr>
                <w:rFonts w:eastAsia="Times New Roman"/>
                <w:sz w:val="16"/>
                <w:szCs w:val="16"/>
              </w:rPr>
              <w:t xml:space="preserve">to </w:t>
            </w:r>
            <w:r w:rsidRPr="00F35B0C">
              <w:rPr>
                <w:rFonts w:eastAsia="Times New Roman"/>
                <w:sz w:val="16"/>
                <w:szCs w:val="16"/>
              </w:rPr>
              <w:t>2015</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5B0C" w:rsidRPr="00F35B0C" w:rsidRDefault="00F35B0C" w:rsidP="00EE7618">
            <w:pPr>
              <w:spacing w:before="120" w:after="120"/>
              <w:jc w:val="center"/>
              <w:rPr>
                <w:rFonts w:eastAsia="Times New Roman"/>
                <w:sz w:val="16"/>
                <w:szCs w:val="16"/>
              </w:rPr>
            </w:pPr>
            <w:r w:rsidRPr="00F35B0C">
              <w:rPr>
                <w:rFonts w:eastAsia="Times New Roman"/>
                <w:sz w:val="16"/>
                <w:szCs w:val="16"/>
              </w:rPr>
              <w:t>8.3%</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5B0C" w:rsidRPr="00F35B0C" w:rsidRDefault="00F35B0C" w:rsidP="00EE7618">
            <w:pPr>
              <w:spacing w:before="120" w:after="120"/>
              <w:jc w:val="center"/>
              <w:rPr>
                <w:rFonts w:eastAsia="Times New Roman"/>
                <w:sz w:val="16"/>
                <w:szCs w:val="16"/>
              </w:rPr>
            </w:pPr>
            <w:r w:rsidRPr="00F35B0C">
              <w:rPr>
                <w:rFonts w:eastAsia="Times New Roman"/>
                <w:sz w:val="16"/>
                <w:szCs w:val="16"/>
              </w:rPr>
              <w:t>12.7%</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5B0C" w:rsidRPr="00F35B0C" w:rsidRDefault="00F35B0C" w:rsidP="00EE7618">
            <w:pPr>
              <w:spacing w:before="120" w:after="120"/>
              <w:jc w:val="center"/>
              <w:rPr>
                <w:rFonts w:eastAsia="Times New Roman"/>
                <w:sz w:val="16"/>
                <w:szCs w:val="16"/>
              </w:rPr>
            </w:pPr>
            <w:r w:rsidRPr="00F35B0C">
              <w:rPr>
                <w:rFonts w:eastAsia="Times New Roman"/>
                <w:sz w:val="16"/>
                <w:szCs w:val="16"/>
              </w:rPr>
              <w:t>13.6%</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5B0C" w:rsidRPr="00F35B0C" w:rsidRDefault="00F35B0C" w:rsidP="00EE7618">
            <w:pPr>
              <w:spacing w:before="120" w:after="120"/>
              <w:jc w:val="center"/>
              <w:rPr>
                <w:rFonts w:eastAsia="Times New Roman"/>
                <w:sz w:val="16"/>
                <w:szCs w:val="16"/>
              </w:rPr>
            </w:pPr>
            <w:r w:rsidRPr="00F35B0C">
              <w:rPr>
                <w:rFonts w:eastAsia="Times New Roman"/>
                <w:sz w:val="16"/>
                <w:szCs w:val="16"/>
              </w:rPr>
              <w:t>9.9%</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5B0C" w:rsidRPr="00F35B0C" w:rsidRDefault="00F35B0C" w:rsidP="00EE7618">
            <w:pPr>
              <w:spacing w:before="120" w:after="120"/>
              <w:jc w:val="center"/>
              <w:rPr>
                <w:rFonts w:eastAsia="Times New Roman"/>
                <w:sz w:val="16"/>
                <w:szCs w:val="16"/>
              </w:rPr>
            </w:pPr>
            <w:r w:rsidRPr="00F35B0C">
              <w:rPr>
                <w:rFonts w:eastAsia="Times New Roman"/>
                <w:sz w:val="16"/>
                <w:szCs w:val="16"/>
              </w:rPr>
              <w:t>9.9%</w:t>
            </w:r>
          </w:p>
        </w:tc>
      </w:tr>
    </w:tbl>
    <w:p w:rsidR="00283355" w:rsidRPr="00283355" w:rsidRDefault="00283355" w:rsidP="00AF63E4">
      <w:pPr>
        <w:jc w:val="both"/>
        <w:rPr>
          <w:lang w:val="en-US"/>
        </w:rPr>
      </w:pPr>
    </w:p>
    <w:p w:rsidR="00702D39" w:rsidRDefault="00702D39">
      <w:pPr>
        <w:spacing w:after="0"/>
        <w:rPr>
          <w:sz w:val="18"/>
          <w:szCs w:val="18"/>
          <w:lang w:val="en-US"/>
        </w:rPr>
      </w:pPr>
      <w:r>
        <w:br w:type="page"/>
      </w:r>
    </w:p>
    <w:p w:rsidR="00954614" w:rsidRPr="00283355" w:rsidRDefault="00954614" w:rsidP="00F324DE">
      <w:pPr>
        <w:pStyle w:val="textbasic"/>
      </w:pPr>
      <w:r w:rsidRPr="00283355">
        <w:lastRenderedPageBreak/>
        <w:t xml:space="preserve">The </w:t>
      </w:r>
      <w:r w:rsidRPr="00283355">
        <w:rPr>
          <w:b/>
        </w:rPr>
        <w:t xml:space="preserve">SSMO </w:t>
      </w:r>
      <w:r w:rsidRPr="00283355">
        <w:t>submission also provide</w:t>
      </w:r>
      <w:r w:rsidR="000415F0">
        <w:t>s</w:t>
      </w:r>
      <w:r w:rsidRPr="00283355">
        <w:t xml:space="preserve"> three a</w:t>
      </w:r>
      <w:r w:rsidR="00E06A1F">
        <w:t>dditional tables of information:</w:t>
      </w:r>
    </w:p>
    <w:p w:rsidR="00954614" w:rsidRPr="00725574" w:rsidRDefault="00725574" w:rsidP="0033523C">
      <w:pPr>
        <w:pStyle w:val="texti"/>
      </w:pPr>
      <w:r w:rsidRPr="00725574">
        <w:t>(i)</w:t>
      </w:r>
      <w:r w:rsidRPr="00725574">
        <w:tab/>
      </w:r>
      <w:r w:rsidR="00954614" w:rsidRPr="00725574">
        <w:t xml:space="preserve">Salary movement </w:t>
      </w:r>
      <w:r w:rsidR="00F35B0C" w:rsidRPr="00725574">
        <w:t xml:space="preserve">since 2011 </w:t>
      </w:r>
      <w:r w:rsidR="00954614" w:rsidRPr="00725574">
        <w:t>in the State Service – General Stream</w:t>
      </w:r>
    </w:p>
    <w:p w:rsidR="00954614" w:rsidRPr="00725574" w:rsidRDefault="00725574" w:rsidP="0033523C">
      <w:pPr>
        <w:pStyle w:val="texti"/>
      </w:pPr>
      <w:r w:rsidRPr="00725574">
        <w:t>(ii)</w:t>
      </w:r>
      <w:r w:rsidRPr="00725574">
        <w:tab/>
      </w:r>
      <w:r w:rsidR="00954614" w:rsidRPr="00725574">
        <w:t>Increases to selected ban</w:t>
      </w:r>
      <w:r w:rsidR="00D22E21">
        <w:t>d</w:t>
      </w:r>
      <w:r w:rsidR="00954614" w:rsidRPr="00725574">
        <w:t>s in the General Stream (since March 2011) including industrial Agreements and salary progression</w:t>
      </w:r>
    </w:p>
    <w:p w:rsidR="00954614" w:rsidRPr="00725574" w:rsidRDefault="00725574" w:rsidP="0033523C">
      <w:pPr>
        <w:pStyle w:val="texti"/>
      </w:pPr>
      <w:r w:rsidRPr="00725574">
        <w:t>(iii)</w:t>
      </w:r>
      <w:r w:rsidRPr="00725574">
        <w:tab/>
      </w:r>
      <w:r w:rsidR="00954614" w:rsidRPr="00725574">
        <w:t xml:space="preserve">Salary movement since March 2011 in </w:t>
      </w:r>
      <w:r w:rsidR="00E06A1F">
        <w:t xml:space="preserve">the </w:t>
      </w:r>
      <w:r w:rsidR="00954614" w:rsidRPr="00725574">
        <w:t>base</w:t>
      </w:r>
      <w:r w:rsidR="00E16CB6">
        <w:t xml:space="preserve"> </w:t>
      </w:r>
      <w:r w:rsidR="00954614" w:rsidRPr="00725574">
        <w:t>salaries for the State Service Senior Executive Service</w:t>
      </w:r>
    </w:p>
    <w:p w:rsidR="00954614" w:rsidRPr="00283355" w:rsidRDefault="00954614" w:rsidP="00F324DE">
      <w:pPr>
        <w:pStyle w:val="textbasic"/>
      </w:pPr>
      <w:r w:rsidRPr="00283355">
        <w:t>These tables are reproduced here as Tables 5B, C and D.</w:t>
      </w:r>
    </w:p>
    <w:p w:rsidR="00F35B0C" w:rsidRPr="00F35B0C" w:rsidRDefault="00F35B0C" w:rsidP="00725574">
      <w:pPr>
        <w:pStyle w:val="TableTitlemain"/>
      </w:pPr>
      <w:r w:rsidRPr="00F35B0C">
        <w:t>Table 5B</w:t>
      </w:r>
      <w:r w:rsidR="00725574">
        <w:tab/>
      </w:r>
      <w:r w:rsidRPr="00F35B0C">
        <w:t>Salary Movement in the</w:t>
      </w:r>
      <w:r>
        <w:t xml:space="preserve"> State Service – General Stream</w:t>
      </w:r>
      <w:r w:rsidR="005779EB" w:rsidRPr="005779EB">
        <w:rPr>
          <w:rStyle w:val="FootnoteReference"/>
          <w:b w:val="0"/>
          <w:sz w:val="16"/>
          <w:szCs w:val="16"/>
        </w:rPr>
        <w:footnoteReference w:id="33"/>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260"/>
        <w:gridCol w:w="3945"/>
      </w:tblGrid>
      <w:tr w:rsidR="00F35B0C" w:rsidRPr="00327CCC" w:rsidTr="00327CCC">
        <w:trPr>
          <w:trHeight w:val="624"/>
        </w:trPr>
        <w:tc>
          <w:tcPr>
            <w:tcW w:w="2929" w:type="dxa"/>
            <w:tcBorders>
              <w:left w:val="single" w:sz="4" w:space="0" w:color="auto"/>
              <w:bottom w:val="single" w:sz="4" w:space="0" w:color="auto"/>
              <w:right w:val="single" w:sz="4" w:space="0" w:color="auto"/>
            </w:tcBorders>
            <w:shd w:val="clear" w:color="auto" w:fill="D9D9D9" w:themeFill="background1" w:themeFillShade="D9"/>
            <w:vAlign w:val="center"/>
          </w:tcPr>
          <w:p w:rsidR="00F35B0C" w:rsidRPr="00327CCC" w:rsidRDefault="00F35B0C" w:rsidP="00283355">
            <w:pPr>
              <w:spacing w:before="120" w:after="120"/>
              <w:rPr>
                <w:rFonts w:eastAsia="Times New Roman"/>
                <w:b/>
                <w:sz w:val="16"/>
                <w:szCs w:val="16"/>
              </w:rPr>
            </w:pPr>
            <w:r w:rsidRPr="00327CCC">
              <w:rPr>
                <w:rFonts w:eastAsia="Times New Roman"/>
                <w:b/>
                <w:sz w:val="16"/>
                <w:szCs w:val="16"/>
              </w:rPr>
              <w:t>Agreement</w:t>
            </w:r>
          </w:p>
        </w:tc>
        <w:tc>
          <w:tcPr>
            <w:tcW w:w="2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5B0C" w:rsidRPr="00327CCC" w:rsidRDefault="00F35B0C" w:rsidP="00283355">
            <w:pPr>
              <w:spacing w:before="120" w:after="120"/>
              <w:jc w:val="center"/>
              <w:rPr>
                <w:rFonts w:eastAsia="Times New Roman"/>
                <w:b/>
                <w:sz w:val="16"/>
                <w:szCs w:val="16"/>
              </w:rPr>
            </w:pPr>
            <w:r w:rsidRPr="00327CCC">
              <w:rPr>
                <w:rFonts w:eastAsia="Times New Roman"/>
                <w:b/>
                <w:sz w:val="16"/>
                <w:szCs w:val="16"/>
              </w:rPr>
              <w:t>Date</w:t>
            </w:r>
          </w:p>
        </w:tc>
        <w:tc>
          <w:tcPr>
            <w:tcW w:w="3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5B0C" w:rsidRPr="00327CCC" w:rsidRDefault="00F35B0C" w:rsidP="00283355">
            <w:pPr>
              <w:spacing w:before="120" w:after="120"/>
              <w:jc w:val="center"/>
              <w:rPr>
                <w:rFonts w:eastAsia="Times New Roman"/>
                <w:b/>
                <w:sz w:val="16"/>
                <w:szCs w:val="16"/>
              </w:rPr>
            </w:pPr>
            <w:r w:rsidRPr="00327CCC">
              <w:rPr>
                <w:rFonts w:eastAsia="Times New Roman"/>
                <w:b/>
                <w:sz w:val="16"/>
                <w:szCs w:val="16"/>
              </w:rPr>
              <w:t>Increase</w:t>
            </w:r>
          </w:p>
        </w:tc>
      </w:tr>
      <w:tr w:rsidR="00F35B0C" w:rsidRPr="00F35B0C" w:rsidTr="000B79A2">
        <w:trPr>
          <w:trHeight w:val="624"/>
        </w:trPr>
        <w:tc>
          <w:tcPr>
            <w:tcW w:w="29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B0C" w:rsidRPr="00F35B0C" w:rsidRDefault="00F35B0C" w:rsidP="00283355">
            <w:pPr>
              <w:spacing w:before="120" w:after="120"/>
              <w:rPr>
                <w:rFonts w:eastAsia="Times New Roman"/>
                <w:sz w:val="16"/>
                <w:szCs w:val="16"/>
              </w:rPr>
            </w:pPr>
            <w:r w:rsidRPr="00F35B0C">
              <w:rPr>
                <w:rFonts w:eastAsia="Times New Roman"/>
                <w:sz w:val="16"/>
                <w:szCs w:val="16"/>
              </w:rPr>
              <w:t>PSUWA 2011</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B0C" w:rsidRPr="00F35B0C" w:rsidRDefault="00F35B0C" w:rsidP="00283355">
            <w:pPr>
              <w:spacing w:before="120" w:after="120"/>
              <w:jc w:val="center"/>
              <w:rPr>
                <w:rFonts w:eastAsia="Times New Roman"/>
                <w:sz w:val="16"/>
                <w:szCs w:val="16"/>
              </w:rPr>
            </w:pPr>
            <w:r w:rsidRPr="00F35B0C">
              <w:rPr>
                <w:rFonts w:eastAsia="Times New Roman"/>
                <w:sz w:val="16"/>
                <w:szCs w:val="16"/>
              </w:rPr>
              <w:t>1 December 2011</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B0C" w:rsidRPr="00F35B0C" w:rsidRDefault="00F35B0C" w:rsidP="00283355">
            <w:pPr>
              <w:spacing w:before="120" w:after="120"/>
              <w:jc w:val="center"/>
              <w:rPr>
                <w:rFonts w:eastAsia="Times New Roman"/>
                <w:sz w:val="16"/>
                <w:szCs w:val="16"/>
              </w:rPr>
            </w:pPr>
            <w:r w:rsidRPr="00F35B0C">
              <w:rPr>
                <w:rFonts w:eastAsia="Times New Roman"/>
                <w:sz w:val="16"/>
                <w:szCs w:val="16"/>
              </w:rPr>
              <w:t>Greater of 2.0% or $1 000 per annum</w:t>
            </w:r>
          </w:p>
        </w:tc>
      </w:tr>
      <w:tr w:rsidR="00F35B0C" w:rsidRPr="00F35B0C" w:rsidTr="000B79A2">
        <w:trPr>
          <w:trHeight w:val="624"/>
        </w:trPr>
        <w:tc>
          <w:tcPr>
            <w:tcW w:w="0" w:type="auto"/>
            <w:vMerge/>
            <w:tcBorders>
              <w:top w:val="single" w:sz="48" w:space="0" w:color="948A54"/>
              <w:left w:val="single" w:sz="4" w:space="0" w:color="auto"/>
              <w:bottom w:val="single" w:sz="4" w:space="0" w:color="auto"/>
              <w:right w:val="single" w:sz="4" w:space="0" w:color="auto"/>
            </w:tcBorders>
            <w:shd w:val="clear" w:color="auto" w:fill="auto"/>
            <w:vAlign w:val="center"/>
            <w:hideMark/>
          </w:tcPr>
          <w:p w:rsidR="00F35B0C" w:rsidRPr="00F35B0C" w:rsidRDefault="00F35B0C" w:rsidP="00283355">
            <w:pPr>
              <w:spacing w:before="120" w:after="120"/>
              <w:rPr>
                <w:rFonts w:eastAsia="Times New Roman"/>
                <w:sz w:val="16"/>
                <w:szCs w:val="16"/>
              </w:rPr>
            </w:pP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B0C" w:rsidRPr="00F35B0C" w:rsidRDefault="00F35B0C" w:rsidP="00283355">
            <w:pPr>
              <w:spacing w:before="120" w:after="120"/>
              <w:jc w:val="center"/>
              <w:rPr>
                <w:rFonts w:eastAsia="Times New Roman"/>
                <w:sz w:val="16"/>
                <w:szCs w:val="16"/>
              </w:rPr>
            </w:pPr>
            <w:r w:rsidRPr="00F35B0C">
              <w:rPr>
                <w:rFonts w:eastAsia="Times New Roman"/>
                <w:sz w:val="16"/>
                <w:szCs w:val="16"/>
              </w:rPr>
              <w:t>1 December 2012</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B0C" w:rsidRPr="00F35B0C" w:rsidRDefault="00F35B0C" w:rsidP="00283355">
            <w:pPr>
              <w:spacing w:before="120" w:after="120"/>
              <w:jc w:val="center"/>
              <w:rPr>
                <w:rFonts w:eastAsia="Times New Roman"/>
                <w:sz w:val="16"/>
                <w:szCs w:val="16"/>
              </w:rPr>
            </w:pPr>
            <w:r w:rsidRPr="00F35B0C">
              <w:rPr>
                <w:rFonts w:eastAsia="Times New Roman"/>
                <w:sz w:val="16"/>
                <w:szCs w:val="16"/>
              </w:rPr>
              <w:t>Greater of 2.0% or $1 000 per annum</w:t>
            </w:r>
          </w:p>
        </w:tc>
      </w:tr>
      <w:tr w:rsidR="00F35B0C" w:rsidRPr="00F35B0C" w:rsidTr="000B79A2">
        <w:trPr>
          <w:trHeight w:val="624"/>
        </w:trPr>
        <w:tc>
          <w:tcPr>
            <w:tcW w:w="29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B0C" w:rsidRPr="00F35B0C" w:rsidRDefault="00F35B0C" w:rsidP="00283355">
            <w:pPr>
              <w:spacing w:before="120" w:after="120"/>
              <w:rPr>
                <w:rFonts w:eastAsia="Times New Roman"/>
                <w:sz w:val="16"/>
                <w:szCs w:val="16"/>
              </w:rPr>
            </w:pPr>
            <w:r w:rsidRPr="00F35B0C">
              <w:rPr>
                <w:rFonts w:eastAsia="Times New Roman"/>
                <w:sz w:val="16"/>
                <w:szCs w:val="16"/>
              </w:rPr>
              <w:t>PSUWA 2013</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B0C" w:rsidRPr="00F35B0C" w:rsidRDefault="00F35B0C" w:rsidP="00283355">
            <w:pPr>
              <w:spacing w:before="120" w:after="120"/>
              <w:jc w:val="center"/>
              <w:rPr>
                <w:rFonts w:eastAsia="Times New Roman"/>
                <w:sz w:val="16"/>
                <w:szCs w:val="16"/>
              </w:rPr>
            </w:pPr>
            <w:r w:rsidRPr="00F35B0C">
              <w:rPr>
                <w:rFonts w:eastAsia="Times New Roman"/>
                <w:sz w:val="16"/>
                <w:szCs w:val="16"/>
              </w:rPr>
              <w:t>1 December 2013</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B0C" w:rsidRPr="00F35B0C" w:rsidRDefault="00F35B0C" w:rsidP="00283355">
            <w:pPr>
              <w:spacing w:before="120" w:after="120"/>
              <w:jc w:val="center"/>
              <w:rPr>
                <w:rFonts w:eastAsia="Times New Roman"/>
                <w:sz w:val="16"/>
                <w:szCs w:val="16"/>
              </w:rPr>
            </w:pPr>
            <w:r w:rsidRPr="00F35B0C">
              <w:rPr>
                <w:rFonts w:eastAsia="Times New Roman"/>
                <w:sz w:val="16"/>
                <w:szCs w:val="16"/>
              </w:rPr>
              <w:t>2.0%</w:t>
            </w:r>
          </w:p>
        </w:tc>
      </w:tr>
      <w:tr w:rsidR="00F35B0C" w:rsidRPr="00F35B0C" w:rsidTr="000B79A2">
        <w:trPr>
          <w:trHeight w:val="62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5B0C" w:rsidRPr="00F35B0C" w:rsidRDefault="00F35B0C" w:rsidP="00283355">
            <w:pPr>
              <w:spacing w:before="120" w:after="120"/>
              <w:rPr>
                <w:rFonts w:eastAsia="Times New Roman"/>
                <w:sz w:val="16"/>
                <w:szCs w:val="16"/>
              </w:rPr>
            </w:pP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B0C" w:rsidRPr="00F35B0C" w:rsidRDefault="00F35B0C" w:rsidP="00283355">
            <w:pPr>
              <w:spacing w:before="120" w:after="120"/>
              <w:jc w:val="center"/>
              <w:rPr>
                <w:rFonts w:eastAsia="Times New Roman"/>
                <w:sz w:val="16"/>
                <w:szCs w:val="16"/>
              </w:rPr>
            </w:pPr>
            <w:r w:rsidRPr="00F35B0C">
              <w:rPr>
                <w:rFonts w:eastAsia="Times New Roman"/>
                <w:sz w:val="16"/>
                <w:szCs w:val="16"/>
              </w:rPr>
              <w:t>1 December 2014</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B0C" w:rsidRPr="00F35B0C" w:rsidRDefault="00F35B0C" w:rsidP="00283355">
            <w:pPr>
              <w:spacing w:before="120" w:after="120"/>
              <w:jc w:val="center"/>
              <w:rPr>
                <w:rFonts w:eastAsia="Times New Roman"/>
                <w:sz w:val="16"/>
                <w:szCs w:val="16"/>
              </w:rPr>
            </w:pPr>
            <w:r w:rsidRPr="00F35B0C">
              <w:rPr>
                <w:rFonts w:eastAsia="Times New Roman"/>
                <w:sz w:val="16"/>
                <w:szCs w:val="16"/>
              </w:rPr>
              <w:t>2.0% plus additional 0.5% at maximum</w:t>
            </w:r>
          </w:p>
        </w:tc>
      </w:tr>
      <w:tr w:rsidR="00F35B0C" w:rsidRPr="00F35B0C" w:rsidTr="000B79A2">
        <w:trPr>
          <w:trHeight w:val="62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5B0C" w:rsidRPr="00F35B0C" w:rsidRDefault="00F35B0C" w:rsidP="00283355">
            <w:pPr>
              <w:spacing w:before="120" w:after="120"/>
              <w:rPr>
                <w:rFonts w:eastAsia="Times New Roman"/>
                <w:sz w:val="16"/>
                <w:szCs w:val="16"/>
              </w:rPr>
            </w:pP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B0C" w:rsidRPr="00F35B0C" w:rsidRDefault="00F35B0C" w:rsidP="00283355">
            <w:pPr>
              <w:spacing w:before="120" w:after="120"/>
              <w:jc w:val="center"/>
              <w:rPr>
                <w:rFonts w:eastAsia="Times New Roman"/>
                <w:sz w:val="16"/>
                <w:szCs w:val="16"/>
              </w:rPr>
            </w:pPr>
            <w:r w:rsidRPr="00F35B0C">
              <w:rPr>
                <w:rFonts w:eastAsia="Times New Roman"/>
                <w:sz w:val="16"/>
                <w:szCs w:val="16"/>
              </w:rPr>
              <w:t>1 December 2015</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B0C" w:rsidRPr="00F35B0C" w:rsidRDefault="00F35B0C" w:rsidP="00283355">
            <w:pPr>
              <w:spacing w:before="120" w:after="120"/>
              <w:jc w:val="center"/>
              <w:rPr>
                <w:rFonts w:eastAsia="Times New Roman"/>
                <w:sz w:val="16"/>
                <w:szCs w:val="16"/>
              </w:rPr>
            </w:pPr>
            <w:r w:rsidRPr="00F35B0C">
              <w:rPr>
                <w:rFonts w:eastAsia="Times New Roman"/>
                <w:sz w:val="16"/>
                <w:szCs w:val="16"/>
              </w:rPr>
              <w:t>2.0% plus additional 1.0% at maximum</w:t>
            </w:r>
          </w:p>
        </w:tc>
      </w:tr>
      <w:tr w:rsidR="00F35B0C" w:rsidRPr="00F35B0C" w:rsidTr="000B79A2">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283355">
            <w:pPr>
              <w:spacing w:before="120" w:after="120"/>
              <w:rPr>
                <w:rFonts w:eastAsia="Times New Roman"/>
                <w:sz w:val="16"/>
                <w:szCs w:val="16"/>
              </w:rPr>
            </w:pPr>
            <w:r w:rsidRPr="00F35B0C">
              <w:rPr>
                <w:rFonts w:eastAsia="Times New Roman"/>
                <w:sz w:val="16"/>
                <w:szCs w:val="16"/>
              </w:rPr>
              <w:t xml:space="preserve">% Base salary increases </w:t>
            </w:r>
            <w:r w:rsidRPr="00F35B0C">
              <w:rPr>
                <w:rFonts w:eastAsia="Times New Roman"/>
                <w:sz w:val="16"/>
                <w:szCs w:val="16"/>
              </w:rPr>
              <w:br/>
              <w:t>from 1 March 2011 to</w:t>
            </w:r>
            <w:r w:rsidRPr="00F35B0C">
              <w:rPr>
                <w:rFonts w:eastAsia="Times New Roman"/>
                <w:sz w:val="16"/>
                <w:szCs w:val="16"/>
              </w:rPr>
              <w:br/>
              <w:t>1 December 2015</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283355">
            <w:pPr>
              <w:spacing w:before="120" w:after="120"/>
              <w:jc w:val="center"/>
              <w:rPr>
                <w:rFonts w:eastAsia="Times New Roman"/>
                <w:sz w:val="16"/>
                <w:szCs w:val="16"/>
              </w:rPr>
            </w:pP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283355">
            <w:pPr>
              <w:spacing w:before="120" w:after="120"/>
              <w:jc w:val="center"/>
              <w:rPr>
                <w:rFonts w:eastAsia="Times New Roman"/>
                <w:sz w:val="16"/>
                <w:szCs w:val="16"/>
              </w:rPr>
            </w:pPr>
            <w:r w:rsidRPr="00F35B0C">
              <w:rPr>
                <w:rFonts w:eastAsia="Times New Roman"/>
                <w:sz w:val="16"/>
                <w:szCs w:val="16"/>
              </w:rPr>
              <w:t>Minimum 10%</w:t>
            </w:r>
          </w:p>
        </w:tc>
      </w:tr>
    </w:tbl>
    <w:p w:rsidR="00F35B0C" w:rsidRDefault="00F35B0C" w:rsidP="00F35B0C">
      <w:pPr>
        <w:spacing w:after="0"/>
        <w:rPr>
          <w:rFonts w:eastAsia="Times New Roman"/>
          <w:szCs w:val="20"/>
        </w:rPr>
      </w:pPr>
    </w:p>
    <w:p w:rsidR="00F35B0C" w:rsidRPr="00F35B0C" w:rsidRDefault="00F35B0C" w:rsidP="00725574">
      <w:pPr>
        <w:pStyle w:val="TableTitlemain"/>
      </w:pPr>
      <w:r w:rsidRPr="00F35B0C">
        <w:t>Table 5C</w:t>
      </w:r>
      <w:r w:rsidR="00725574">
        <w:tab/>
      </w:r>
      <w:r w:rsidRPr="00F35B0C">
        <w:t xml:space="preserve">Increases Including Industrial Agreements </w:t>
      </w:r>
      <w:r w:rsidR="00283355">
        <w:t>a</w:t>
      </w:r>
      <w:r w:rsidRPr="00F35B0C">
        <w:t>nd Salary Progression</w:t>
      </w:r>
      <w:r w:rsidR="00283355">
        <w:t xml:space="preserve"> for </w:t>
      </w:r>
      <w:r w:rsidR="00E06A1F">
        <w:t xml:space="preserve">Selected </w:t>
      </w:r>
      <w:r w:rsidR="00283355">
        <w:t>Bands of the TSSA</w:t>
      </w:r>
      <w:r w:rsidR="005779EB" w:rsidRPr="005779EB">
        <w:rPr>
          <w:rStyle w:val="FootnoteReference"/>
          <w:b w:val="0"/>
          <w:sz w:val="16"/>
          <w:szCs w:val="16"/>
        </w:rPr>
        <w:footnoteReference w:id="34"/>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926"/>
        <w:gridCol w:w="1843"/>
        <w:gridCol w:w="1759"/>
      </w:tblGrid>
      <w:tr w:rsidR="00F35B0C" w:rsidRPr="00327CCC" w:rsidTr="00327CCC">
        <w:trPr>
          <w:cantSplit/>
          <w:trHeight w:val="454"/>
          <w:tblHeader/>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5B0C" w:rsidRPr="00327CCC" w:rsidRDefault="00F35B0C" w:rsidP="00283355">
            <w:pPr>
              <w:spacing w:before="120" w:after="120"/>
              <w:rPr>
                <w:rFonts w:eastAsia="Times New Roman"/>
                <w:b/>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5B0C" w:rsidRPr="00327CCC" w:rsidRDefault="00F35B0C" w:rsidP="00283355">
            <w:pPr>
              <w:spacing w:before="120" w:after="120"/>
              <w:jc w:val="center"/>
              <w:rPr>
                <w:rFonts w:eastAsia="Times New Roman"/>
                <w:b/>
                <w:sz w:val="16"/>
                <w:szCs w:val="16"/>
              </w:rPr>
            </w:pPr>
            <w:r w:rsidRPr="00327CCC">
              <w:rPr>
                <w:rFonts w:eastAsia="Times New Roman"/>
                <w:b/>
                <w:sz w:val="16"/>
                <w:szCs w:val="16"/>
              </w:rPr>
              <w:t xml:space="preserve">March </w:t>
            </w:r>
            <w:r w:rsidR="00283355" w:rsidRPr="00327CCC">
              <w:rPr>
                <w:rFonts w:eastAsia="Times New Roman"/>
                <w:b/>
                <w:sz w:val="16"/>
                <w:szCs w:val="16"/>
              </w:rPr>
              <w:br/>
            </w:r>
            <w:r w:rsidRPr="00327CCC">
              <w:rPr>
                <w:rFonts w:eastAsia="Times New Roman"/>
                <w:b/>
                <w:sz w:val="16"/>
                <w:szCs w:val="16"/>
              </w:rPr>
              <w:t>2011</w:t>
            </w:r>
            <w:r w:rsidR="00283355" w:rsidRPr="00327CCC">
              <w:rPr>
                <w:rFonts w:eastAsia="Times New Roman"/>
                <w:b/>
                <w:sz w:val="16"/>
                <w:szCs w:val="16"/>
              </w:rPr>
              <w:br/>
            </w:r>
            <w:r w:rsidRPr="00327CCC">
              <w:rPr>
                <w:rFonts w:eastAsia="Times New Roman"/>
                <w:b/>
                <w:sz w:val="16"/>
                <w:szCs w:val="16"/>
              </w:rPr>
              <w:t>$</w:t>
            </w:r>
            <w:r w:rsidR="00283355" w:rsidRPr="00327CCC">
              <w:rPr>
                <w:rFonts w:eastAsia="Times New Roman"/>
                <w:b/>
                <w:sz w:val="16"/>
                <w:szCs w:val="16"/>
              </w:rPr>
              <w:t xml:space="preserve"> pa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5B0C" w:rsidRPr="00327CCC" w:rsidRDefault="00F35B0C" w:rsidP="00283355">
            <w:pPr>
              <w:spacing w:before="120" w:after="120"/>
              <w:jc w:val="center"/>
              <w:rPr>
                <w:rFonts w:eastAsia="Times New Roman"/>
                <w:b/>
                <w:sz w:val="16"/>
                <w:szCs w:val="16"/>
              </w:rPr>
            </w:pPr>
            <w:r w:rsidRPr="00327CCC">
              <w:rPr>
                <w:rFonts w:eastAsia="Times New Roman"/>
                <w:b/>
                <w:sz w:val="16"/>
                <w:szCs w:val="16"/>
              </w:rPr>
              <w:t>December</w:t>
            </w:r>
            <w:r w:rsidR="00283355" w:rsidRPr="00327CCC">
              <w:rPr>
                <w:rFonts w:eastAsia="Times New Roman"/>
                <w:b/>
                <w:sz w:val="16"/>
                <w:szCs w:val="16"/>
              </w:rPr>
              <w:br/>
            </w:r>
            <w:r w:rsidRPr="00327CCC">
              <w:rPr>
                <w:rFonts w:eastAsia="Times New Roman"/>
                <w:b/>
                <w:sz w:val="16"/>
                <w:szCs w:val="16"/>
              </w:rPr>
              <w:t>2015</w:t>
            </w:r>
            <w:r w:rsidR="00283355" w:rsidRPr="00327CCC">
              <w:rPr>
                <w:rFonts w:eastAsia="Times New Roman"/>
                <w:b/>
                <w:sz w:val="16"/>
                <w:szCs w:val="16"/>
              </w:rPr>
              <w:br/>
            </w:r>
            <w:r w:rsidRPr="00327CCC">
              <w:rPr>
                <w:rFonts w:eastAsia="Times New Roman"/>
                <w:b/>
                <w:sz w:val="16"/>
                <w:szCs w:val="16"/>
              </w:rPr>
              <w:t>$</w:t>
            </w:r>
            <w:r w:rsidR="00283355" w:rsidRPr="00327CCC">
              <w:rPr>
                <w:rFonts w:eastAsia="Times New Roman"/>
                <w:b/>
                <w:sz w:val="16"/>
                <w:szCs w:val="16"/>
              </w:rPr>
              <w:t xml:space="preserve"> pa</w:t>
            </w:r>
          </w:p>
        </w:tc>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5B0C" w:rsidRPr="00327CCC" w:rsidRDefault="00F35B0C" w:rsidP="00283355">
            <w:pPr>
              <w:spacing w:before="120" w:after="120"/>
              <w:jc w:val="center"/>
              <w:rPr>
                <w:rFonts w:eastAsia="Times New Roman"/>
                <w:b/>
                <w:sz w:val="16"/>
                <w:szCs w:val="16"/>
              </w:rPr>
            </w:pPr>
            <w:r w:rsidRPr="00327CCC">
              <w:rPr>
                <w:rFonts w:eastAsia="Times New Roman"/>
                <w:b/>
                <w:sz w:val="16"/>
                <w:szCs w:val="16"/>
              </w:rPr>
              <w:t>Increase</w:t>
            </w:r>
          </w:p>
        </w:tc>
      </w:tr>
      <w:tr w:rsidR="00F35B0C" w:rsidRPr="00F35B0C" w:rsidTr="006E4257">
        <w:trPr>
          <w:trHeight w:val="340"/>
        </w:trPr>
        <w:tc>
          <w:tcPr>
            <w:tcW w:w="83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35B0C" w:rsidRPr="00F35B0C" w:rsidRDefault="00F35B0C" w:rsidP="00975ECD">
            <w:pPr>
              <w:spacing w:before="60" w:after="60"/>
              <w:rPr>
                <w:rFonts w:eastAsia="Times New Roman"/>
                <w:sz w:val="16"/>
                <w:szCs w:val="16"/>
              </w:rPr>
            </w:pPr>
            <w:r w:rsidRPr="00F35B0C">
              <w:rPr>
                <w:rFonts w:eastAsia="Times New Roman"/>
                <w:sz w:val="16"/>
                <w:szCs w:val="16"/>
              </w:rPr>
              <w:t>Band 3</w:t>
            </w:r>
          </w:p>
        </w:tc>
      </w:tr>
      <w:tr w:rsidR="00F35B0C" w:rsidRPr="00F35B0C" w:rsidTr="006E4257">
        <w:trPr>
          <w:trHeight w:val="34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rPr>
                <w:rFonts w:eastAsia="Times New Roman"/>
                <w:sz w:val="16"/>
                <w:szCs w:val="16"/>
              </w:rPr>
            </w:pPr>
            <w:r w:rsidRPr="00F35B0C">
              <w:rPr>
                <w:rFonts w:eastAsia="Times New Roman"/>
                <w:sz w:val="16"/>
                <w:szCs w:val="16"/>
              </w:rPr>
              <w:t>B3-R1-1 to B3-R1-5</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jc w:val="center"/>
              <w:rPr>
                <w:rFonts w:eastAsia="Times New Roman"/>
                <w:sz w:val="16"/>
                <w:szCs w:val="16"/>
              </w:rPr>
            </w:pPr>
            <w:r w:rsidRPr="00F35B0C">
              <w:rPr>
                <w:rFonts w:eastAsia="Times New Roman"/>
                <w:sz w:val="16"/>
                <w:szCs w:val="16"/>
              </w:rPr>
              <w:t>51 832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jc w:val="center"/>
              <w:rPr>
                <w:rFonts w:eastAsia="Times New Roman"/>
                <w:sz w:val="16"/>
                <w:szCs w:val="16"/>
              </w:rPr>
            </w:pPr>
            <w:r w:rsidRPr="00F35B0C">
              <w:rPr>
                <w:rFonts w:eastAsia="Times New Roman"/>
                <w:sz w:val="16"/>
                <w:szCs w:val="16"/>
              </w:rPr>
              <w:t>62 289</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jc w:val="center"/>
              <w:rPr>
                <w:rFonts w:eastAsia="Times New Roman"/>
                <w:sz w:val="16"/>
                <w:szCs w:val="16"/>
              </w:rPr>
            </w:pPr>
            <w:r w:rsidRPr="00F35B0C">
              <w:rPr>
                <w:rFonts w:eastAsia="Times New Roman"/>
                <w:sz w:val="16"/>
                <w:szCs w:val="16"/>
              </w:rPr>
              <w:t>20.2%</w:t>
            </w:r>
          </w:p>
        </w:tc>
      </w:tr>
      <w:tr w:rsidR="00F35B0C" w:rsidRPr="00F35B0C" w:rsidTr="006E4257">
        <w:trPr>
          <w:trHeight w:val="34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rPr>
                <w:rFonts w:eastAsia="Times New Roman"/>
                <w:sz w:val="16"/>
                <w:szCs w:val="16"/>
              </w:rPr>
            </w:pPr>
            <w:r w:rsidRPr="00F35B0C">
              <w:rPr>
                <w:rFonts w:eastAsia="Times New Roman"/>
                <w:sz w:val="16"/>
                <w:szCs w:val="16"/>
              </w:rPr>
              <w:t>B3-R1-5 to B3-R1-5</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jc w:val="center"/>
              <w:rPr>
                <w:rFonts w:eastAsia="Times New Roman"/>
                <w:sz w:val="16"/>
                <w:szCs w:val="16"/>
              </w:rPr>
            </w:pPr>
            <w:r w:rsidRPr="00F35B0C">
              <w:rPr>
                <w:rFonts w:eastAsia="Times New Roman"/>
                <w:sz w:val="16"/>
                <w:szCs w:val="16"/>
              </w:rPr>
              <w:t>56 418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jc w:val="center"/>
              <w:rPr>
                <w:rFonts w:eastAsia="Times New Roman"/>
                <w:sz w:val="16"/>
                <w:szCs w:val="16"/>
              </w:rPr>
            </w:pPr>
            <w:r w:rsidRPr="00F35B0C">
              <w:rPr>
                <w:rFonts w:eastAsia="Times New Roman"/>
                <w:sz w:val="16"/>
                <w:szCs w:val="16"/>
              </w:rPr>
              <w:t>62 289</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jc w:val="center"/>
              <w:rPr>
                <w:rFonts w:eastAsia="Times New Roman"/>
                <w:sz w:val="16"/>
                <w:szCs w:val="16"/>
              </w:rPr>
            </w:pPr>
            <w:r w:rsidRPr="00F35B0C">
              <w:rPr>
                <w:rFonts w:eastAsia="Times New Roman"/>
                <w:sz w:val="16"/>
                <w:szCs w:val="16"/>
              </w:rPr>
              <w:t>10.4%</w:t>
            </w:r>
          </w:p>
        </w:tc>
      </w:tr>
      <w:tr w:rsidR="00F35B0C" w:rsidRPr="00F35B0C" w:rsidTr="006E4257">
        <w:trPr>
          <w:trHeight w:val="340"/>
        </w:trPr>
        <w:tc>
          <w:tcPr>
            <w:tcW w:w="83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35B0C" w:rsidRPr="00F35B0C" w:rsidRDefault="00F35B0C" w:rsidP="00975ECD">
            <w:pPr>
              <w:spacing w:before="60" w:after="60"/>
              <w:rPr>
                <w:rFonts w:eastAsia="Times New Roman"/>
                <w:sz w:val="16"/>
                <w:szCs w:val="16"/>
              </w:rPr>
            </w:pPr>
            <w:r w:rsidRPr="00F35B0C">
              <w:rPr>
                <w:rFonts w:eastAsia="Times New Roman"/>
                <w:sz w:val="16"/>
                <w:szCs w:val="16"/>
              </w:rPr>
              <w:t>Band 4</w:t>
            </w:r>
          </w:p>
        </w:tc>
      </w:tr>
      <w:tr w:rsidR="00F35B0C" w:rsidRPr="00F35B0C" w:rsidTr="006E4257">
        <w:trPr>
          <w:trHeight w:val="34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rPr>
                <w:rFonts w:eastAsia="Times New Roman"/>
                <w:sz w:val="16"/>
                <w:szCs w:val="16"/>
              </w:rPr>
            </w:pPr>
            <w:r w:rsidRPr="00F35B0C">
              <w:rPr>
                <w:rFonts w:eastAsia="Times New Roman"/>
                <w:sz w:val="16"/>
                <w:szCs w:val="16"/>
              </w:rPr>
              <w:t>B4-R1-1 to B4-R2-3</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jc w:val="center"/>
              <w:rPr>
                <w:rFonts w:eastAsia="Times New Roman"/>
                <w:sz w:val="16"/>
                <w:szCs w:val="16"/>
              </w:rPr>
            </w:pPr>
            <w:r w:rsidRPr="00F35B0C">
              <w:rPr>
                <w:rFonts w:eastAsia="Times New Roman"/>
                <w:sz w:val="16"/>
                <w:szCs w:val="16"/>
              </w:rPr>
              <w:t>58 179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jc w:val="center"/>
              <w:rPr>
                <w:rFonts w:eastAsia="Times New Roman"/>
                <w:sz w:val="16"/>
                <w:szCs w:val="16"/>
              </w:rPr>
            </w:pPr>
            <w:r w:rsidRPr="00F35B0C">
              <w:rPr>
                <w:rFonts w:eastAsia="Times New Roman"/>
                <w:sz w:val="16"/>
                <w:szCs w:val="16"/>
              </w:rPr>
              <w:t>71 887</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jc w:val="center"/>
              <w:rPr>
                <w:rFonts w:eastAsia="Times New Roman"/>
                <w:sz w:val="16"/>
                <w:szCs w:val="16"/>
              </w:rPr>
            </w:pPr>
            <w:r w:rsidRPr="00F35B0C">
              <w:rPr>
                <w:rFonts w:eastAsia="Times New Roman"/>
                <w:sz w:val="16"/>
                <w:szCs w:val="16"/>
              </w:rPr>
              <w:t>23.6%</w:t>
            </w:r>
          </w:p>
        </w:tc>
      </w:tr>
      <w:tr w:rsidR="00F35B0C" w:rsidRPr="00F35B0C" w:rsidTr="006E4257">
        <w:trPr>
          <w:trHeight w:val="34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rPr>
                <w:rFonts w:eastAsia="Times New Roman"/>
                <w:sz w:val="16"/>
                <w:szCs w:val="16"/>
              </w:rPr>
            </w:pPr>
            <w:r w:rsidRPr="00F35B0C">
              <w:rPr>
                <w:rFonts w:eastAsia="Times New Roman"/>
                <w:sz w:val="16"/>
                <w:szCs w:val="16"/>
              </w:rPr>
              <w:t>B4-R2-4 to B4-R2-5</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jc w:val="center"/>
              <w:rPr>
                <w:rFonts w:eastAsia="Times New Roman"/>
                <w:sz w:val="16"/>
                <w:szCs w:val="16"/>
              </w:rPr>
            </w:pPr>
            <w:r w:rsidRPr="00F35B0C">
              <w:rPr>
                <w:rFonts w:eastAsia="Times New Roman"/>
                <w:sz w:val="16"/>
                <w:szCs w:val="16"/>
              </w:rPr>
              <w:t>67 288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jc w:val="center"/>
              <w:rPr>
                <w:rFonts w:eastAsia="Times New Roman"/>
                <w:sz w:val="16"/>
                <w:szCs w:val="16"/>
              </w:rPr>
            </w:pPr>
            <w:r w:rsidRPr="00F35B0C">
              <w:rPr>
                <w:rFonts w:eastAsia="Times New Roman"/>
                <w:sz w:val="16"/>
                <w:szCs w:val="16"/>
              </w:rPr>
              <w:t>75 410</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jc w:val="center"/>
              <w:rPr>
                <w:rFonts w:eastAsia="Times New Roman"/>
                <w:sz w:val="16"/>
                <w:szCs w:val="16"/>
              </w:rPr>
            </w:pPr>
            <w:r w:rsidRPr="00F35B0C">
              <w:rPr>
                <w:rFonts w:eastAsia="Times New Roman"/>
                <w:sz w:val="16"/>
                <w:szCs w:val="16"/>
              </w:rPr>
              <w:t>12.1%</w:t>
            </w:r>
          </w:p>
        </w:tc>
      </w:tr>
      <w:tr w:rsidR="00F35B0C" w:rsidRPr="00F35B0C" w:rsidTr="006E4257">
        <w:trPr>
          <w:trHeight w:val="340"/>
        </w:trPr>
        <w:tc>
          <w:tcPr>
            <w:tcW w:w="83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35B0C" w:rsidRPr="00F35B0C" w:rsidRDefault="00F35B0C" w:rsidP="00975ECD">
            <w:pPr>
              <w:spacing w:before="60" w:after="60"/>
              <w:rPr>
                <w:rFonts w:eastAsia="Times New Roman"/>
                <w:sz w:val="16"/>
                <w:szCs w:val="16"/>
              </w:rPr>
            </w:pPr>
            <w:r w:rsidRPr="00F35B0C">
              <w:rPr>
                <w:rFonts w:eastAsia="Times New Roman"/>
                <w:sz w:val="16"/>
                <w:szCs w:val="16"/>
              </w:rPr>
              <w:t>Band 6</w:t>
            </w:r>
          </w:p>
        </w:tc>
      </w:tr>
      <w:tr w:rsidR="00F35B0C" w:rsidRPr="00F35B0C" w:rsidTr="006E4257">
        <w:trPr>
          <w:trHeight w:val="34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rPr>
                <w:rFonts w:eastAsia="Times New Roman"/>
                <w:sz w:val="16"/>
                <w:szCs w:val="16"/>
              </w:rPr>
            </w:pPr>
            <w:r w:rsidRPr="00F35B0C">
              <w:rPr>
                <w:rFonts w:eastAsia="Times New Roman"/>
                <w:sz w:val="16"/>
                <w:szCs w:val="16"/>
              </w:rPr>
              <w:t>B6-R1-1 to B6-R2-3</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jc w:val="center"/>
              <w:rPr>
                <w:rFonts w:eastAsia="Times New Roman"/>
                <w:sz w:val="16"/>
                <w:szCs w:val="16"/>
              </w:rPr>
            </w:pPr>
            <w:r w:rsidRPr="00F35B0C">
              <w:rPr>
                <w:rFonts w:eastAsia="Times New Roman"/>
                <w:sz w:val="16"/>
                <w:szCs w:val="16"/>
              </w:rPr>
              <w:t>76 016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jc w:val="center"/>
              <w:rPr>
                <w:rFonts w:eastAsia="Times New Roman"/>
                <w:sz w:val="16"/>
                <w:szCs w:val="16"/>
              </w:rPr>
            </w:pPr>
            <w:r w:rsidRPr="00F35B0C">
              <w:rPr>
                <w:rFonts w:eastAsia="Times New Roman"/>
                <w:sz w:val="16"/>
                <w:szCs w:val="16"/>
              </w:rPr>
              <w:t>94 782</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jc w:val="center"/>
              <w:rPr>
                <w:rFonts w:eastAsia="Times New Roman"/>
                <w:sz w:val="16"/>
                <w:szCs w:val="16"/>
              </w:rPr>
            </w:pPr>
            <w:r w:rsidRPr="00F35B0C">
              <w:rPr>
                <w:rFonts w:eastAsia="Times New Roman"/>
                <w:sz w:val="16"/>
                <w:szCs w:val="16"/>
              </w:rPr>
              <w:t>24.7%</w:t>
            </w:r>
          </w:p>
        </w:tc>
      </w:tr>
      <w:tr w:rsidR="00F35B0C" w:rsidRPr="00F35B0C" w:rsidTr="006E4257">
        <w:trPr>
          <w:trHeight w:val="34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rPr>
                <w:rFonts w:eastAsia="Times New Roman"/>
                <w:sz w:val="16"/>
                <w:szCs w:val="16"/>
              </w:rPr>
            </w:pPr>
            <w:r w:rsidRPr="00F35B0C">
              <w:rPr>
                <w:rFonts w:eastAsia="Times New Roman"/>
                <w:sz w:val="16"/>
                <w:szCs w:val="16"/>
              </w:rPr>
              <w:t>B6-R2-4 to B6-R2-5</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jc w:val="center"/>
              <w:rPr>
                <w:rFonts w:eastAsia="Times New Roman"/>
                <w:sz w:val="16"/>
                <w:szCs w:val="16"/>
              </w:rPr>
            </w:pPr>
            <w:r w:rsidRPr="00F35B0C">
              <w:rPr>
                <w:rFonts w:eastAsia="Times New Roman"/>
                <w:sz w:val="16"/>
                <w:szCs w:val="16"/>
              </w:rPr>
              <w:t>87 325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jc w:val="center"/>
              <w:rPr>
                <w:rFonts w:eastAsia="Times New Roman"/>
                <w:sz w:val="16"/>
                <w:szCs w:val="16"/>
              </w:rPr>
            </w:pPr>
            <w:r w:rsidRPr="00F35B0C">
              <w:rPr>
                <w:rFonts w:eastAsia="Times New Roman"/>
                <w:sz w:val="16"/>
                <w:szCs w:val="16"/>
              </w:rPr>
              <w:t>97 646</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jc w:val="center"/>
              <w:rPr>
                <w:rFonts w:eastAsia="Times New Roman"/>
                <w:sz w:val="16"/>
                <w:szCs w:val="16"/>
              </w:rPr>
            </w:pPr>
            <w:r w:rsidRPr="00F35B0C">
              <w:rPr>
                <w:rFonts w:eastAsia="Times New Roman"/>
                <w:sz w:val="16"/>
                <w:szCs w:val="16"/>
              </w:rPr>
              <w:t>11.9%</w:t>
            </w:r>
          </w:p>
        </w:tc>
      </w:tr>
      <w:tr w:rsidR="00F35B0C" w:rsidRPr="00F35B0C" w:rsidTr="006E4257">
        <w:trPr>
          <w:trHeight w:val="340"/>
        </w:trPr>
        <w:tc>
          <w:tcPr>
            <w:tcW w:w="83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35B0C" w:rsidRPr="00F35B0C" w:rsidRDefault="00F35B0C" w:rsidP="00975ECD">
            <w:pPr>
              <w:spacing w:before="60" w:after="60"/>
              <w:rPr>
                <w:rFonts w:eastAsia="Times New Roman"/>
                <w:sz w:val="16"/>
                <w:szCs w:val="16"/>
              </w:rPr>
            </w:pPr>
            <w:r w:rsidRPr="00F35B0C">
              <w:rPr>
                <w:rFonts w:eastAsia="Times New Roman"/>
                <w:sz w:val="16"/>
                <w:szCs w:val="16"/>
              </w:rPr>
              <w:lastRenderedPageBreak/>
              <w:t>Band 8</w:t>
            </w:r>
          </w:p>
        </w:tc>
      </w:tr>
      <w:tr w:rsidR="00F35B0C" w:rsidRPr="00F35B0C" w:rsidTr="006E4257">
        <w:trPr>
          <w:trHeight w:val="34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rPr>
                <w:rFonts w:eastAsia="Times New Roman"/>
                <w:sz w:val="16"/>
                <w:szCs w:val="16"/>
              </w:rPr>
            </w:pPr>
            <w:r w:rsidRPr="00F35B0C">
              <w:rPr>
                <w:rFonts w:eastAsia="Times New Roman"/>
                <w:sz w:val="16"/>
                <w:szCs w:val="16"/>
              </w:rPr>
              <w:t>B8-R1-1 to B8-R2-3</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jc w:val="center"/>
              <w:rPr>
                <w:rFonts w:eastAsia="Times New Roman"/>
                <w:sz w:val="16"/>
                <w:szCs w:val="16"/>
              </w:rPr>
            </w:pPr>
            <w:r w:rsidRPr="00F35B0C">
              <w:rPr>
                <w:rFonts w:eastAsia="Times New Roman"/>
                <w:sz w:val="16"/>
                <w:szCs w:val="16"/>
              </w:rPr>
              <w:t>98 977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jc w:val="center"/>
              <w:rPr>
                <w:rFonts w:eastAsia="Times New Roman"/>
                <w:sz w:val="16"/>
                <w:szCs w:val="16"/>
              </w:rPr>
            </w:pPr>
            <w:r w:rsidRPr="00F35B0C">
              <w:rPr>
                <w:rFonts w:eastAsia="Times New Roman"/>
                <w:sz w:val="16"/>
                <w:szCs w:val="16"/>
              </w:rPr>
              <w:t>119 047</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jc w:val="center"/>
              <w:rPr>
                <w:rFonts w:eastAsia="Times New Roman"/>
                <w:sz w:val="16"/>
                <w:szCs w:val="16"/>
              </w:rPr>
            </w:pPr>
            <w:r w:rsidRPr="00F35B0C">
              <w:rPr>
                <w:rFonts w:eastAsia="Times New Roman"/>
                <w:sz w:val="16"/>
                <w:szCs w:val="16"/>
              </w:rPr>
              <w:t>20.3%</w:t>
            </w:r>
          </w:p>
        </w:tc>
      </w:tr>
      <w:tr w:rsidR="00F35B0C" w:rsidRPr="00F35B0C" w:rsidTr="006E4257">
        <w:trPr>
          <w:trHeight w:val="34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rPr>
                <w:rFonts w:eastAsia="Times New Roman"/>
                <w:sz w:val="16"/>
                <w:szCs w:val="16"/>
              </w:rPr>
            </w:pPr>
            <w:r w:rsidRPr="00F35B0C">
              <w:rPr>
                <w:rFonts w:eastAsia="Times New Roman"/>
                <w:sz w:val="16"/>
                <w:szCs w:val="16"/>
              </w:rPr>
              <w:t>B8-R2-2 to B8-R2-3</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jc w:val="center"/>
              <w:rPr>
                <w:rFonts w:eastAsia="Times New Roman"/>
                <w:sz w:val="16"/>
                <w:szCs w:val="16"/>
              </w:rPr>
            </w:pPr>
            <w:r w:rsidRPr="00F35B0C">
              <w:rPr>
                <w:rFonts w:eastAsia="Times New Roman"/>
                <w:sz w:val="16"/>
                <w:szCs w:val="16"/>
              </w:rPr>
              <w:t>106 612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jc w:val="center"/>
              <w:rPr>
                <w:rFonts w:eastAsia="Times New Roman"/>
                <w:sz w:val="16"/>
                <w:szCs w:val="16"/>
              </w:rPr>
            </w:pPr>
            <w:r w:rsidRPr="00F35B0C">
              <w:rPr>
                <w:rFonts w:eastAsia="Times New Roman"/>
                <w:sz w:val="16"/>
                <w:szCs w:val="16"/>
              </w:rPr>
              <w:t>119 047</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F35B0C" w:rsidRPr="00F35B0C" w:rsidRDefault="00F35B0C" w:rsidP="00975ECD">
            <w:pPr>
              <w:spacing w:before="60" w:after="60"/>
              <w:jc w:val="center"/>
              <w:rPr>
                <w:rFonts w:eastAsia="Times New Roman"/>
                <w:sz w:val="16"/>
                <w:szCs w:val="16"/>
              </w:rPr>
            </w:pPr>
            <w:r w:rsidRPr="00F35B0C">
              <w:rPr>
                <w:rFonts w:eastAsia="Times New Roman"/>
                <w:sz w:val="16"/>
                <w:szCs w:val="16"/>
              </w:rPr>
              <w:t>11.7%</w:t>
            </w:r>
          </w:p>
        </w:tc>
      </w:tr>
    </w:tbl>
    <w:p w:rsidR="00F35B0C" w:rsidRPr="00F35B0C" w:rsidRDefault="00F35B0C" w:rsidP="00F35B0C">
      <w:pPr>
        <w:spacing w:after="0"/>
        <w:rPr>
          <w:rFonts w:eastAsia="Times New Roman"/>
          <w:szCs w:val="20"/>
        </w:rPr>
      </w:pPr>
    </w:p>
    <w:p w:rsidR="00F35B0C" w:rsidRPr="00F35B0C" w:rsidRDefault="00F35B0C" w:rsidP="00725574">
      <w:pPr>
        <w:pStyle w:val="TableTitlemain"/>
      </w:pPr>
      <w:r w:rsidRPr="00F35B0C">
        <w:t>Table 5D</w:t>
      </w:r>
      <w:r w:rsidR="00725574">
        <w:tab/>
      </w:r>
      <w:r w:rsidRPr="00F35B0C">
        <w:t>Tasmanian State Service Senior Executive Service (Base Salaries)</w:t>
      </w:r>
      <w:r w:rsidR="005779EB" w:rsidRPr="005779EB">
        <w:rPr>
          <w:rStyle w:val="FootnoteReference"/>
          <w:b w:val="0"/>
          <w:sz w:val="16"/>
          <w:szCs w:val="16"/>
        </w:rPr>
        <w:footnoteReference w:id="35"/>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926"/>
        <w:gridCol w:w="1843"/>
        <w:gridCol w:w="1759"/>
      </w:tblGrid>
      <w:tr w:rsidR="00F35B0C" w:rsidRPr="00327CCC" w:rsidTr="00327CCC">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5B0C" w:rsidRPr="00327CCC" w:rsidRDefault="00F35B0C" w:rsidP="00283355">
            <w:pPr>
              <w:spacing w:before="120" w:after="120"/>
              <w:rPr>
                <w:rFonts w:eastAsia="Times New Roman"/>
                <w:b/>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5B0C" w:rsidRPr="00327CCC" w:rsidRDefault="00F35B0C" w:rsidP="00283355">
            <w:pPr>
              <w:spacing w:before="120" w:after="120"/>
              <w:jc w:val="center"/>
              <w:rPr>
                <w:rFonts w:eastAsia="Times New Roman"/>
                <w:b/>
                <w:sz w:val="16"/>
                <w:szCs w:val="16"/>
              </w:rPr>
            </w:pPr>
            <w:r w:rsidRPr="00327CCC">
              <w:rPr>
                <w:rFonts w:eastAsia="Times New Roman"/>
                <w:b/>
                <w:sz w:val="16"/>
                <w:szCs w:val="16"/>
              </w:rPr>
              <w:t xml:space="preserve">March </w:t>
            </w:r>
            <w:r w:rsidR="00283355" w:rsidRPr="00327CCC">
              <w:rPr>
                <w:rFonts w:eastAsia="Times New Roman"/>
                <w:b/>
                <w:sz w:val="16"/>
                <w:szCs w:val="16"/>
              </w:rPr>
              <w:br/>
            </w:r>
            <w:r w:rsidRPr="00327CCC">
              <w:rPr>
                <w:rFonts w:eastAsia="Times New Roman"/>
                <w:b/>
                <w:sz w:val="16"/>
                <w:szCs w:val="16"/>
              </w:rPr>
              <w:t>2011</w:t>
            </w:r>
            <w:r w:rsidR="007E3A9E" w:rsidRPr="00327CCC">
              <w:rPr>
                <w:rFonts w:eastAsia="Times New Roman"/>
                <w:b/>
                <w:sz w:val="16"/>
                <w:szCs w:val="16"/>
              </w:rPr>
              <w:br/>
            </w:r>
            <w:r w:rsidRPr="00327CCC">
              <w:rPr>
                <w:rFonts w:eastAsia="Times New Roman"/>
                <w:b/>
                <w:sz w:val="16"/>
                <w:szCs w:val="16"/>
              </w:rPr>
              <w:t>$</w:t>
            </w:r>
            <w:r w:rsidR="007E3A9E" w:rsidRPr="00327CCC">
              <w:rPr>
                <w:rFonts w:eastAsia="Times New Roman"/>
                <w:b/>
                <w:sz w:val="16"/>
                <w:szCs w:val="16"/>
              </w:rPr>
              <w:t>pa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5B0C" w:rsidRPr="00327CCC" w:rsidRDefault="00F35B0C" w:rsidP="00283355">
            <w:pPr>
              <w:spacing w:before="120" w:after="120"/>
              <w:jc w:val="center"/>
              <w:rPr>
                <w:rFonts w:eastAsia="Times New Roman"/>
                <w:b/>
                <w:sz w:val="16"/>
                <w:szCs w:val="16"/>
              </w:rPr>
            </w:pPr>
            <w:r w:rsidRPr="00327CCC">
              <w:rPr>
                <w:rFonts w:eastAsia="Times New Roman"/>
                <w:b/>
                <w:sz w:val="16"/>
                <w:szCs w:val="16"/>
              </w:rPr>
              <w:t>December 2015</w:t>
            </w:r>
            <w:r w:rsidR="007E3A9E" w:rsidRPr="00327CCC">
              <w:rPr>
                <w:rFonts w:eastAsia="Times New Roman"/>
                <w:b/>
                <w:sz w:val="16"/>
                <w:szCs w:val="16"/>
              </w:rPr>
              <w:br/>
            </w:r>
            <w:r w:rsidRPr="00327CCC">
              <w:rPr>
                <w:rFonts w:eastAsia="Times New Roman"/>
                <w:b/>
                <w:sz w:val="16"/>
                <w:szCs w:val="16"/>
              </w:rPr>
              <w:t>$</w:t>
            </w:r>
            <w:r w:rsidR="007E3A9E" w:rsidRPr="00327CCC">
              <w:rPr>
                <w:rFonts w:eastAsia="Times New Roman"/>
                <w:b/>
                <w:sz w:val="16"/>
                <w:szCs w:val="16"/>
              </w:rPr>
              <w:t>pa</w:t>
            </w:r>
          </w:p>
        </w:tc>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5B0C" w:rsidRPr="00327CCC" w:rsidRDefault="00283355" w:rsidP="00283355">
            <w:pPr>
              <w:spacing w:before="120" w:after="120"/>
              <w:jc w:val="center"/>
              <w:rPr>
                <w:rFonts w:eastAsia="Times New Roman"/>
                <w:b/>
                <w:sz w:val="16"/>
                <w:szCs w:val="16"/>
              </w:rPr>
            </w:pPr>
            <w:r w:rsidRPr="00327CCC">
              <w:rPr>
                <w:rFonts w:eastAsia="Times New Roman"/>
                <w:b/>
                <w:sz w:val="16"/>
                <w:szCs w:val="16"/>
              </w:rPr>
              <w:t>Increase</w:t>
            </w:r>
          </w:p>
        </w:tc>
      </w:tr>
      <w:tr w:rsidR="00F35B0C" w:rsidRPr="00F35B0C" w:rsidTr="000B79A2">
        <w:tc>
          <w:tcPr>
            <w:tcW w:w="2802" w:type="dxa"/>
            <w:tcBorders>
              <w:top w:val="single" w:sz="4" w:space="0" w:color="auto"/>
              <w:left w:val="single" w:sz="4" w:space="0" w:color="auto"/>
              <w:bottom w:val="single" w:sz="4" w:space="0" w:color="auto"/>
              <w:right w:val="single" w:sz="4" w:space="0" w:color="auto"/>
            </w:tcBorders>
            <w:shd w:val="clear" w:color="auto" w:fill="auto"/>
          </w:tcPr>
          <w:p w:rsidR="00F35B0C" w:rsidRPr="00F35B0C" w:rsidRDefault="00F35B0C" w:rsidP="00283355">
            <w:pPr>
              <w:spacing w:before="120" w:after="120"/>
              <w:rPr>
                <w:rFonts w:eastAsia="Times New Roman"/>
                <w:sz w:val="16"/>
                <w:szCs w:val="16"/>
              </w:rPr>
            </w:pPr>
            <w:r w:rsidRPr="00F35B0C">
              <w:rPr>
                <w:rFonts w:eastAsia="Times New Roman"/>
                <w:sz w:val="16"/>
                <w:szCs w:val="16"/>
              </w:rPr>
              <w:t>SES 1 minimum</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F35B0C" w:rsidRPr="00F35B0C" w:rsidRDefault="00F35B0C" w:rsidP="00283355">
            <w:pPr>
              <w:spacing w:before="120" w:after="120"/>
              <w:jc w:val="center"/>
              <w:rPr>
                <w:rFonts w:eastAsia="Times New Roman"/>
                <w:sz w:val="16"/>
                <w:szCs w:val="16"/>
              </w:rPr>
            </w:pPr>
            <w:r w:rsidRPr="00F35B0C">
              <w:rPr>
                <w:rFonts w:eastAsia="Times New Roman"/>
                <w:sz w:val="16"/>
                <w:szCs w:val="16"/>
              </w:rPr>
              <w:t>110 455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5B0C" w:rsidRPr="00F35B0C" w:rsidRDefault="00F35B0C" w:rsidP="00283355">
            <w:pPr>
              <w:spacing w:before="120" w:after="120"/>
              <w:jc w:val="center"/>
              <w:rPr>
                <w:rFonts w:eastAsia="Times New Roman"/>
                <w:sz w:val="16"/>
                <w:szCs w:val="16"/>
              </w:rPr>
            </w:pPr>
            <w:r w:rsidRPr="00F35B0C">
              <w:rPr>
                <w:rFonts w:eastAsia="Times New Roman"/>
                <w:sz w:val="16"/>
                <w:szCs w:val="16"/>
              </w:rPr>
              <w:t>121 318</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F35B0C" w:rsidRPr="00F35B0C" w:rsidRDefault="00F35B0C" w:rsidP="00283355">
            <w:pPr>
              <w:spacing w:before="120" w:after="120"/>
              <w:jc w:val="center"/>
              <w:rPr>
                <w:rFonts w:eastAsia="Times New Roman"/>
                <w:sz w:val="16"/>
                <w:szCs w:val="16"/>
              </w:rPr>
            </w:pPr>
            <w:r w:rsidRPr="00F35B0C">
              <w:rPr>
                <w:rFonts w:eastAsia="Times New Roman"/>
                <w:sz w:val="16"/>
                <w:szCs w:val="16"/>
              </w:rPr>
              <w:t>9.9%</w:t>
            </w:r>
          </w:p>
        </w:tc>
      </w:tr>
      <w:tr w:rsidR="00F35B0C" w:rsidRPr="00F35B0C" w:rsidTr="000B79A2">
        <w:tc>
          <w:tcPr>
            <w:tcW w:w="2802" w:type="dxa"/>
            <w:tcBorders>
              <w:top w:val="single" w:sz="4" w:space="0" w:color="auto"/>
              <w:left w:val="single" w:sz="4" w:space="0" w:color="auto"/>
              <w:bottom w:val="single" w:sz="4" w:space="0" w:color="auto"/>
              <w:right w:val="single" w:sz="4" w:space="0" w:color="auto"/>
            </w:tcBorders>
            <w:shd w:val="clear" w:color="auto" w:fill="auto"/>
          </w:tcPr>
          <w:p w:rsidR="00F35B0C" w:rsidRPr="00F35B0C" w:rsidRDefault="00F35B0C" w:rsidP="00283355">
            <w:pPr>
              <w:spacing w:before="120" w:after="120"/>
              <w:rPr>
                <w:rFonts w:eastAsia="Times New Roman"/>
                <w:sz w:val="16"/>
                <w:szCs w:val="16"/>
              </w:rPr>
            </w:pPr>
            <w:r w:rsidRPr="00F35B0C">
              <w:rPr>
                <w:rFonts w:eastAsia="Times New Roman"/>
                <w:sz w:val="16"/>
                <w:szCs w:val="16"/>
              </w:rPr>
              <w:t>SES 2 minimum</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F35B0C" w:rsidRPr="00F35B0C" w:rsidRDefault="00F35B0C" w:rsidP="00283355">
            <w:pPr>
              <w:spacing w:before="120" w:after="120"/>
              <w:jc w:val="center"/>
              <w:rPr>
                <w:rFonts w:eastAsia="Times New Roman"/>
                <w:sz w:val="16"/>
                <w:szCs w:val="16"/>
              </w:rPr>
            </w:pPr>
            <w:r w:rsidRPr="00F35B0C">
              <w:rPr>
                <w:rFonts w:eastAsia="Times New Roman"/>
                <w:sz w:val="16"/>
                <w:szCs w:val="16"/>
              </w:rPr>
              <w:t>130 275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5B0C" w:rsidRPr="00F35B0C" w:rsidRDefault="00F35B0C" w:rsidP="00283355">
            <w:pPr>
              <w:spacing w:before="120" w:after="120"/>
              <w:jc w:val="center"/>
              <w:rPr>
                <w:rFonts w:eastAsia="Times New Roman"/>
                <w:sz w:val="16"/>
                <w:szCs w:val="16"/>
              </w:rPr>
            </w:pPr>
            <w:r w:rsidRPr="00F35B0C">
              <w:rPr>
                <w:rFonts w:eastAsia="Times New Roman"/>
                <w:sz w:val="16"/>
                <w:szCs w:val="16"/>
              </w:rPr>
              <w:t>143 088</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F35B0C" w:rsidRPr="00F35B0C" w:rsidRDefault="00F35B0C" w:rsidP="00283355">
            <w:pPr>
              <w:spacing w:before="120" w:after="120"/>
              <w:jc w:val="center"/>
              <w:rPr>
                <w:rFonts w:eastAsia="Times New Roman"/>
                <w:sz w:val="16"/>
                <w:szCs w:val="16"/>
              </w:rPr>
            </w:pPr>
            <w:r w:rsidRPr="00F35B0C">
              <w:rPr>
                <w:rFonts w:eastAsia="Times New Roman"/>
                <w:sz w:val="16"/>
                <w:szCs w:val="16"/>
              </w:rPr>
              <w:t>9.9%</w:t>
            </w:r>
          </w:p>
        </w:tc>
      </w:tr>
      <w:tr w:rsidR="00F35B0C" w:rsidRPr="00F35B0C" w:rsidTr="000B79A2">
        <w:tc>
          <w:tcPr>
            <w:tcW w:w="2802" w:type="dxa"/>
            <w:tcBorders>
              <w:top w:val="single" w:sz="4" w:space="0" w:color="auto"/>
              <w:left w:val="single" w:sz="4" w:space="0" w:color="auto"/>
              <w:bottom w:val="single" w:sz="4" w:space="0" w:color="auto"/>
              <w:right w:val="single" w:sz="4" w:space="0" w:color="auto"/>
            </w:tcBorders>
            <w:shd w:val="clear" w:color="auto" w:fill="auto"/>
          </w:tcPr>
          <w:p w:rsidR="00F35B0C" w:rsidRPr="00F35B0C" w:rsidRDefault="00F35B0C" w:rsidP="00283355">
            <w:pPr>
              <w:spacing w:before="120" w:after="120"/>
              <w:rPr>
                <w:rFonts w:eastAsia="Times New Roman"/>
                <w:sz w:val="16"/>
                <w:szCs w:val="16"/>
              </w:rPr>
            </w:pPr>
            <w:r w:rsidRPr="00F35B0C">
              <w:rPr>
                <w:rFonts w:eastAsia="Times New Roman"/>
                <w:sz w:val="16"/>
                <w:szCs w:val="16"/>
              </w:rPr>
              <w:t>SES 3 minimum</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F35B0C" w:rsidRPr="00F35B0C" w:rsidRDefault="00F35B0C" w:rsidP="00283355">
            <w:pPr>
              <w:spacing w:before="120" w:after="120"/>
              <w:jc w:val="center"/>
              <w:rPr>
                <w:rFonts w:eastAsia="Times New Roman"/>
                <w:sz w:val="16"/>
                <w:szCs w:val="16"/>
              </w:rPr>
            </w:pPr>
            <w:r w:rsidRPr="00F35B0C">
              <w:rPr>
                <w:rFonts w:eastAsia="Times New Roman"/>
                <w:sz w:val="16"/>
                <w:szCs w:val="16"/>
              </w:rPr>
              <w:t>157 247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5B0C" w:rsidRPr="00F35B0C" w:rsidRDefault="00F35B0C" w:rsidP="00283355">
            <w:pPr>
              <w:spacing w:before="120" w:after="120"/>
              <w:jc w:val="center"/>
              <w:rPr>
                <w:rFonts w:eastAsia="Times New Roman"/>
                <w:sz w:val="16"/>
                <w:szCs w:val="16"/>
              </w:rPr>
            </w:pPr>
            <w:r w:rsidRPr="00F35B0C">
              <w:rPr>
                <w:rFonts w:eastAsia="Times New Roman"/>
                <w:sz w:val="16"/>
                <w:szCs w:val="16"/>
              </w:rPr>
              <w:t>172 713</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F35B0C" w:rsidRPr="00F35B0C" w:rsidRDefault="00F35B0C" w:rsidP="00283355">
            <w:pPr>
              <w:spacing w:before="120" w:after="120"/>
              <w:jc w:val="center"/>
              <w:rPr>
                <w:rFonts w:eastAsia="Times New Roman"/>
                <w:sz w:val="16"/>
                <w:szCs w:val="16"/>
              </w:rPr>
            </w:pPr>
            <w:r w:rsidRPr="00F35B0C">
              <w:rPr>
                <w:rFonts w:eastAsia="Times New Roman"/>
                <w:sz w:val="16"/>
                <w:szCs w:val="16"/>
              </w:rPr>
              <w:t>9.9%</w:t>
            </w:r>
          </w:p>
        </w:tc>
      </w:tr>
      <w:tr w:rsidR="00F35B0C" w:rsidRPr="00F35B0C" w:rsidTr="000B79A2">
        <w:tc>
          <w:tcPr>
            <w:tcW w:w="2802" w:type="dxa"/>
            <w:tcBorders>
              <w:top w:val="single" w:sz="4" w:space="0" w:color="auto"/>
              <w:left w:val="single" w:sz="4" w:space="0" w:color="auto"/>
              <w:bottom w:val="single" w:sz="4" w:space="0" w:color="auto"/>
              <w:right w:val="single" w:sz="4" w:space="0" w:color="auto"/>
            </w:tcBorders>
            <w:shd w:val="clear" w:color="auto" w:fill="auto"/>
          </w:tcPr>
          <w:p w:rsidR="00F35B0C" w:rsidRPr="00F35B0C" w:rsidRDefault="00F35B0C" w:rsidP="00283355">
            <w:pPr>
              <w:spacing w:before="120" w:after="120"/>
              <w:rPr>
                <w:rFonts w:eastAsia="Times New Roman"/>
                <w:sz w:val="16"/>
                <w:szCs w:val="16"/>
              </w:rPr>
            </w:pPr>
            <w:r w:rsidRPr="00F35B0C">
              <w:rPr>
                <w:rFonts w:eastAsia="Times New Roman"/>
                <w:sz w:val="16"/>
                <w:szCs w:val="16"/>
              </w:rPr>
              <w:t>SES 4 minimum</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F35B0C" w:rsidRPr="00F35B0C" w:rsidRDefault="00F35B0C" w:rsidP="00283355">
            <w:pPr>
              <w:spacing w:before="120" w:after="120"/>
              <w:jc w:val="center"/>
              <w:rPr>
                <w:rFonts w:eastAsia="Times New Roman"/>
                <w:sz w:val="16"/>
                <w:szCs w:val="16"/>
              </w:rPr>
            </w:pPr>
            <w:r w:rsidRPr="00F35B0C">
              <w:rPr>
                <w:rFonts w:eastAsia="Times New Roman"/>
                <w:sz w:val="16"/>
                <w:szCs w:val="16"/>
              </w:rPr>
              <w:t>189 350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5B0C" w:rsidRPr="00F35B0C" w:rsidRDefault="00F35B0C" w:rsidP="00283355">
            <w:pPr>
              <w:spacing w:before="120" w:after="120"/>
              <w:jc w:val="center"/>
              <w:rPr>
                <w:rFonts w:eastAsia="Times New Roman"/>
                <w:sz w:val="16"/>
                <w:szCs w:val="16"/>
              </w:rPr>
            </w:pPr>
            <w:r w:rsidRPr="00F35B0C">
              <w:rPr>
                <w:rFonts w:eastAsia="Times New Roman"/>
                <w:sz w:val="16"/>
                <w:szCs w:val="16"/>
              </w:rPr>
              <w:t>207 973</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F35B0C" w:rsidRPr="00F35B0C" w:rsidRDefault="00F35B0C" w:rsidP="00283355">
            <w:pPr>
              <w:spacing w:before="120" w:after="120"/>
              <w:jc w:val="center"/>
              <w:rPr>
                <w:rFonts w:eastAsia="Times New Roman"/>
                <w:sz w:val="16"/>
                <w:szCs w:val="16"/>
              </w:rPr>
            </w:pPr>
            <w:r w:rsidRPr="00F35B0C">
              <w:rPr>
                <w:rFonts w:eastAsia="Times New Roman"/>
                <w:sz w:val="16"/>
                <w:szCs w:val="16"/>
              </w:rPr>
              <w:t>9.9%</w:t>
            </w:r>
          </w:p>
        </w:tc>
      </w:tr>
    </w:tbl>
    <w:p w:rsidR="00F35B0C" w:rsidRPr="00F35B0C" w:rsidRDefault="00F35B0C" w:rsidP="00F35B0C">
      <w:pPr>
        <w:spacing w:after="0"/>
        <w:rPr>
          <w:rFonts w:eastAsia="Times New Roman"/>
          <w:sz w:val="16"/>
          <w:szCs w:val="16"/>
        </w:rPr>
      </w:pPr>
    </w:p>
    <w:p w:rsidR="00283355" w:rsidRDefault="00AF63E4" w:rsidP="00F324DE">
      <w:pPr>
        <w:pStyle w:val="textbasic"/>
      </w:pPr>
      <w:r w:rsidRPr="00283355">
        <w:t xml:space="preserve">We note that salary adjustments for the Senior Executive Service </w:t>
      </w:r>
      <w:r w:rsidR="00E14D34">
        <w:t>(</w:t>
      </w:r>
      <w:r w:rsidRPr="00283355">
        <w:t>SES</w:t>
      </w:r>
      <w:r w:rsidR="00E14D34">
        <w:t>)</w:t>
      </w:r>
      <w:r w:rsidRPr="00283355">
        <w:t xml:space="preserve"> have resulted in a cumulative salary increase of 9.9% over the </w:t>
      </w:r>
      <w:r w:rsidR="001839BE" w:rsidRPr="00283355">
        <w:t>SSMO</w:t>
      </w:r>
      <w:r w:rsidRPr="00283355">
        <w:t xml:space="preserve">’s chosen time frame. </w:t>
      </w:r>
    </w:p>
    <w:p w:rsidR="00283355" w:rsidRDefault="00AF63E4" w:rsidP="00F324DE">
      <w:pPr>
        <w:pStyle w:val="textbasic"/>
      </w:pPr>
      <w:r w:rsidRPr="00283355">
        <w:t xml:space="preserve">Whilst this is a relevant consideration, it does not take into account that SES </w:t>
      </w:r>
      <w:r w:rsidR="00283355">
        <w:t>officers also have</w:t>
      </w:r>
      <w:r w:rsidRPr="00283355">
        <w:t xml:space="preserve"> the ability to move annually within the range </w:t>
      </w:r>
      <w:r w:rsidR="00283355">
        <w:t xml:space="preserve">for their classification level </w:t>
      </w:r>
      <w:r w:rsidRPr="00283355">
        <w:t xml:space="preserve">at </w:t>
      </w:r>
      <w:r w:rsidR="00283355">
        <w:t xml:space="preserve">a rate of </w:t>
      </w:r>
      <w:r w:rsidRPr="00283355">
        <w:t xml:space="preserve">2% pa based on performance. </w:t>
      </w:r>
    </w:p>
    <w:p w:rsidR="00AF63E4" w:rsidRPr="00283355" w:rsidRDefault="00AF63E4" w:rsidP="00F324DE">
      <w:pPr>
        <w:pStyle w:val="textbasic"/>
      </w:pPr>
      <w:r w:rsidRPr="00283355">
        <w:t xml:space="preserve">It must also be recognised that SES salaries are determined entirely within the province of the Government, rather than </w:t>
      </w:r>
      <w:r w:rsidR="00325226">
        <w:t>through independent assessment.</w:t>
      </w:r>
    </w:p>
    <w:p w:rsidR="00E23CE6" w:rsidRPr="00C84D8D" w:rsidRDefault="00E23CE6" w:rsidP="00F324DE">
      <w:pPr>
        <w:pStyle w:val="textbasic"/>
      </w:pPr>
      <w:r w:rsidRPr="00283355">
        <w:t xml:space="preserve">Although </w:t>
      </w:r>
      <w:r w:rsidR="00E06A1F">
        <w:t xml:space="preserve">it is </w:t>
      </w:r>
      <w:r w:rsidRPr="00283355">
        <w:t xml:space="preserve">not expressly stated, </w:t>
      </w:r>
      <w:r w:rsidR="00954614" w:rsidRPr="00283355">
        <w:t xml:space="preserve">we also note that </w:t>
      </w:r>
      <w:r w:rsidRPr="00283355">
        <w:t xml:space="preserve">it would seem that the Tasmanian Government </w:t>
      </w:r>
      <w:r w:rsidR="00954614" w:rsidRPr="00283355">
        <w:t xml:space="preserve">current </w:t>
      </w:r>
      <w:r w:rsidRPr="00283355">
        <w:t>wage</w:t>
      </w:r>
      <w:r w:rsidR="00E06A1F">
        <w:t>s</w:t>
      </w:r>
      <w:r w:rsidRPr="00283355">
        <w:t xml:space="preserve"> policy provides for salary increases of 2% pa. Certainly this is the level of increase reflected in most registered industrial agreements over recent</w:t>
      </w:r>
      <w:r w:rsidRPr="00C84D8D">
        <w:t xml:space="preserve"> years.</w:t>
      </w:r>
    </w:p>
    <w:p w:rsidR="00E23CE6" w:rsidRPr="00C84D8D" w:rsidRDefault="00E23CE6" w:rsidP="00F324DE">
      <w:pPr>
        <w:pStyle w:val="textbasic"/>
      </w:pPr>
      <w:r w:rsidRPr="00C84D8D">
        <w:t>There are</w:t>
      </w:r>
      <w:r w:rsidR="00E06A1F">
        <w:t>,</w:t>
      </w:r>
      <w:r w:rsidRPr="00C84D8D">
        <w:t xml:space="preserve"> however</w:t>
      </w:r>
      <w:r w:rsidR="00E06A1F">
        <w:t>,</w:t>
      </w:r>
      <w:r w:rsidRPr="00C84D8D">
        <w:t xml:space="preserve"> exceptions. For example</w:t>
      </w:r>
      <w:r w:rsidR="00E06A1F">
        <w:t>,</w:t>
      </w:r>
      <w:r w:rsidRPr="00C84D8D">
        <w:t xml:space="preserve"> paramedics and salaried medical practitioners in the State Service have, following extensive </w:t>
      </w:r>
      <w:r w:rsidR="00F060E6">
        <w:t>work</w:t>
      </w:r>
      <w:r w:rsidR="00E06A1F">
        <w:t>-</w:t>
      </w:r>
      <w:r w:rsidR="00F060E6">
        <w:t>value</w:t>
      </w:r>
      <w:r w:rsidR="00E06A1F">
        <w:t>-</w:t>
      </w:r>
      <w:r w:rsidR="00F060E6">
        <w:t xml:space="preserve">type </w:t>
      </w:r>
      <w:r w:rsidRPr="00C84D8D">
        <w:t xml:space="preserve">proceedings before the </w:t>
      </w:r>
      <w:r w:rsidR="00F060E6">
        <w:t xml:space="preserve">Tasmanian </w:t>
      </w:r>
      <w:r w:rsidRPr="00C84D8D">
        <w:t>Industrial Commission, gained salary increases in excess of this figure.</w:t>
      </w:r>
    </w:p>
    <w:p w:rsidR="00AF63E4" w:rsidRPr="001B2C0D" w:rsidRDefault="00954614" w:rsidP="00EC1A81">
      <w:pPr>
        <w:pStyle w:val="Heading3"/>
      </w:pPr>
      <w:bookmarkStart w:id="41" w:name="_Toc443486915"/>
      <w:r>
        <w:t>5</w:t>
      </w:r>
      <w:r w:rsidR="00EC1A81">
        <w:t>.1</w:t>
      </w:r>
      <w:r>
        <w:t>.5</w:t>
      </w:r>
      <w:r>
        <w:tab/>
      </w:r>
      <w:r w:rsidR="00115282">
        <w:t>Demographics</w:t>
      </w:r>
      <w:r w:rsidR="00AF63E4" w:rsidRPr="001B2C0D">
        <w:t xml:space="preserve"> </w:t>
      </w:r>
      <w:r w:rsidR="00115282" w:rsidRPr="001B2C0D">
        <w:t xml:space="preserve">and </w:t>
      </w:r>
      <w:r w:rsidR="00AF63E4" w:rsidRPr="001B2C0D">
        <w:t>Budget Outlays</w:t>
      </w:r>
      <w:bookmarkEnd w:id="41"/>
    </w:p>
    <w:p w:rsidR="00AF63E4" w:rsidRPr="001B2C0D" w:rsidRDefault="00AF63E4" w:rsidP="00F324DE">
      <w:pPr>
        <w:pStyle w:val="textbasic"/>
      </w:pPr>
      <w:r w:rsidRPr="001B2C0D">
        <w:t xml:space="preserve">The 2014 Report referred to an analysis of demographics and budget outlays across the various </w:t>
      </w:r>
      <w:r w:rsidR="005855C7">
        <w:t>jurisdictions</w:t>
      </w:r>
      <w:r w:rsidRPr="001B2C0D">
        <w:t xml:space="preserve">. These indicators have been updated in </w:t>
      </w:r>
      <w:r w:rsidR="00017D10">
        <w:t>Table 6</w:t>
      </w:r>
      <w:r w:rsidRPr="001B2C0D">
        <w:t>.</w:t>
      </w:r>
    </w:p>
    <w:p w:rsidR="005855C7" w:rsidRDefault="00017D10" w:rsidP="00F324DE">
      <w:pPr>
        <w:pStyle w:val="textbasic"/>
      </w:pPr>
      <w:r>
        <w:t>Table 6</w:t>
      </w:r>
      <w:r w:rsidRPr="00017D10">
        <w:t xml:space="preserve"> compares population demographics and </w:t>
      </w:r>
      <w:r w:rsidR="005855C7">
        <w:t>general government sector revenue</w:t>
      </w:r>
      <w:r w:rsidRPr="00017D10">
        <w:t xml:space="preserve"> for each of the Australian </w:t>
      </w:r>
      <w:r w:rsidR="005855C7">
        <w:t>jurisdictions</w:t>
      </w:r>
      <w:r w:rsidRPr="00017D10">
        <w:t xml:space="preserve">. </w:t>
      </w:r>
    </w:p>
    <w:p w:rsidR="00017D10" w:rsidRDefault="00017D10" w:rsidP="00017D10">
      <w:pPr>
        <w:spacing w:line="276" w:lineRule="auto"/>
        <w:rPr>
          <w:rFonts w:ascii="Calibri" w:hAnsi="Calibri"/>
          <w:b/>
          <w:sz w:val="22"/>
          <w:lang w:val="en-US"/>
        </w:rPr>
      </w:pPr>
    </w:p>
    <w:p w:rsidR="00A23EAD" w:rsidRDefault="00A23EAD" w:rsidP="00017D10">
      <w:pPr>
        <w:spacing w:line="276" w:lineRule="auto"/>
        <w:rPr>
          <w:rFonts w:ascii="Calibri" w:hAnsi="Calibri"/>
          <w:b/>
          <w:sz w:val="22"/>
          <w:lang w:val="en-US"/>
        </w:rPr>
        <w:sectPr w:rsidR="00A23EAD" w:rsidSect="00E14D34">
          <w:headerReference w:type="default" r:id="rId16"/>
          <w:footerReference w:type="default" r:id="rId17"/>
          <w:pgSz w:w="11906" w:h="16838"/>
          <w:pgMar w:top="1440" w:right="1440" w:bottom="1440" w:left="1440" w:header="708" w:footer="708" w:gutter="0"/>
          <w:pgNumType w:start="1"/>
          <w:cols w:space="708"/>
          <w:docGrid w:linePitch="360"/>
        </w:sectPr>
      </w:pPr>
    </w:p>
    <w:p w:rsidR="00A23EAD" w:rsidRPr="00A23EAD" w:rsidRDefault="00A23EAD" w:rsidP="00A23EAD">
      <w:pPr>
        <w:spacing w:line="276" w:lineRule="auto"/>
        <w:rPr>
          <w:rFonts w:ascii="Calibri" w:hAnsi="Calibri"/>
          <w:b/>
          <w:sz w:val="22"/>
          <w:lang w:val="en-US" w:eastAsia="en-AU"/>
        </w:rPr>
      </w:pPr>
    </w:p>
    <w:p w:rsidR="00A23EAD" w:rsidRPr="00A23EAD" w:rsidRDefault="00A23EAD" w:rsidP="00725574">
      <w:pPr>
        <w:pStyle w:val="TableTitlemain"/>
        <w:rPr>
          <w:lang w:eastAsia="en-AU"/>
        </w:rPr>
      </w:pPr>
      <w:r w:rsidRPr="00A23EAD">
        <w:rPr>
          <w:lang w:eastAsia="en-AU"/>
        </w:rPr>
        <w:t>Table 6</w:t>
      </w:r>
      <w:r w:rsidR="00725574">
        <w:rPr>
          <w:lang w:eastAsia="en-AU"/>
        </w:rPr>
        <w:tab/>
      </w:r>
      <w:r w:rsidRPr="00A23EAD">
        <w:rPr>
          <w:lang w:eastAsia="en-AU"/>
        </w:rPr>
        <w:t>Analysis of Demographics, Budget Outlays, Australian Parliaments – 2014-15</w:t>
      </w:r>
    </w:p>
    <w:tbl>
      <w:tblPr>
        <w:tblW w:w="141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336"/>
        <w:gridCol w:w="1150"/>
        <w:gridCol w:w="1182"/>
        <w:gridCol w:w="1368"/>
        <w:gridCol w:w="1205"/>
        <w:gridCol w:w="1322"/>
        <w:gridCol w:w="1368"/>
        <w:gridCol w:w="1194"/>
        <w:gridCol w:w="1368"/>
        <w:gridCol w:w="1194"/>
      </w:tblGrid>
      <w:tr w:rsidR="00A23EAD" w:rsidRPr="00A23EAD" w:rsidTr="00327CCC">
        <w:trPr>
          <w:trHeight w:val="480"/>
        </w:trPr>
        <w:tc>
          <w:tcPr>
            <w:tcW w:w="1488" w:type="dxa"/>
            <w:shd w:val="clear" w:color="auto" w:fill="D9D9D9" w:themeFill="background1" w:themeFillShade="D9"/>
            <w:vAlign w:val="center"/>
            <w:hideMark/>
          </w:tcPr>
          <w:p w:rsidR="00A23EAD" w:rsidRPr="00A23EAD" w:rsidRDefault="00A23EAD" w:rsidP="00A23EAD">
            <w:pPr>
              <w:spacing w:after="0"/>
              <w:jc w:val="center"/>
              <w:rPr>
                <w:rFonts w:eastAsia="Times New Roman"/>
                <w:b/>
                <w:color w:val="000000"/>
                <w:sz w:val="16"/>
                <w:szCs w:val="16"/>
                <w:lang w:eastAsia="en-AU"/>
              </w:rPr>
            </w:pPr>
            <w:r w:rsidRPr="00A23EAD">
              <w:rPr>
                <w:rFonts w:eastAsia="Times New Roman"/>
                <w:b/>
                <w:color w:val="000000"/>
                <w:sz w:val="16"/>
                <w:szCs w:val="16"/>
                <w:lang w:val="en-US" w:eastAsia="en-AU"/>
              </w:rPr>
              <w:t>Jurisdiction</w:t>
            </w:r>
          </w:p>
        </w:tc>
        <w:tc>
          <w:tcPr>
            <w:tcW w:w="1336" w:type="dxa"/>
            <w:shd w:val="clear" w:color="auto" w:fill="D9D9D9" w:themeFill="background1" w:themeFillShade="D9"/>
            <w:vAlign w:val="center"/>
            <w:hideMark/>
          </w:tcPr>
          <w:p w:rsidR="00A23EAD" w:rsidRPr="00A23EAD" w:rsidRDefault="00A23EAD" w:rsidP="00A23EAD">
            <w:pPr>
              <w:spacing w:after="0"/>
              <w:jc w:val="center"/>
              <w:rPr>
                <w:rFonts w:eastAsia="Times New Roman"/>
                <w:b/>
                <w:color w:val="000000"/>
                <w:sz w:val="16"/>
                <w:szCs w:val="16"/>
                <w:lang w:eastAsia="en-AU"/>
              </w:rPr>
            </w:pPr>
            <w:r w:rsidRPr="00A23EAD">
              <w:rPr>
                <w:rFonts w:eastAsia="Times New Roman"/>
                <w:b/>
                <w:color w:val="000000"/>
                <w:sz w:val="16"/>
                <w:szCs w:val="16"/>
                <w:lang w:val="en-US" w:eastAsia="en-AU"/>
              </w:rPr>
              <w:t xml:space="preserve">Number of Members </w:t>
            </w:r>
            <w:r w:rsidR="00E14D34">
              <w:rPr>
                <w:rFonts w:eastAsia="Times New Roman"/>
                <w:color w:val="000000"/>
                <w:sz w:val="16"/>
                <w:szCs w:val="16"/>
                <w:lang w:val="en-US" w:eastAsia="en-AU"/>
              </w:rPr>
              <w:t>(</w:t>
            </w:r>
            <w:r w:rsidRPr="00A23EAD">
              <w:rPr>
                <w:rFonts w:eastAsia="Times New Roman"/>
                <w:color w:val="000000"/>
                <w:sz w:val="16"/>
                <w:szCs w:val="16"/>
                <w:lang w:val="en-US" w:eastAsia="en-AU"/>
              </w:rPr>
              <w:t>Lower/Single Houses</w:t>
            </w:r>
            <w:r w:rsidR="00E14D34">
              <w:rPr>
                <w:rFonts w:eastAsia="Times New Roman"/>
                <w:color w:val="000000"/>
                <w:sz w:val="16"/>
                <w:szCs w:val="16"/>
                <w:lang w:val="en-US" w:eastAsia="en-AU"/>
              </w:rPr>
              <w:t>)</w:t>
            </w:r>
            <w:r w:rsidRPr="00A23EAD">
              <w:rPr>
                <w:rFonts w:eastAsia="Times New Roman"/>
                <w:b/>
                <w:color w:val="000000"/>
                <w:sz w:val="16"/>
                <w:szCs w:val="16"/>
                <w:lang w:val="en-US" w:eastAsia="en-AU"/>
              </w:rPr>
              <w:t xml:space="preserve"> </w:t>
            </w:r>
          </w:p>
        </w:tc>
        <w:tc>
          <w:tcPr>
            <w:tcW w:w="1150" w:type="dxa"/>
            <w:shd w:val="clear" w:color="auto" w:fill="D9D9D9" w:themeFill="background1" w:themeFillShade="D9"/>
            <w:vAlign w:val="center"/>
            <w:hideMark/>
          </w:tcPr>
          <w:p w:rsidR="00A23EAD" w:rsidRPr="00A23EAD" w:rsidRDefault="00A23EAD" w:rsidP="00A23EAD">
            <w:pPr>
              <w:spacing w:after="0"/>
              <w:jc w:val="center"/>
              <w:rPr>
                <w:rFonts w:eastAsia="Times New Roman"/>
                <w:b/>
                <w:color w:val="000000"/>
                <w:sz w:val="16"/>
                <w:szCs w:val="16"/>
                <w:lang w:val="en-US" w:eastAsia="en-AU"/>
              </w:rPr>
            </w:pPr>
            <w:r w:rsidRPr="00A23EAD">
              <w:rPr>
                <w:rFonts w:eastAsia="Times New Roman"/>
                <w:b/>
                <w:color w:val="000000"/>
                <w:sz w:val="16"/>
                <w:szCs w:val="16"/>
                <w:lang w:val="en-US" w:eastAsia="en-AU"/>
              </w:rPr>
              <w:t>Number of Members</w:t>
            </w:r>
          </w:p>
          <w:p w:rsidR="00A23EAD" w:rsidRPr="00A23EAD" w:rsidRDefault="00E14D34" w:rsidP="00A23EAD">
            <w:pPr>
              <w:spacing w:after="0"/>
              <w:jc w:val="center"/>
              <w:rPr>
                <w:rFonts w:eastAsia="Times New Roman"/>
                <w:color w:val="000000"/>
                <w:sz w:val="16"/>
                <w:szCs w:val="16"/>
                <w:lang w:eastAsia="en-AU"/>
              </w:rPr>
            </w:pPr>
            <w:r>
              <w:rPr>
                <w:rFonts w:eastAsia="Times New Roman"/>
                <w:color w:val="000000"/>
                <w:sz w:val="16"/>
                <w:szCs w:val="16"/>
                <w:lang w:val="en-US" w:eastAsia="en-AU"/>
              </w:rPr>
              <w:t>(</w:t>
            </w:r>
            <w:r w:rsidR="00A23EAD" w:rsidRPr="00A23EAD">
              <w:rPr>
                <w:rFonts w:eastAsia="Times New Roman"/>
                <w:color w:val="000000"/>
                <w:sz w:val="16"/>
                <w:szCs w:val="16"/>
                <w:lang w:val="en-US" w:eastAsia="en-AU"/>
              </w:rPr>
              <w:t>Total Parliament</w:t>
            </w:r>
            <w:r>
              <w:rPr>
                <w:rFonts w:eastAsia="Times New Roman"/>
                <w:color w:val="000000"/>
                <w:sz w:val="16"/>
                <w:szCs w:val="16"/>
                <w:lang w:val="en-US" w:eastAsia="en-AU"/>
              </w:rPr>
              <w:t>)</w:t>
            </w:r>
          </w:p>
        </w:tc>
        <w:tc>
          <w:tcPr>
            <w:tcW w:w="1182" w:type="dxa"/>
            <w:shd w:val="clear" w:color="auto" w:fill="D9D9D9" w:themeFill="background1" w:themeFillShade="D9"/>
            <w:vAlign w:val="center"/>
            <w:hideMark/>
          </w:tcPr>
          <w:p w:rsidR="00A23EAD" w:rsidRPr="00A23EAD" w:rsidRDefault="00A23EAD" w:rsidP="00A23EAD">
            <w:pPr>
              <w:spacing w:after="0"/>
              <w:jc w:val="center"/>
              <w:rPr>
                <w:rFonts w:eastAsia="Times New Roman"/>
                <w:b/>
                <w:color w:val="000000"/>
                <w:sz w:val="16"/>
                <w:szCs w:val="16"/>
                <w:lang w:eastAsia="en-AU"/>
              </w:rPr>
            </w:pPr>
            <w:r w:rsidRPr="00A23EAD">
              <w:rPr>
                <w:rFonts w:eastAsia="Times New Roman"/>
                <w:b/>
                <w:color w:val="000000"/>
                <w:sz w:val="16"/>
                <w:szCs w:val="16"/>
                <w:lang w:val="en-US" w:eastAsia="en-AU"/>
              </w:rPr>
              <w:t>Population</w:t>
            </w:r>
            <w:r w:rsidRPr="00A23EAD">
              <w:rPr>
                <w:rFonts w:eastAsia="Times New Roman"/>
                <w:b/>
                <w:color w:val="000000"/>
                <w:sz w:val="16"/>
                <w:szCs w:val="16"/>
                <w:lang w:val="en-US" w:eastAsia="en-AU"/>
              </w:rPr>
              <w:br/>
            </w:r>
            <w:r w:rsidRPr="00A23EAD">
              <w:rPr>
                <w:rFonts w:eastAsia="Times New Roman"/>
                <w:color w:val="000000"/>
                <w:sz w:val="16"/>
                <w:szCs w:val="16"/>
                <w:lang w:val="en-US" w:eastAsia="en-AU"/>
              </w:rPr>
              <w:t>(million)</w:t>
            </w:r>
            <w:r w:rsidR="00241A20">
              <w:rPr>
                <w:rStyle w:val="FootnoteReference"/>
                <w:rFonts w:eastAsia="Times New Roman"/>
                <w:color w:val="000000"/>
                <w:sz w:val="16"/>
                <w:szCs w:val="16"/>
                <w:lang w:val="en-US" w:eastAsia="en-AU"/>
              </w:rPr>
              <w:footnoteReference w:id="36"/>
            </w:r>
          </w:p>
        </w:tc>
        <w:tc>
          <w:tcPr>
            <w:tcW w:w="1368" w:type="dxa"/>
            <w:shd w:val="clear" w:color="auto" w:fill="D9D9D9" w:themeFill="background1" w:themeFillShade="D9"/>
            <w:vAlign w:val="center"/>
            <w:hideMark/>
          </w:tcPr>
          <w:p w:rsidR="00A23EAD" w:rsidRPr="00A23EAD" w:rsidRDefault="00A23EAD" w:rsidP="00A23EAD">
            <w:pPr>
              <w:spacing w:after="0"/>
              <w:jc w:val="center"/>
              <w:rPr>
                <w:rFonts w:eastAsia="Times New Roman"/>
                <w:b/>
                <w:color w:val="000000"/>
                <w:sz w:val="16"/>
                <w:szCs w:val="16"/>
                <w:lang w:eastAsia="en-AU"/>
              </w:rPr>
            </w:pPr>
            <w:r w:rsidRPr="00A23EAD">
              <w:rPr>
                <w:rFonts w:eastAsia="Times New Roman"/>
                <w:b/>
                <w:color w:val="000000"/>
                <w:sz w:val="16"/>
                <w:szCs w:val="16"/>
                <w:lang w:val="en-US" w:eastAsia="en-AU"/>
              </w:rPr>
              <w:t>Population per</w:t>
            </w:r>
            <w:r w:rsidRPr="00A23EAD">
              <w:rPr>
                <w:rFonts w:eastAsia="Times New Roman"/>
                <w:b/>
                <w:color w:val="000000"/>
                <w:sz w:val="16"/>
                <w:szCs w:val="16"/>
                <w:lang w:val="en-US" w:eastAsia="en-AU"/>
              </w:rPr>
              <w:br/>
              <w:t xml:space="preserve">Member </w:t>
            </w:r>
            <w:r w:rsidR="00E14D34">
              <w:rPr>
                <w:rFonts w:eastAsia="Times New Roman"/>
                <w:color w:val="000000"/>
                <w:sz w:val="16"/>
                <w:szCs w:val="16"/>
                <w:lang w:val="en-US" w:eastAsia="en-AU"/>
              </w:rPr>
              <w:t>(</w:t>
            </w:r>
            <w:r w:rsidRPr="00A23EAD">
              <w:rPr>
                <w:rFonts w:eastAsia="Times New Roman"/>
                <w:color w:val="000000"/>
                <w:sz w:val="16"/>
                <w:szCs w:val="16"/>
                <w:lang w:val="en-US" w:eastAsia="en-AU"/>
              </w:rPr>
              <w:t>Lower/Single House</w:t>
            </w:r>
            <w:r w:rsidR="00E14D34">
              <w:rPr>
                <w:rFonts w:eastAsia="Times New Roman"/>
                <w:color w:val="000000"/>
                <w:sz w:val="16"/>
                <w:szCs w:val="16"/>
                <w:lang w:val="en-US" w:eastAsia="en-AU"/>
              </w:rPr>
              <w:t>)</w:t>
            </w:r>
          </w:p>
        </w:tc>
        <w:tc>
          <w:tcPr>
            <w:tcW w:w="1205" w:type="dxa"/>
            <w:shd w:val="clear" w:color="auto" w:fill="D9D9D9" w:themeFill="background1" w:themeFillShade="D9"/>
            <w:vAlign w:val="center"/>
            <w:hideMark/>
          </w:tcPr>
          <w:p w:rsidR="00A23EAD" w:rsidRPr="00A23EAD" w:rsidRDefault="00A23EAD" w:rsidP="00A23EAD">
            <w:pPr>
              <w:spacing w:after="0"/>
              <w:jc w:val="center"/>
              <w:rPr>
                <w:rFonts w:eastAsia="Times New Roman"/>
                <w:b/>
                <w:color w:val="000000"/>
                <w:sz w:val="16"/>
                <w:szCs w:val="16"/>
                <w:lang w:eastAsia="en-AU"/>
              </w:rPr>
            </w:pPr>
            <w:r w:rsidRPr="00A23EAD">
              <w:rPr>
                <w:rFonts w:eastAsia="Times New Roman"/>
                <w:b/>
                <w:color w:val="000000"/>
                <w:sz w:val="16"/>
                <w:szCs w:val="16"/>
                <w:lang w:val="en-US" w:eastAsia="en-AU"/>
              </w:rPr>
              <w:t>Population per</w:t>
            </w:r>
            <w:r w:rsidRPr="00A23EAD">
              <w:rPr>
                <w:rFonts w:eastAsia="Times New Roman"/>
                <w:b/>
                <w:color w:val="000000"/>
                <w:sz w:val="16"/>
                <w:szCs w:val="16"/>
                <w:lang w:val="en-US" w:eastAsia="en-AU"/>
              </w:rPr>
              <w:br/>
              <w:t xml:space="preserve">Member </w:t>
            </w:r>
            <w:r w:rsidR="00E14D34">
              <w:rPr>
                <w:rFonts w:eastAsia="Times New Roman"/>
                <w:color w:val="000000"/>
                <w:sz w:val="16"/>
                <w:szCs w:val="16"/>
                <w:lang w:val="en-US" w:eastAsia="en-AU"/>
              </w:rPr>
              <w:t>(</w:t>
            </w:r>
            <w:r w:rsidRPr="00A23EAD">
              <w:rPr>
                <w:rFonts w:eastAsia="Times New Roman"/>
                <w:color w:val="000000"/>
                <w:sz w:val="16"/>
                <w:szCs w:val="16"/>
                <w:lang w:val="en-US" w:eastAsia="en-AU"/>
              </w:rPr>
              <w:t>Total Parliament</w:t>
            </w:r>
            <w:r w:rsidR="00E14D34">
              <w:rPr>
                <w:rFonts w:eastAsia="Times New Roman"/>
                <w:color w:val="000000"/>
                <w:sz w:val="16"/>
                <w:szCs w:val="16"/>
                <w:lang w:val="en-US" w:eastAsia="en-AU"/>
              </w:rPr>
              <w:t>)</w:t>
            </w:r>
          </w:p>
        </w:tc>
        <w:tc>
          <w:tcPr>
            <w:tcW w:w="1322" w:type="dxa"/>
            <w:shd w:val="clear" w:color="auto" w:fill="D9D9D9" w:themeFill="background1" w:themeFillShade="D9"/>
            <w:vAlign w:val="center"/>
            <w:hideMark/>
          </w:tcPr>
          <w:p w:rsidR="00A23EAD" w:rsidRPr="00A23EAD" w:rsidRDefault="00A23EAD" w:rsidP="00A23EAD">
            <w:pPr>
              <w:spacing w:after="0"/>
              <w:jc w:val="center"/>
              <w:rPr>
                <w:rFonts w:eastAsia="Times New Roman"/>
                <w:b/>
                <w:color w:val="000000"/>
                <w:sz w:val="16"/>
                <w:szCs w:val="16"/>
                <w:lang w:eastAsia="en-AU"/>
              </w:rPr>
            </w:pPr>
            <w:r w:rsidRPr="00A23EAD">
              <w:rPr>
                <w:rFonts w:eastAsia="Times New Roman"/>
                <w:b/>
                <w:color w:val="000000"/>
                <w:sz w:val="16"/>
                <w:szCs w:val="16"/>
                <w:lang w:val="en-US" w:eastAsia="en-AU"/>
              </w:rPr>
              <w:t>General Government Revenue</w:t>
            </w:r>
            <w:r w:rsidRPr="00A23EAD">
              <w:rPr>
                <w:rFonts w:eastAsia="Times New Roman"/>
                <w:b/>
                <w:color w:val="000000"/>
                <w:sz w:val="16"/>
                <w:szCs w:val="16"/>
                <w:lang w:val="en-US" w:eastAsia="en-AU"/>
              </w:rPr>
              <w:br/>
            </w:r>
            <w:r w:rsidRPr="00A23EAD">
              <w:rPr>
                <w:rFonts w:eastAsia="Times New Roman"/>
                <w:color w:val="000000"/>
                <w:sz w:val="16"/>
                <w:szCs w:val="16"/>
                <w:lang w:val="en-US" w:eastAsia="en-AU"/>
              </w:rPr>
              <w:t>($ billion)</w:t>
            </w:r>
            <w:r w:rsidR="00241A20">
              <w:rPr>
                <w:rStyle w:val="FootnoteReference"/>
                <w:rFonts w:eastAsia="Times New Roman"/>
                <w:color w:val="000000"/>
                <w:sz w:val="16"/>
                <w:szCs w:val="16"/>
                <w:lang w:val="en-US" w:eastAsia="en-AU"/>
              </w:rPr>
              <w:footnoteReference w:id="37"/>
            </w:r>
          </w:p>
        </w:tc>
        <w:tc>
          <w:tcPr>
            <w:tcW w:w="1368" w:type="dxa"/>
            <w:shd w:val="clear" w:color="auto" w:fill="D9D9D9" w:themeFill="background1" w:themeFillShade="D9"/>
            <w:vAlign w:val="center"/>
            <w:hideMark/>
          </w:tcPr>
          <w:p w:rsidR="00A23EAD" w:rsidRPr="00A23EAD" w:rsidRDefault="00A23EAD" w:rsidP="00A23EAD">
            <w:pPr>
              <w:spacing w:after="0"/>
              <w:jc w:val="center"/>
              <w:rPr>
                <w:rFonts w:eastAsia="Times New Roman"/>
                <w:b/>
                <w:color w:val="000000"/>
                <w:sz w:val="16"/>
                <w:szCs w:val="16"/>
                <w:lang w:eastAsia="en-AU"/>
              </w:rPr>
            </w:pPr>
            <w:r w:rsidRPr="00A23EAD">
              <w:rPr>
                <w:rFonts w:eastAsia="Times New Roman"/>
                <w:b/>
                <w:color w:val="000000"/>
                <w:sz w:val="16"/>
                <w:szCs w:val="16"/>
                <w:lang w:val="en-US" w:eastAsia="en-AU"/>
              </w:rPr>
              <w:t>Revenue per</w:t>
            </w:r>
            <w:r w:rsidRPr="00A23EAD">
              <w:rPr>
                <w:rFonts w:eastAsia="Times New Roman"/>
                <w:b/>
                <w:color w:val="000000"/>
                <w:sz w:val="16"/>
                <w:szCs w:val="16"/>
                <w:lang w:val="en-US" w:eastAsia="en-AU"/>
              </w:rPr>
              <w:br/>
              <w:t xml:space="preserve">Member </w:t>
            </w:r>
            <w:r w:rsidR="00E14D34">
              <w:rPr>
                <w:rFonts w:eastAsia="Times New Roman"/>
                <w:color w:val="000000"/>
                <w:sz w:val="16"/>
                <w:szCs w:val="16"/>
                <w:lang w:val="en-US" w:eastAsia="en-AU"/>
              </w:rPr>
              <w:t>(</w:t>
            </w:r>
            <w:r w:rsidRPr="00A23EAD">
              <w:rPr>
                <w:rFonts w:eastAsia="Times New Roman"/>
                <w:color w:val="000000"/>
                <w:sz w:val="16"/>
                <w:szCs w:val="16"/>
                <w:lang w:val="en-US" w:eastAsia="en-AU"/>
              </w:rPr>
              <w:t>Lower/Single House</w:t>
            </w:r>
            <w:r w:rsidR="00E14D34">
              <w:rPr>
                <w:rFonts w:eastAsia="Times New Roman"/>
                <w:color w:val="000000"/>
                <w:sz w:val="16"/>
                <w:szCs w:val="16"/>
                <w:lang w:val="en-US" w:eastAsia="en-AU"/>
              </w:rPr>
              <w:t>)</w:t>
            </w:r>
          </w:p>
        </w:tc>
        <w:tc>
          <w:tcPr>
            <w:tcW w:w="1194" w:type="dxa"/>
            <w:shd w:val="clear" w:color="auto" w:fill="D9D9D9" w:themeFill="background1" w:themeFillShade="D9"/>
            <w:vAlign w:val="center"/>
            <w:hideMark/>
          </w:tcPr>
          <w:p w:rsidR="00A23EAD" w:rsidRPr="00A23EAD" w:rsidRDefault="00A23EAD" w:rsidP="00A23EAD">
            <w:pPr>
              <w:spacing w:after="0"/>
              <w:jc w:val="center"/>
              <w:rPr>
                <w:rFonts w:eastAsia="Times New Roman"/>
                <w:b/>
                <w:color w:val="000000"/>
                <w:sz w:val="16"/>
                <w:szCs w:val="16"/>
                <w:lang w:eastAsia="en-AU"/>
              </w:rPr>
            </w:pPr>
            <w:r w:rsidRPr="00A23EAD">
              <w:rPr>
                <w:rFonts w:eastAsia="Times New Roman"/>
                <w:b/>
                <w:color w:val="000000"/>
                <w:sz w:val="16"/>
                <w:szCs w:val="16"/>
                <w:lang w:val="en-US" w:eastAsia="en-AU"/>
              </w:rPr>
              <w:t>Revenue per</w:t>
            </w:r>
            <w:r w:rsidRPr="00A23EAD">
              <w:rPr>
                <w:rFonts w:eastAsia="Times New Roman"/>
                <w:b/>
                <w:color w:val="000000"/>
                <w:sz w:val="16"/>
                <w:szCs w:val="16"/>
                <w:lang w:val="en-US" w:eastAsia="en-AU"/>
              </w:rPr>
              <w:br/>
              <w:t xml:space="preserve">Member </w:t>
            </w:r>
            <w:r w:rsidR="00E14D34">
              <w:rPr>
                <w:rFonts w:eastAsia="Times New Roman"/>
                <w:color w:val="000000"/>
                <w:sz w:val="16"/>
                <w:szCs w:val="16"/>
                <w:lang w:val="en-US" w:eastAsia="en-AU"/>
              </w:rPr>
              <w:t>(</w:t>
            </w:r>
            <w:r w:rsidRPr="00A23EAD">
              <w:rPr>
                <w:rFonts w:eastAsia="Times New Roman"/>
                <w:color w:val="000000"/>
                <w:sz w:val="16"/>
                <w:szCs w:val="16"/>
                <w:lang w:val="en-US" w:eastAsia="en-AU"/>
              </w:rPr>
              <w:t>Total Parliament</w:t>
            </w:r>
            <w:r w:rsidR="00E14D34">
              <w:rPr>
                <w:rFonts w:eastAsia="Times New Roman"/>
                <w:color w:val="000000"/>
                <w:sz w:val="16"/>
                <w:szCs w:val="16"/>
                <w:lang w:val="en-US" w:eastAsia="en-AU"/>
              </w:rPr>
              <w:t>)</w:t>
            </w:r>
          </w:p>
        </w:tc>
        <w:tc>
          <w:tcPr>
            <w:tcW w:w="1368" w:type="dxa"/>
            <w:shd w:val="clear" w:color="auto" w:fill="D9D9D9" w:themeFill="background1" w:themeFillShade="D9"/>
            <w:vAlign w:val="center"/>
            <w:hideMark/>
          </w:tcPr>
          <w:p w:rsidR="00A23EAD" w:rsidRPr="00A23EAD" w:rsidRDefault="00A23EAD" w:rsidP="00A23EAD">
            <w:pPr>
              <w:spacing w:after="0"/>
              <w:jc w:val="center"/>
              <w:rPr>
                <w:rFonts w:eastAsia="Times New Roman"/>
                <w:b/>
                <w:color w:val="000000"/>
                <w:sz w:val="16"/>
                <w:szCs w:val="16"/>
                <w:lang w:eastAsia="en-AU"/>
              </w:rPr>
            </w:pPr>
            <w:r w:rsidRPr="00A23EAD">
              <w:rPr>
                <w:rFonts w:eastAsia="Times New Roman"/>
                <w:b/>
                <w:color w:val="000000"/>
                <w:sz w:val="16"/>
                <w:szCs w:val="16"/>
                <w:lang w:val="en-US" w:eastAsia="en-AU"/>
              </w:rPr>
              <w:t>Index</w:t>
            </w:r>
            <w:r w:rsidR="00241A20">
              <w:rPr>
                <w:rStyle w:val="FootnoteReference"/>
                <w:rFonts w:eastAsia="Times New Roman"/>
                <w:b/>
                <w:color w:val="000000"/>
                <w:sz w:val="16"/>
                <w:szCs w:val="16"/>
                <w:lang w:val="en-US" w:eastAsia="en-AU"/>
              </w:rPr>
              <w:footnoteReference w:id="38"/>
            </w:r>
            <w:r w:rsidRPr="00A23EAD">
              <w:rPr>
                <w:rFonts w:eastAsia="Times New Roman"/>
                <w:b/>
                <w:color w:val="000000"/>
                <w:sz w:val="16"/>
                <w:szCs w:val="16"/>
                <w:lang w:val="en-US" w:eastAsia="en-AU"/>
              </w:rPr>
              <w:t xml:space="preserve"> </w:t>
            </w:r>
            <w:r w:rsidR="00E14D34">
              <w:rPr>
                <w:rFonts w:eastAsia="Times New Roman"/>
                <w:color w:val="000000"/>
                <w:sz w:val="16"/>
                <w:szCs w:val="16"/>
                <w:lang w:val="en-US" w:eastAsia="en-AU"/>
              </w:rPr>
              <w:t>(</w:t>
            </w:r>
            <w:r w:rsidRPr="00A23EAD">
              <w:rPr>
                <w:rFonts w:eastAsia="Times New Roman"/>
                <w:color w:val="000000"/>
                <w:sz w:val="16"/>
                <w:szCs w:val="16"/>
                <w:lang w:val="en-US" w:eastAsia="en-AU"/>
              </w:rPr>
              <w:t>Lower/Single House</w:t>
            </w:r>
            <w:r w:rsidR="00E14D34">
              <w:rPr>
                <w:rFonts w:eastAsia="Times New Roman"/>
                <w:color w:val="000000"/>
                <w:sz w:val="16"/>
                <w:szCs w:val="16"/>
                <w:lang w:val="en-US" w:eastAsia="en-AU"/>
              </w:rPr>
              <w:t>)</w:t>
            </w:r>
          </w:p>
        </w:tc>
        <w:tc>
          <w:tcPr>
            <w:tcW w:w="1194" w:type="dxa"/>
            <w:shd w:val="clear" w:color="auto" w:fill="D9D9D9" w:themeFill="background1" w:themeFillShade="D9"/>
            <w:vAlign w:val="center"/>
            <w:hideMark/>
          </w:tcPr>
          <w:p w:rsidR="00A23EAD" w:rsidRPr="00A23EAD" w:rsidRDefault="00A23EAD" w:rsidP="00A23EAD">
            <w:pPr>
              <w:spacing w:after="0"/>
              <w:jc w:val="center"/>
              <w:rPr>
                <w:rFonts w:eastAsia="Times New Roman"/>
                <w:b/>
                <w:color w:val="000000"/>
                <w:sz w:val="16"/>
                <w:szCs w:val="16"/>
                <w:lang w:eastAsia="en-AU"/>
              </w:rPr>
            </w:pPr>
            <w:r w:rsidRPr="00A23EAD">
              <w:rPr>
                <w:rFonts w:eastAsia="Times New Roman"/>
                <w:b/>
                <w:color w:val="000000"/>
                <w:sz w:val="16"/>
                <w:szCs w:val="16"/>
                <w:lang w:val="en-US" w:eastAsia="en-AU"/>
              </w:rPr>
              <w:t xml:space="preserve">Index </w:t>
            </w:r>
            <w:r w:rsidRPr="00A23EAD">
              <w:rPr>
                <w:rFonts w:eastAsia="Times New Roman"/>
                <w:b/>
                <w:color w:val="000000"/>
                <w:sz w:val="16"/>
                <w:szCs w:val="16"/>
                <w:lang w:val="en-US" w:eastAsia="en-AU"/>
              </w:rPr>
              <w:br/>
            </w:r>
            <w:r w:rsidR="00E14D34">
              <w:rPr>
                <w:rFonts w:eastAsia="Times New Roman"/>
                <w:color w:val="000000"/>
                <w:sz w:val="16"/>
                <w:szCs w:val="16"/>
                <w:lang w:val="en-US" w:eastAsia="en-AU"/>
              </w:rPr>
              <w:t>(</w:t>
            </w:r>
            <w:r w:rsidRPr="00A23EAD">
              <w:rPr>
                <w:rFonts w:eastAsia="Times New Roman"/>
                <w:color w:val="000000"/>
                <w:sz w:val="16"/>
                <w:szCs w:val="16"/>
                <w:lang w:val="en-US" w:eastAsia="en-AU"/>
              </w:rPr>
              <w:t>Total Parliament</w:t>
            </w:r>
            <w:r w:rsidR="00E14D34">
              <w:rPr>
                <w:rFonts w:eastAsia="Times New Roman"/>
                <w:color w:val="000000"/>
                <w:sz w:val="16"/>
                <w:szCs w:val="16"/>
                <w:lang w:val="en-US" w:eastAsia="en-AU"/>
              </w:rPr>
              <w:t>)</w:t>
            </w:r>
          </w:p>
        </w:tc>
      </w:tr>
      <w:tr w:rsidR="00A23EAD" w:rsidRPr="00A23EAD" w:rsidTr="00327CCC">
        <w:trPr>
          <w:trHeight w:val="315"/>
        </w:trPr>
        <w:tc>
          <w:tcPr>
            <w:tcW w:w="1488" w:type="dxa"/>
            <w:shd w:val="clear" w:color="auto" w:fill="auto"/>
            <w:vAlign w:val="center"/>
            <w:hideMark/>
          </w:tcPr>
          <w:p w:rsidR="00A23EAD" w:rsidRPr="00A23EAD" w:rsidRDefault="00A23EAD" w:rsidP="00A23EAD">
            <w:pPr>
              <w:spacing w:after="0"/>
              <w:rPr>
                <w:rFonts w:eastAsia="Times New Roman"/>
                <w:color w:val="000000"/>
                <w:sz w:val="16"/>
                <w:szCs w:val="16"/>
                <w:lang w:eastAsia="en-AU"/>
              </w:rPr>
            </w:pPr>
            <w:r w:rsidRPr="00A23EAD">
              <w:rPr>
                <w:rFonts w:eastAsia="Times New Roman"/>
                <w:color w:val="000000"/>
                <w:sz w:val="16"/>
                <w:szCs w:val="16"/>
                <w:lang w:val="en-US" w:eastAsia="en-AU"/>
              </w:rPr>
              <w:t>Commonwealth</w:t>
            </w:r>
          </w:p>
        </w:tc>
        <w:tc>
          <w:tcPr>
            <w:tcW w:w="1336"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150</w:t>
            </w:r>
          </w:p>
        </w:tc>
        <w:tc>
          <w:tcPr>
            <w:tcW w:w="1150"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226</w:t>
            </w:r>
          </w:p>
        </w:tc>
        <w:tc>
          <w:tcPr>
            <w:tcW w:w="1182"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23.714</w:t>
            </w:r>
          </w:p>
        </w:tc>
        <w:tc>
          <w:tcPr>
            <w:tcW w:w="1368"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158,093</w:t>
            </w:r>
          </w:p>
        </w:tc>
        <w:tc>
          <w:tcPr>
            <w:tcW w:w="1205"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104,929</w:t>
            </w:r>
          </w:p>
        </w:tc>
        <w:tc>
          <w:tcPr>
            <w:tcW w:w="1322" w:type="dxa"/>
            <w:shd w:val="clear" w:color="auto" w:fill="auto"/>
            <w:vAlign w:val="center"/>
            <w:hideMark/>
          </w:tcPr>
          <w:p w:rsidR="00A23EAD" w:rsidRPr="0054367F" w:rsidRDefault="00A23EAD" w:rsidP="00A23EAD">
            <w:pPr>
              <w:spacing w:after="0"/>
              <w:jc w:val="center"/>
              <w:rPr>
                <w:rFonts w:eastAsia="Times New Roman"/>
                <w:color w:val="000000"/>
                <w:sz w:val="16"/>
                <w:szCs w:val="16"/>
                <w:lang w:eastAsia="en-AU"/>
              </w:rPr>
            </w:pPr>
            <w:r w:rsidRPr="0054367F">
              <w:rPr>
                <w:rFonts w:eastAsia="Times New Roman"/>
                <w:color w:val="000000"/>
                <w:sz w:val="16"/>
                <w:szCs w:val="16"/>
                <w:lang w:val="en-US" w:eastAsia="en-AU"/>
              </w:rPr>
              <w:t>377.3</w:t>
            </w:r>
          </w:p>
        </w:tc>
        <w:tc>
          <w:tcPr>
            <w:tcW w:w="1368"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2,515</w:t>
            </w:r>
          </w:p>
        </w:tc>
        <w:tc>
          <w:tcPr>
            <w:tcW w:w="1194"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eastAsia="en-AU"/>
              </w:rPr>
              <w:t>1,669</w:t>
            </w:r>
          </w:p>
        </w:tc>
        <w:tc>
          <w:tcPr>
            <w:tcW w:w="1368" w:type="dxa"/>
            <w:shd w:val="clear" w:color="auto" w:fill="F2F2F2" w:themeFill="background1" w:themeFillShade="F2"/>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397.66</w:t>
            </w:r>
          </w:p>
        </w:tc>
        <w:tc>
          <w:tcPr>
            <w:tcW w:w="1194" w:type="dxa"/>
            <w:shd w:val="clear" w:color="auto" w:fill="F2F2F2" w:themeFill="background1" w:themeFillShade="F2"/>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175.18</w:t>
            </w:r>
          </w:p>
        </w:tc>
      </w:tr>
      <w:tr w:rsidR="00A23EAD" w:rsidRPr="00A23EAD" w:rsidTr="00327CCC">
        <w:trPr>
          <w:trHeight w:val="315"/>
        </w:trPr>
        <w:tc>
          <w:tcPr>
            <w:tcW w:w="1488" w:type="dxa"/>
            <w:shd w:val="clear" w:color="auto" w:fill="auto"/>
            <w:vAlign w:val="center"/>
            <w:hideMark/>
          </w:tcPr>
          <w:p w:rsidR="00A23EAD" w:rsidRPr="00A23EAD" w:rsidRDefault="00A23EAD" w:rsidP="00A23EAD">
            <w:pPr>
              <w:spacing w:after="0"/>
              <w:rPr>
                <w:rFonts w:eastAsia="Times New Roman"/>
                <w:color w:val="000000"/>
                <w:sz w:val="16"/>
                <w:szCs w:val="16"/>
                <w:lang w:eastAsia="en-AU"/>
              </w:rPr>
            </w:pPr>
            <w:r w:rsidRPr="00A23EAD">
              <w:rPr>
                <w:rFonts w:eastAsia="Times New Roman"/>
                <w:color w:val="000000"/>
                <w:sz w:val="16"/>
                <w:szCs w:val="16"/>
                <w:lang w:val="en-US" w:eastAsia="en-AU"/>
              </w:rPr>
              <w:t>ACT</w:t>
            </w:r>
          </w:p>
        </w:tc>
        <w:tc>
          <w:tcPr>
            <w:tcW w:w="1336"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17</w:t>
            </w:r>
          </w:p>
        </w:tc>
        <w:tc>
          <w:tcPr>
            <w:tcW w:w="1150"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17</w:t>
            </w:r>
          </w:p>
        </w:tc>
        <w:tc>
          <w:tcPr>
            <w:tcW w:w="1182"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0.39</w:t>
            </w:r>
          </w:p>
        </w:tc>
        <w:tc>
          <w:tcPr>
            <w:tcW w:w="1368"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22,941</w:t>
            </w:r>
          </w:p>
        </w:tc>
        <w:tc>
          <w:tcPr>
            <w:tcW w:w="1205"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22,941</w:t>
            </w:r>
          </w:p>
        </w:tc>
        <w:tc>
          <w:tcPr>
            <w:tcW w:w="1322" w:type="dxa"/>
            <w:shd w:val="clear" w:color="auto" w:fill="auto"/>
            <w:vAlign w:val="center"/>
            <w:hideMark/>
          </w:tcPr>
          <w:p w:rsidR="00A23EAD" w:rsidRPr="0054367F" w:rsidRDefault="00A23EAD" w:rsidP="00A23EAD">
            <w:pPr>
              <w:spacing w:after="0"/>
              <w:jc w:val="center"/>
              <w:rPr>
                <w:rFonts w:eastAsia="Times New Roman"/>
                <w:color w:val="000000"/>
                <w:sz w:val="16"/>
                <w:szCs w:val="16"/>
                <w:lang w:eastAsia="en-AU"/>
              </w:rPr>
            </w:pPr>
            <w:r w:rsidRPr="0054367F">
              <w:rPr>
                <w:rFonts w:eastAsia="Times New Roman"/>
                <w:color w:val="000000"/>
                <w:sz w:val="16"/>
                <w:szCs w:val="16"/>
                <w:lang w:val="en-US" w:eastAsia="en-AU"/>
              </w:rPr>
              <w:t>4.5</w:t>
            </w:r>
          </w:p>
        </w:tc>
        <w:tc>
          <w:tcPr>
            <w:tcW w:w="1368"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264</w:t>
            </w:r>
          </w:p>
        </w:tc>
        <w:tc>
          <w:tcPr>
            <w:tcW w:w="1194"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eastAsia="en-AU"/>
              </w:rPr>
              <w:t>264</w:t>
            </w:r>
          </w:p>
        </w:tc>
        <w:tc>
          <w:tcPr>
            <w:tcW w:w="1368" w:type="dxa"/>
            <w:shd w:val="clear" w:color="auto" w:fill="F2F2F2" w:themeFill="background1" w:themeFillShade="F2"/>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6.06</w:t>
            </w:r>
          </w:p>
        </w:tc>
        <w:tc>
          <w:tcPr>
            <w:tcW w:w="1194" w:type="dxa"/>
            <w:shd w:val="clear" w:color="auto" w:fill="F2F2F2" w:themeFill="background1" w:themeFillShade="F2"/>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6.06</w:t>
            </w:r>
          </w:p>
        </w:tc>
      </w:tr>
      <w:tr w:rsidR="00A23EAD" w:rsidRPr="00A23EAD" w:rsidTr="00327CCC">
        <w:trPr>
          <w:trHeight w:val="315"/>
        </w:trPr>
        <w:tc>
          <w:tcPr>
            <w:tcW w:w="1488" w:type="dxa"/>
            <w:shd w:val="clear" w:color="auto" w:fill="auto"/>
            <w:vAlign w:val="center"/>
            <w:hideMark/>
          </w:tcPr>
          <w:p w:rsidR="00A23EAD" w:rsidRPr="00A23EAD" w:rsidRDefault="00A23EAD" w:rsidP="00A23EAD">
            <w:pPr>
              <w:spacing w:after="0"/>
              <w:rPr>
                <w:rFonts w:eastAsia="Times New Roman"/>
                <w:color w:val="000000"/>
                <w:sz w:val="16"/>
                <w:szCs w:val="16"/>
                <w:lang w:eastAsia="en-AU"/>
              </w:rPr>
            </w:pPr>
            <w:r w:rsidRPr="00A23EAD">
              <w:rPr>
                <w:rFonts w:eastAsia="Times New Roman"/>
                <w:color w:val="000000"/>
                <w:sz w:val="16"/>
                <w:szCs w:val="16"/>
                <w:lang w:val="en-US" w:eastAsia="en-AU"/>
              </w:rPr>
              <w:t>NSW</w:t>
            </w:r>
          </w:p>
        </w:tc>
        <w:tc>
          <w:tcPr>
            <w:tcW w:w="1336"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93</w:t>
            </w:r>
          </w:p>
        </w:tc>
        <w:tc>
          <w:tcPr>
            <w:tcW w:w="1150"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135</w:t>
            </w:r>
          </w:p>
        </w:tc>
        <w:tc>
          <w:tcPr>
            <w:tcW w:w="1182"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7.597</w:t>
            </w:r>
          </w:p>
        </w:tc>
        <w:tc>
          <w:tcPr>
            <w:tcW w:w="1368"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81,688</w:t>
            </w:r>
          </w:p>
        </w:tc>
        <w:tc>
          <w:tcPr>
            <w:tcW w:w="1205"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56,274</w:t>
            </w:r>
          </w:p>
        </w:tc>
        <w:tc>
          <w:tcPr>
            <w:tcW w:w="1322" w:type="dxa"/>
            <w:shd w:val="clear" w:color="auto" w:fill="auto"/>
            <w:vAlign w:val="center"/>
            <w:hideMark/>
          </w:tcPr>
          <w:p w:rsidR="00A23EAD" w:rsidRPr="0054367F" w:rsidRDefault="00A23EAD" w:rsidP="00A23EAD">
            <w:pPr>
              <w:spacing w:after="0"/>
              <w:jc w:val="center"/>
              <w:rPr>
                <w:rFonts w:eastAsia="Times New Roman"/>
                <w:color w:val="000000"/>
                <w:sz w:val="16"/>
                <w:szCs w:val="16"/>
                <w:lang w:eastAsia="en-AU"/>
              </w:rPr>
            </w:pPr>
            <w:r w:rsidRPr="0054367F">
              <w:rPr>
                <w:rFonts w:eastAsia="Times New Roman"/>
                <w:color w:val="000000"/>
                <w:sz w:val="16"/>
                <w:szCs w:val="16"/>
                <w:lang w:val="en-US" w:eastAsia="en-AU"/>
              </w:rPr>
              <w:t>69.1</w:t>
            </w:r>
          </w:p>
        </w:tc>
        <w:tc>
          <w:tcPr>
            <w:tcW w:w="1368"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743</w:t>
            </w:r>
          </w:p>
        </w:tc>
        <w:tc>
          <w:tcPr>
            <w:tcW w:w="1194"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eastAsia="en-AU"/>
              </w:rPr>
              <w:t>512</w:t>
            </w:r>
          </w:p>
        </w:tc>
        <w:tc>
          <w:tcPr>
            <w:tcW w:w="1368" w:type="dxa"/>
            <w:shd w:val="clear" w:color="auto" w:fill="F2F2F2" w:themeFill="background1" w:themeFillShade="F2"/>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60.73</w:t>
            </w:r>
          </w:p>
        </w:tc>
        <w:tc>
          <w:tcPr>
            <w:tcW w:w="1194" w:type="dxa"/>
            <w:shd w:val="clear" w:color="auto" w:fill="F2F2F2" w:themeFill="background1" w:themeFillShade="F2"/>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28.82</w:t>
            </w:r>
          </w:p>
        </w:tc>
      </w:tr>
      <w:tr w:rsidR="00A23EAD" w:rsidRPr="00A23EAD" w:rsidTr="00327CCC">
        <w:trPr>
          <w:trHeight w:val="615"/>
        </w:trPr>
        <w:tc>
          <w:tcPr>
            <w:tcW w:w="1488" w:type="dxa"/>
            <w:shd w:val="clear" w:color="auto" w:fill="auto"/>
            <w:vAlign w:val="center"/>
            <w:hideMark/>
          </w:tcPr>
          <w:p w:rsidR="00A23EAD" w:rsidRPr="00A23EAD" w:rsidRDefault="00A23EAD" w:rsidP="00A23EAD">
            <w:pPr>
              <w:spacing w:after="0"/>
              <w:rPr>
                <w:rFonts w:eastAsia="Times New Roman"/>
                <w:color w:val="000000"/>
                <w:sz w:val="16"/>
                <w:szCs w:val="16"/>
                <w:lang w:eastAsia="en-AU"/>
              </w:rPr>
            </w:pPr>
            <w:r w:rsidRPr="00A23EAD">
              <w:rPr>
                <w:rFonts w:eastAsia="Times New Roman"/>
                <w:color w:val="000000"/>
                <w:sz w:val="16"/>
                <w:szCs w:val="16"/>
                <w:lang w:val="en-US" w:eastAsia="en-AU"/>
              </w:rPr>
              <w:t>Northern Territory</w:t>
            </w:r>
          </w:p>
        </w:tc>
        <w:tc>
          <w:tcPr>
            <w:tcW w:w="1336"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25</w:t>
            </w:r>
          </w:p>
        </w:tc>
        <w:tc>
          <w:tcPr>
            <w:tcW w:w="1150"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25</w:t>
            </w:r>
          </w:p>
        </w:tc>
        <w:tc>
          <w:tcPr>
            <w:tcW w:w="1182"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0.244</w:t>
            </w:r>
          </w:p>
        </w:tc>
        <w:tc>
          <w:tcPr>
            <w:tcW w:w="1368"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9,760</w:t>
            </w:r>
          </w:p>
        </w:tc>
        <w:tc>
          <w:tcPr>
            <w:tcW w:w="1205"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9,760</w:t>
            </w:r>
          </w:p>
        </w:tc>
        <w:tc>
          <w:tcPr>
            <w:tcW w:w="1322" w:type="dxa"/>
            <w:shd w:val="clear" w:color="auto" w:fill="auto"/>
            <w:vAlign w:val="center"/>
            <w:hideMark/>
          </w:tcPr>
          <w:p w:rsidR="00A23EAD" w:rsidRPr="0054367F" w:rsidRDefault="00A23EAD" w:rsidP="00A23EAD">
            <w:pPr>
              <w:spacing w:after="0"/>
              <w:jc w:val="center"/>
              <w:rPr>
                <w:rFonts w:eastAsia="Times New Roman"/>
                <w:color w:val="000000"/>
                <w:sz w:val="16"/>
                <w:szCs w:val="16"/>
                <w:lang w:eastAsia="en-AU"/>
              </w:rPr>
            </w:pPr>
            <w:r w:rsidRPr="0054367F">
              <w:rPr>
                <w:rFonts w:eastAsia="Times New Roman"/>
                <w:color w:val="000000"/>
                <w:sz w:val="16"/>
                <w:szCs w:val="16"/>
                <w:lang w:val="en-US" w:eastAsia="en-AU"/>
              </w:rPr>
              <w:t>6.9</w:t>
            </w:r>
          </w:p>
        </w:tc>
        <w:tc>
          <w:tcPr>
            <w:tcW w:w="1368"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275</w:t>
            </w:r>
          </w:p>
        </w:tc>
        <w:tc>
          <w:tcPr>
            <w:tcW w:w="1194"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eastAsia="en-AU"/>
              </w:rPr>
              <w:t>275</w:t>
            </w:r>
          </w:p>
        </w:tc>
        <w:tc>
          <w:tcPr>
            <w:tcW w:w="1368" w:type="dxa"/>
            <w:shd w:val="clear" w:color="auto" w:fill="F2F2F2" w:themeFill="background1" w:themeFillShade="F2"/>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2.68</w:t>
            </w:r>
          </w:p>
        </w:tc>
        <w:tc>
          <w:tcPr>
            <w:tcW w:w="1194" w:type="dxa"/>
            <w:shd w:val="clear" w:color="auto" w:fill="F2F2F2" w:themeFill="background1" w:themeFillShade="F2"/>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2.68</w:t>
            </w:r>
          </w:p>
        </w:tc>
      </w:tr>
      <w:tr w:rsidR="00A23EAD" w:rsidRPr="00A23EAD" w:rsidTr="00327CCC">
        <w:trPr>
          <w:trHeight w:val="315"/>
        </w:trPr>
        <w:tc>
          <w:tcPr>
            <w:tcW w:w="1488" w:type="dxa"/>
            <w:shd w:val="clear" w:color="auto" w:fill="auto"/>
            <w:vAlign w:val="center"/>
            <w:hideMark/>
          </w:tcPr>
          <w:p w:rsidR="00A23EAD" w:rsidRPr="00A23EAD" w:rsidRDefault="00A23EAD" w:rsidP="00A23EAD">
            <w:pPr>
              <w:spacing w:after="0"/>
              <w:rPr>
                <w:rFonts w:eastAsia="Times New Roman"/>
                <w:color w:val="000000"/>
                <w:sz w:val="16"/>
                <w:szCs w:val="16"/>
                <w:lang w:eastAsia="en-AU"/>
              </w:rPr>
            </w:pPr>
            <w:r w:rsidRPr="00A23EAD">
              <w:rPr>
                <w:rFonts w:eastAsia="Times New Roman"/>
                <w:color w:val="000000"/>
                <w:sz w:val="16"/>
                <w:szCs w:val="16"/>
                <w:lang w:val="en-US" w:eastAsia="en-AU"/>
              </w:rPr>
              <w:t>Queensland</w:t>
            </w:r>
          </w:p>
        </w:tc>
        <w:tc>
          <w:tcPr>
            <w:tcW w:w="1336"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89</w:t>
            </w:r>
          </w:p>
        </w:tc>
        <w:tc>
          <w:tcPr>
            <w:tcW w:w="1150"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89</w:t>
            </w:r>
          </w:p>
        </w:tc>
        <w:tc>
          <w:tcPr>
            <w:tcW w:w="1182"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4.767</w:t>
            </w:r>
          </w:p>
        </w:tc>
        <w:tc>
          <w:tcPr>
            <w:tcW w:w="1368"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53,562</w:t>
            </w:r>
          </w:p>
        </w:tc>
        <w:tc>
          <w:tcPr>
            <w:tcW w:w="1205"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53,562</w:t>
            </w:r>
          </w:p>
        </w:tc>
        <w:tc>
          <w:tcPr>
            <w:tcW w:w="1322" w:type="dxa"/>
            <w:shd w:val="clear" w:color="auto" w:fill="auto"/>
            <w:vAlign w:val="center"/>
            <w:hideMark/>
          </w:tcPr>
          <w:p w:rsidR="00A23EAD" w:rsidRPr="0054367F" w:rsidRDefault="00A23EAD" w:rsidP="00A23EAD">
            <w:pPr>
              <w:spacing w:after="0"/>
              <w:jc w:val="center"/>
              <w:rPr>
                <w:rFonts w:eastAsia="Times New Roman"/>
                <w:color w:val="000000"/>
                <w:sz w:val="16"/>
                <w:szCs w:val="16"/>
                <w:lang w:eastAsia="en-AU"/>
              </w:rPr>
            </w:pPr>
            <w:r w:rsidRPr="0054367F">
              <w:rPr>
                <w:rFonts w:eastAsia="Times New Roman"/>
                <w:color w:val="000000"/>
                <w:sz w:val="16"/>
                <w:szCs w:val="16"/>
                <w:lang w:val="en-US" w:eastAsia="en-AU"/>
              </w:rPr>
              <w:t>49.6</w:t>
            </w:r>
          </w:p>
        </w:tc>
        <w:tc>
          <w:tcPr>
            <w:tcW w:w="1368"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557</w:t>
            </w:r>
          </w:p>
        </w:tc>
        <w:tc>
          <w:tcPr>
            <w:tcW w:w="1194"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eastAsia="en-AU"/>
              </w:rPr>
              <w:t>557</w:t>
            </w:r>
          </w:p>
        </w:tc>
        <w:tc>
          <w:tcPr>
            <w:tcW w:w="1368" w:type="dxa"/>
            <w:shd w:val="clear" w:color="auto" w:fill="F2F2F2" w:themeFill="background1" w:themeFillShade="F2"/>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29.84</w:t>
            </w:r>
          </w:p>
        </w:tc>
        <w:tc>
          <w:tcPr>
            <w:tcW w:w="1194" w:type="dxa"/>
            <w:shd w:val="clear" w:color="auto" w:fill="F2F2F2" w:themeFill="background1" w:themeFillShade="F2"/>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29.84</w:t>
            </w:r>
          </w:p>
        </w:tc>
      </w:tr>
      <w:tr w:rsidR="00A23EAD" w:rsidRPr="00A23EAD" w:rsidTr="00327CCC">
        <w:trPr>
          <w:trHeight w:val="315"/>
        </w:trPr>
        <w:tc>
          <w:tcPr>
            <w:tcW w:w="1488" w:type="dxa"/>
            <w:shd w:val="clear" w:color="auto" w:fill="auto"/>
            <w:vAlign w:val="center"/>
            <w:hideMark/>
          </w:tcPr>
          <w:p w:rsidR="00A23EAD" w:rsidRPr="00A23EAD" w:rsidRDefault="00A23EAD" w:rsidP="00A23EAD">
            <w:pPr>
              <w:spacing w:after="0"/>
              <w:rPr>
                <w:rFonts w:eastAsia="Times New Roman"/>
                <w:color w:val="000000"/>
                <w:sz w:val="16"/>
                <w:szCs w:val="16"/>
                <w:lang w:eastAsia="en-AU"/>
              </w:rPr>
            </w:pPr>
            <w:r w:rsidRPr="00A23EAD">
              <w:rPr>
                <w:rFonts w:eastAsia="Times New Roman"/>
                <w:color w:val="000000"/>
                <w:sz w:val="16"/>
                <w:szCs w:val="16"/>
                <w:lang w:val="en-US" w:eastAsia="en-AU"/>
              </w:rPr>
              <w:t>South Australia</w:t>
            </w:r>
          </w:p>
        </w:tc>
        <w:tc>
          <w:tcPr>
            <w:tcW w:w="1336"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47</w:t>
            </w:r>
          </w:p>
        </w:tc>
        <w:tc>
          <w:tcPr>
            <w:tcW w:w="1150"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69</w:t>
            </w:r>
          </w:p>
        </w:tc>
        <w:tc>
          <w:tcPr>
            <w:tcW w:w="1182"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1.696</w:t>
            </w:r>
          </w:p>
        </w:tc>
        <w:tc>
          <w:tcPr>
            <w:tcW w:w="1368"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36,085</w:t>
            </w:r>
          </w:p>
        </w:tc>
        <w:tc>
          <w:tcPr>
            <w:tcW w:w="1205"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24,580</w:t>
            </w:r>
          </w:p>
        </w:tc>
        <w:tc>
          <w:tcPr>
            <w:tcW w:w="1322" w:type="dxa"/>
            <w:shd w:val="clear" w:color="auto" w:fill="auto"/>
            <w:vAlign w:val="center"/>
            <w:hideMark/>
          </w:tcPr>
          <w:p w:rsidR="00A23EAD" w:rsidRPr="0054367F" w:rsidRDefault="00A23EAD" w:rsidP="00A23EAD">
            <w:pPr>
              <w:spacing w:after="0"/>
              <w:jc w:val="center"/>
              <w:rPr>
                <w:rFonts w:eastAsia="Times New Roman"/>
                <w:color w:val="000000"/>
                <w:sz w:val="16"/>
                <w:szCs w:val="16"/>
                <w:lang w:eastAsia="en-AU"/>
              </w:rPr>
            </w:pPr>
            <w:r w:rsidRPr="0054367F">
              <w:rPr>
                <w:rFonts w:eastAsia="Times New Roman"/>
                <w:color w:val="000000"/>
                <w:sz w:val="16"/>
                <w:szCs w:val="16"/>
                <w:lang w:val="en-US" w:eastAsia="en-AU"/>
              </w:rPr>
              <w:t>16.5</w:t>
            </w:r>
          </w:p>
        </w:tc>
        <w:tc>
          <w:tcPr>
            <w:tcW w:w="1368"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350</w:t>
            </w:r>
          </w:p>
        </w:tc>
        <w:tc>
          <w:tcPr>
            <w:tcW w:w="1194"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eastAsia="en-AU"/>
              </w:rPr>
              <w:t>239</w:t>
            </w:r>
          </w:p>
        </w:tc>
        <w:tc>
          <w:tcPr>
            <w:tcW w:w="1368" w:type="dxa"/>
            <w:shd w:val="clear" w:color="auto" w:fill="F2F2F2" w:themeFill="background1" w:themeFillShade="F2"/>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12.64</w:t>
            </w:r>
          </w:p>
        </w:tc>
        <w:tc>
          <w:tcPr>
            <w:tcW w:w="1194" w:type="dxa"/>
            <w:shd w:val="clear" w:color="auto" w:fill="F2F2F2" w:themeFill="background1" w:themeFillShade="F2"/>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5.87</w:t>
            </w:r>
          </w:p>
        </w:tc>
      </w:tr>
      <w:tr w:rsidR="00A23EAD" w:rsidRPr="00A23EAD" w:rsidTr="00327CCC">
        <w:trPr>
          <w:trHeight w:val="315"/>
        </w:trPr>
        <w:tc>
          <w:tcPr>
            <w:tcW w:w="1488" w:type="dxa"/>
            <w:shd w:val="clear" w:color="auto" w:fill="auto"/>
            <w:vAlign w:val="center"/>
            <w:hideMark/>
          </w:tcPr>
          <w:p w:rsidR="00A23EAD" w:rsidRPr="00A23EAD" w:rsidRDefault="00A23EAD" w:rsidP="00A23EAD">
            <w:pPr>
              <w:spacing w:after="0"/>
              <w:rPr>
                <w:rFonts w:eastAsia="Times New Roman"/>
                <w:color w:val="000000"/>
                <w:sz w:val="16"/>
                <w:szCs w:val="16"/>
                <w:lang w:eastAsia="en-AU"/>
              </w:rPr>
            </w:pPr>
            <w:r w:rsidRPr="00A23EAD">
              <w:rPr>
                <w:rFonts w:eastAsia="Times New Roman"/>
                <w:color w:val="000000"/>
                <w:sz w:val="16"/>
                <w:szCs w:val="16"/>
                <w:lang w:val="en-US" w:eastAsia="en-AU"/>
              </w:rPr>
              <w:t>Tasmania</w:t>
            </w:r>
          </w:p>
        </w:tc>
        <w:tc>
          <w:tcPr>
            <w:tcW w:w="1336"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25</w:t>
            </w:r>
          </w:p>
        </w:tc>
        <w:tc>
          <w:tcPr>
            <w:tcW w:w="1150"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40</w:t>
            </w:r>
          </w:p>
        </w:tc>
        <w:tc>
          <w:tcPr>
            <w:tcW w:w="1182"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0.516</w:t>
            </w:r>
          </w:p>
        </w:tc>
        <w:tc>
          <w:tcPr>
            <w:tcW w:w="1368"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20,640</w:t>
            </w:r>
          </w:p>
        </w:tc>
        <w:tc>
          <w:tcPr>
            <w:tcW w:w="1205"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12,900</w:t>
            </w:r>
          </w:p>
        </w:tc>
        <w:tc>
          <w:tcPr>
            <w:tcW w:w="1322" w:type="dxa"/>
            <w:shd w:val="clear" w:color="auto" w:fill="auto"/>
            <w:vAlign w:val="center"/>
            <w:hideMark/>
          </w:tcPr>
          <w:p w:rsidR="00A23EAD" w:rsidRPr="0054367F" w:rsidRDefault="00A23EAD" w:rsidP="00A23EAD">
            <w:pPr>
              <w:spacing w:after="0"/>
              <w:jc w:val="center"/>
              <w:rPr>
                <w:rFonts w:eastAsia="Times New Roman"/>
                <w:color w:val="000000"/>
                <w:sz w:val="16"/>
                <w:szCs w:val="16"/>
                <w:lang w:eastAsia="en-AU"/>
              </w:rPr>
            </w:pPr>
            <w:r w:rsidRPr="0054367F">
              <w:rPr>
                <w:rFonts w:eastAsia="Times New Roman"/>
                <w:color w:val="000000"/>
                <w:sz w:val="16"/>
                <w:szCs w:val="16"/>
                <w:lang w:val="en-US" w:eastAsia="en-AU"/>
              </w:rPr>
              <w:t>5.0</w:t>
            </w:r>
          </w:p>
        </w:tc>
        <w:tc>
          <w:tcPr>
            <w:tcW w:w="1368"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199</w:t>
            </w:r>
          </w:p>
        </w:tc>
        <w:tc>
          <w:tcPr>
            <w:tcW w:w="1194"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eastAsia="en-AU"/>
              </w:rPr>
              <w:t>124</w:t>
            </w:r>
          </w:p>
        </w:tc>
        <w:tc>
          <w:tcPr>
            <w:tcW w:w="1368" w:type="dxa"/>
            <w:shd w:val="clear" w:color="auto" w:fill="F2F2F2" w:themeFill="background1" w:themeFillShade="F2"/>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4.10</w:t>
            </w:r>
          </w:p>
        </w:tc>
        <w:tc>
          <w:tcPr>
            <w:tcW w:w="1194" w:type="dxa"/>
            <w:shd w:val="clear" w:color="auto" w:fill="F2F2F2" w:themeFill="background1" w:themeFillShade="F2"/>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1.60</w:t>
            </w:r>
          </w:p>
        </w:tc>
      </w:tr>
      <w:tr w:rsidR="00A23EAD" w:rsidRPr="00A23EAD" w:rsidTr="00327CCC">
        <w:trPr>
          <w:trHeight w:val="315"/>
        </w:trPr>
        <w:tc>
          <w:tcPr>
            <w:tcW w:w="1488" w:type="dxa"/>
            <w:shd w:val="clear" w:color="auto" w:fill="auto"/>
            <w:vAlign w:val="center"/>
            <w:hideMark/>
          </w:tcPr>
          <w:p w:rsidR="00A23EAD" w:rsidRPr="00A23EAD" w:rsidRDefault="00A23EAD" w:rsidP="00A23EAD">
            <w:pPr>
              <w:spacing w:after="0"/>
              <w:rPr>
                <w:rFonts w:eastAsia="Times New Roman"/>
                <w:color w:val="000000"/>
                <w:sz w:val="16"/>
                <w:szCs w:val="16"/>
                <w:lang w:eastAsia="en-AU"/>
              </w:rPr>
            </w:pPr>
            <w:r w:rsidRPr="00A23EAD">
              <w:rPr>
                <w:rFonts w:eastAsia="Times New Roman"/>
                <w:color w:val="000000"/>
                <w:sz w:val="16"/>
                <w:szCs w:val="16"/>
                <w:lang w:val="en-US" w:eastAsia="en-AU"/>
              </w:rPr>
              <w:t>Victoria</w:t>
            </w:r>
          </w:p>
        </w:tc>
        <w:tc>
          <w:tcPr>
            <w:tcW w:w="1336"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88</w:t>
            </w:r>
          </w:p>
        </w:tc>
        <w:tc>
          <w:tcPr>
            <w:tcW w:w="1150"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128</w:t>
            </w:r>
          </w:p>
        </w:tc>
        <w:tc>
          <w:tcPr>
            <w:tcW w:w="1182"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5.915</w:t>
            </w:r>
          </w:p>
        </w:tc>
        <w:tc>
          <w:tcPr>
            <w:tcW w:w="1368"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67,216</w:t>
            </w:r>
          </w:p>
        </w:tc>
        <w:tc>
          <w:tcPr>
            <w:tcW w:w="1205"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46,211</w:t>
            </w:r>
          </w:p>
        </w:tc>
        <w:tc>
          <w:tcPr>
            <w:tcW w:w="1322" w:type="dxa"/>
            <w:shd w:val="clear" w:color="auto" w:fill="auto"/>
            <w:vAlign w:val="center"/>
            <w:hideMark/>
          </w:tcPr>
          <w:p w:rsidR="00A23EAD" w:rsidRPr="0054367F" w:rsidRDefault="00A23EAD" w:rsidP="00A23EAD">
            <w:pPr>
              <w:spacing w:after="0"/>
              <w:jc w:val="center"/>
              <w:rPr>
                <w:rFonts w:eastAsia="Times New Roman"/>
                <w:color w:val="000000"/>
                <w:sz w:val="16"/>
                <w:szCs w:val="16"/>
                <w:lang w:eastAsia="en-AU"/>
              </w:rPr>
            </w:pPr>
            <w:r w:rsidRPr="0054367F">
              <w:rPr>
                <w:rFonts w:eastAsia="Times New Roman"/>
                <w:color w:val="000000"/>
                <w:sz w:val="16"/>
                <w:szCs w:val="16"/>
                <w:lang w:val="en-US" w:eastAsia="en-AU"/>
              </w:rPr>
              <w:t>53.5</w:t>
            </w:r>
          </w:p>
        </w:tc>
        <w:tc>
          <w:tcPr>
            <w:tcW w:w="1368"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608</w:t>
            </w:r>
          </w:p>
        </w:tc>
        <w:tc>
          <w:tcPr>
            <w:tcW w:w="1194"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eastAsia="en-AU"/>
              </w:rPr>
              <w:t>418</w:t>
            </w:r>
          </w:p>
        </w:tc>
        <w:tc>
          <w:tcPr>
            <w:tcW w:w="1368" w:type="dxa"/>
            <w:shd w:val="clear" w:color="auto" w:fill="F2F2F2" w:themeFill="background1" w:themeFillShade="F2"/>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40.90</w:t>
            </w:r>
          </w:p>
        </w:tc>
        <w:tc>
          <w:tcPr>
            <w:tcW w:w="1194" w:type="dxa"/>
            <w:shd w:val="clear" w:color="auto" w:fill="F2F2F2" w:themeFill="background1" w:themeFillShade="F2"/>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19.33</w:t>
            </w:r>
          </w:p>
        </w:tc>
      </w:tr>
      <w:tr w:rsidR="00A23EAD" w:rsidRPr="00A23EAD" w:rsidTr="00327CCC">
        <w:trPr>
          <w:trHeight w:val="315"/>
        </w:trPr>
        <w:tc>
          <w:tcPr>
            <w:tcW w:w="1488" w:type="dxa"/>
            <w:shd w:val="clear" w:color="auto" w:fill="auto"/>
            <w:vAlign w:val="center"/>
            <w:hideMark/>
          </w:tcPr>
          <w:p w:rsidR="00A23EAD" w:rsidRPr="00A23EAD" w:rsidRDefault="00A23EAD" w:rsidP="00A23EAD">
            <w:pPr>
              <w:spacing w:after="0"/>
              <w:rPr>
                <w:rFonts w:eastAsia="Times New Roman"/>
                <w:color w:val="000000"/>
                <w:sz w:val="16"/>
                <w:szCs w:val="16"/>
                <w:lang w:eastAsia="en-AU"/>
              </w:rPr>
            </w:pPr>
            <w:r w:rsidRPr="00A23EAD">
              <w:rPr>
                <w:rFonts w:eastAsia="Times New Roman"/>
                <w:color w:val="000000"/>
                <w:sz w:val="16"/>
                <w:szCs w:val="16"/>
                <w:lang w:val="en-US" w:eastAsia="en-AU"/>
              </w:rPr>
              <w:t>Western Australia</w:t>
            </w:r>
          </w:p>
        </w:tc>
        <w:tc>
          <w:tcPr>
            <w:tcW w:w="1336"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59</w:t>
            </w:r>
          </w:p>
        </w:tc>
        <w:tc>
          <w:tcPr>
            <w:tcW w:w="1150"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95</w:t>
            </w:r>
          </w:p>
        </w:tc>
        <w:tc>
          <w:tcPr>
            <w:tcW w:w="1182"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2.587</w:t>
            </w:r>
          </w:p>
        </w:tc>
        <w:tc>
          <w:tcPr>
            <w:tcW w:w="1368"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43,847</w:t>
            </w:r>
          </w:p>
        </w:tc>
        <w:tc>
          <w:tcPr>
            <w:tcW w:w="1205"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27,232</w:t>
            </w:r>
          </w:p>
        </w:tc>
        <w:tc>
          <w:tcPr>
            <w:tcW w:w="1322" w:type="dxa"/>
            <w:shd w:val="clear" w:color="auto" w:fill="auto"/>
            <w:vAlign w:val="center"/>
            <w:hideMark/>
          </w:tcPr>
          <w:p w:rsidR="00A23EAD" w:rsidRPr="0054367F" w:rsidRDefault="00A23EAD" w:rsidP="00A23EAD">
            <w:pPr>
              <w:spacing w:after="0"/>
              <w:jc w:val="center"/>
              <w:rPr>
                <w:rFonts w:eastAsia="Times New Roman"/>
                <w:color w:val="000000"/>
                <w:sz w:val="16"/>
                <w:szCs w:val="16"/>
                <w:lang w:eastAsia="en-AU"/>
              </w:rPr>
            </w:pPr>
            <w:r w:rsidRPr="0054367F">
              <w:rPr>
                <w:rFonts w:eastAsia="Times New Roman"/>
                <w:color w:val="000000"/>
                <w:sz w:val="16"/>
                <w:szCs w:val="16"/>
                <w:lang w:val="en-US" w:eastAsia="en-AU"/>
              </w:rPr>
              <w:t>27</w:t>
            </w:r>
            <w:r w:rsidR="0069704E" w:rsidRPr="0054367F">
              <w:rPr>
                <w:rFonts w:eastAsia="Times New Roman"/>
                <w:color w:val="000000"/>
                <w:sz w:val="16"/>
                <w:szCs w:val="16"/>
                <w:lang w:val="en-US" w:eastAsia="en-AU"/>
              </w:rPr>
              <w:t>.0</w:t>
            </w:r>
          </w:p>
        </w:tc>
        <w:tc>
          <w:tcPr>
            <w:tcW w:w="1368"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458</w:t>
            </w:r>
          </w:p>
        </w:tc>
        <w:tc>
          <w:tcPr>
            <w:tcW w:w="1194" w:type="dxa"/>
            <w:shd w:val="clear" w:color="auto" w:fill="auto"/>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eastAsia="en-AU"/>
              </w:rPr>
              <w:t>284</w:t>
            </w:r>
          </w:p>
        </w:tc>
        <w:tc>
          <w:tcPr>
            <w:tcW w:w="1368" w:type="dxa"/>
            <w:shd w:val="clear" w:color="auto" w:fill="F2F2F2" w:themeFill="background1" w:themeFillShade="F2"/>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20.07</w:t>
            </w:r>
          </w:p>
        </w:tc>
        <w:tc>
          <w:tcPr>
            <w:tcW w:w="1194" w:type="dxa"/>
            <w:shd w:val="clear" w:color="auto" w:fill="F2F2F2" w:themeFill="background1" w:themeFillShade="F2"/>
            <w:vAlign w:val="center"/>
            <w:hideMark/>
          </w:tcPr>
          <w:p w:rsidR="00A23EAD" w:rsidRPr="00A23EAD" w:rsidRDefault="00A23EAD" w:rsidP="00A23EAD">
            <w:pPr>
              <w:spacing w:after="0"/>
              <w:jc w:val="center"/>
              <w:rPr>
                <w:rFonts w:eastAsia="Times New Roman"/>
                <w:color w:val="000000"/>
                <w:sz w:val="16"/>
                <w:szCs w:val="16"/>
                <w:lang w:eastAsia="en-AU"/>
              </w:rPr>
            </w:pPr>
            <w:r w:rsidRPr="00A23EAD">
              <w:rPr>
                <w:rFonts w:eastAsia="Times New Roman"/>
                <w:color w:val="000000"/>
                <w:sz w:val="16"/>
                <w:szCs w:val="16"/>
                <w:lang w:val="en-US" w:eastAsia="en-AU"/>
              </w:rPr>
              <w:t>7.74</w:t>
            </w:r>
          </w:p>
        </w:tc>
      </w:tr>
    </w:tbl>
    <w:p w:rsidR="00A23EAD" w:rsidRPr="00A23EAD" w:rsidRDefault="00A23EAD" w:rsidP="00A23EAD">
      <w:pPr>
        <w:spacing w:line="276" w:lineRule="auto"/>
        <w:rPr>
          <w:rFonts w:ascii="Calibri" w:hAnsi="Calibri"/>
          <w:sz w:val="22"/>
          <w:lang w:eastAsia="en-AU"/>
        </w:rPr>
      </w:pPr>
    </w:p>
    <w:p w:rsidR="00A23EAD" w:rsidRDefault="00A23EAD" w:rsidP="00017D10">
      <w:pPr>
        <w:spacing w:line="276" w:lineRule="auto"/>
        <w:rPr>
          <w:rFonts w:ascii="Calibri" w:hAnsi="Calibri"/>
          <w:b/>
          <w:sz w:val="22"/>
          <w:lang w:val="en-US"/>
        </w:rPr>
      </w:pPr>
    </w:p>
    <w:p w:rsidR="00A23EAD" w:rsidRDefault="00A23EAD" w:rsidP="00017D10">
      <w:pPr>
        <w:spacing w:line="276" w:lineRule="auto"/>
        <w:rPr>
          <w:rFonts w:ascii="Calibri" w:hAnsi="Calibri"/>
          <w:b/>
          <w:sz w:val="22"/>
          <w:lang w:val="en-US"/>
        </w:rPr>
        <w:sectPr w:rsidR="00A23EAD" w:rsidSect="005855C7">
          <w:footerReference w:type="default" r:id="rId18"/>
          <w:pgSz w:w="16838" w:h="11906" w:orient="landscape"/>
          <w:pgMar w:top="1440" w:right="1440" w:bottom="1440" w:left="1440" w:header="708" w:footer="708" w:gutter="0"/>
          <w:cols w:space="708"/>
          <w:docGrid w:linePitch="360"/>
        </w:sectPr>
      </w:pPr>
    </w:p>
    <w:p w:rsidR="00AF63E4" w:rsidRPr="00E11689" w:rsidRDefault="00E11689" w:rsidP="00F324DE">
      <w:pPr>
        <w:pStyle w:val="textbasic"/>
      </w:pPr>
      <w:r w:rsidRPr="00E11689">
        <w:lastRenderedPageBreak/>
        <w:t>In t</w:t>
      </w:r>
      <w:r w:rsidR="00AF63E4" w:rsidRPr="00E11689">
        <w:t xml:space="preserve">he 2014 </w:t>
      </w:r>
      <w:r w:rsidRPr="00E11689">
        <w:t xml:space="preserve">Report the Tribunal </w:t>
      </w:r>
      <w:r w:rsidR="00AF63E4" w:rsidRPr="00E11689">
        <w:t>observed</w:t>
      </w:r>
      <w:r w:rsidR="002A604B">
        <w:t>:</w:t>
      </w:r>
      <w:r w:rsidR="00AB392E">
        <w:rPr>
          <w:rStyle w:val="FootnoteReference"/>
        </w:rPr>
        <w:footnoteReference w:id="39"/>
      </w:r>
    </w:p>
    <w:p w:rsidR="00E11689" w:rsidRPr="00E11689" w:rsidRDefault="00E11689" w:rsidP="00F700FC">
      <w:pPr>
        <w:pStyle w:val="quoteitalics1"/>
      </w:pPr>
      <w:r>
        <w:t>“</w:t>
      </w:r>
      <w:r>
        <w:tab/>
      </w:r>
      <w:r w:rsidRPr="00E11689">
        <w:t>Our own view is that these factors cannot be ignored. Whilst at the core all MPs are legislators and have electoral responsibilities which appear similar in nature, the ‘size’ of the role must be a consideration. Whilst there are many facets to the role of an MP, the number of electors and the size of the relevant budget are the factors most readily comparable.</w:t>
      </w:r>
    </w:p>
    <w:p w:rsidR="00E11689" w:rsidRPr="00E11689" w:rsidRDefault="00E11689" w:rsidP="00725574">
      <w:pPr>
        <w:pStyle w:val="quoteitalics"/>
      </w:pPr>
      <w:r w:rsidRPr="00E11689">
        <w:t>This approach has been adopted, apparently with broad approval, in Tasmanian Local Government. Whilst elected council</w:t>
      </w:r>
      <w:r w:rsidR="00F060E6">
        <w:t>l</w:t>
      </w:r>
      <w:r w:rsidRPr="00E11689">
        <w:t>ors essentially perform the same role, municipalities are categorised by a formula based on number of voters and total council revenue. The actual allowances paid to the elected members are structured accordingly.</w:t>
      </w:r>
    </w:p>
    <w:p w:rsidR="00E11689" w:rsidRPr="00E11689" w:rsidRDefault="00E11689" w:rsidP="00725574">
      <w:pPr>
        <w:pStyle w:val="quoteitalics"/>
      </w:pPr>
      <w:r w:rsidRPr="00E11689">
        <w:t xml:space="preserve">The relationship is certainly not linear. That is, double the budget does not equate with double the salary, but in our view, above a common base, the ‘size’ of </w:t>
      </w:r>
      <w:r w:rsidR="00057844">
        <w:t xml:space="preserve">the </w:t>
      </w:r>
      <w:r w:rsidRPr="00E11689">
        <w:t>role is a consideration.</w:t>
      </w:r>
    </w:p>
    <w:p w:rsidR="00E11689" w:rsidRPr="00E11689" w:rsidRDefault="00E11689" w:rsidP="00725574">
      <w:pPr>
        <w:pStyle w:val="quoteitalics"/>
      </w:pPr>
      <w:r w:rsidRPr="00E11689">
        <w:t>On this basis the Parliament which most closely compares with Tasmania is that of the ACT. Certainly Tasmanian MPs would have a broader legislative responsibility, but this is probably balanced by the local government responsibility which attaches to the ACT MP</w:t>
      </w:r>
      <w:r w:rsidR="00AB392E">
        <w:t>s</w:t>
      </w:r>
      <w:r w:rsidRPr="00E11689">
        <w:t>.</w:t>
      </w:r>
    </w:p>
    <w:p w:rsidR="00E11689" w:rsidRDefault="00E11689" w:rsidP="00725574">
      <w:pPr>
        <w:pStyle w:val="quoteitalics"/>
      </w:pPr>
      <w:r w:rsidRPr="00E11689">
        <w:t>We emphasise however that this is a conclusion based on limited criteria and is indicative rather than definitive in nature.</w:t>
      </w:r>
      <w:r>
        <w:t>”</w:t>
      </w:r>
    </w:p>
    <w:p w:rsidR="00325226" w:rsidRDefault="00AF63E4" w:rsidP="00F324DE">
      <w:pPr>
        <w:pStyle w:val="textbasic"/>
      </w:pPr>
      <w:r w:rsidRPr="00384915">
        <w:rPr>
          <w:b/>
        </w:rPr>
        <w:t>Mr Cooke</w:t>
      </w:r>
      <w:r w:rsidRPr="00384915">
        <w:t xml:space="preserve"> submit</w:t>
      </w:r>
      <w:r w:rsidR="000415F0">
        <w:t>s</w:t>
      </w:r>
      <w:r w:rsidRPr="00384915">
        <w:t xml:space="preserve"> that</w:t>
      </w:r>
      <w:r w:rsidR="00D26B03">
        <w:t>,</w:t>
      </w:r>
      <w:r w:rsidRPr="00384915">
        <w:t xml:space="preserve"> base</w:t>
      </w:r>
      <w:r w:rsidR="00325226">
        <w:t>d on these and other variables</w:t>
      </w:r>
      <w:r w:rsidR="00D26B03">
        <w:t>:</w:t>
      </w:r>
    </w:p>
    <w:p w:rsidR="00AF63E4" w:rsidRPr="00325226" w:rsidRDefault="00AF63E4" w:rsidP="00325226">
      <w:pPr>
        <w:pStyle w:val="quoteitalics1"/>
      </w:pPr>
      <w:r w:rsidRPr="00325226">
        <w:rPr>
          <w:i w:val="0"/>
        </w:rPr>
        <w:t>“</w:t>
      </w:r>
      <w:r w:rsidR="00325226">
        <w:rPr>
          <w:i w:val="0"/>
        </w:rPr>
        <w:tab/>
      </w:r>
      <w:r w:rsidRPr="00325226">
        <w:t>No reasonable person could place Tasmania in any position but penultimate or last in almost all these criteria</w:t>
      </w:r>
      <w:r w:rsidRPr="00325226">
        <w:rPr>
          <w:i w:val="0"/>
        </w:rPr>
        <w:t>.”</w:t>
      </w:r>
    </w:p>
    <w:p w:rsidR="00AF63E4" w:rsidRPr="00384915" w:rsidRDefault="00D26B03" w:rsidP="00F324DE">
      <w:pPr>
        <w:pStyle w:val="textbasic"/>
      </w:pPr>
      <w:r>
        <w:t>We</w:t>
      </w:r>
      <w:r w:rsidR="00AF63E4" w:rsidRPr="00384915">
        <w:t xml:space="preserve"> are of the view that the demographics referred to in </w:t>
      </w:r>
      <w:r w:rsidR="00E11689" w:rsidRPr="00384915">
        <w:t>Table 6</w:t>
      </w:r>
      <w:r w:rsidR="00AF63E4" w:rsidRPr="00384915">
        <w:t xml:space="preserve"> have not changed materially since the 2014 Report</w:t>
      </w:r>
      <w:r w:rsidR="00E06A1F">
        <w:t>,</w:t>
      </w:r>
      <w:r w:rsidR="00E11689" w:rsidRPr="00384915">
        <w:t xml:space="preserve"> and the comments of the Tribunal remain valid and we support them.</w:t>
      </w:r>
    </w:p>
    <w:p w:rsidR="00AF63E4" w:rsidRPr="001B2C0D" w:rsidRDefault="00A23EAD" w:rsidP="00EC1A81">
      <w:pPr>
        <w:pStyle w:val="Heading3"/>
      </w:pPr>
      <w:bookmarkStart w:id="42" w:name="_Toc443486916"/>
      <w:r>
        <w:t>5</w:t>
      </w:r>
      <w:r w:rsidR="00EC1A81">
        <w:t>.1</w:t>
      </w:r>
      <w:r>
        <w:t>.</w:t>
      </w:r>
      <w:r w:rsidR="008F22CF">
        <w:t>6</w:t>
      </w:r>
      <w:r>
        <w:tab/>
      </w:r>
      <w:r w:rsidR="00AF63E4" w:rsidRPr="001B2C0D">
        <w:t>Activity Indicators</w:t>
      </w:r>
      <w:bookmarkEnd w:id="42"/>
    </w:p>
    <w:p w:rsidR="007025CA" w:rsidRDefault="007025CA" w:rsidP="00F324DE">
      <w:pPr>
        <w:pStyle w:val="textbasic"/>
      </w:pPr>
      <w:r>
        <w:t>The 2014 Report provided information comparing the sitting days in various Australian parliaments for 2008-13.  In relation to the Tasmanian Parliament, the Tribunal noted</w:t>
      </w:r>
      <w:r w:rsidR="009D0949">
        <w:rPr>
          <w:rStyle w:val="FootnoteReference"/>
        </w:rPr>
        <w:footnoteReference w:id="40"/>
      </w:r>
      <w:r>
        <w:t xml:space="preserve"> that</w:t>
      </w:r>
      <w:r w:rsidR="00F060E6">
        <w:t>:</w:t>
      </w:r>
    </w:p>
    <w:p w:rsidR="007025CA" w:rsidRPr="007025CA" w:rsidRDefault="007025CA" w:rsidP="007025CA">
      <w:pPr>
        <w:pStyle w:val="quoteitalics1"/>
      </w:pPr>
      <w:r>
        <w:t>“</w:t>
      </w:r>
      <w:r>
        <w:tab/>
      </w:r>
      <w:r w:rsidRPr="007025CA">
        <w:t>It would appear that sitting days in the House of Assembly ha</w:t>
      </w:r>
      <w:r w:rsidR="00E06A1F">
        <w:t>ve</w:t>
      </w:r>
      <w:r w:rsidRPr="007025CA">
        <w:t xml:space="preserve"> consistently exceeded the average of the other State and Territory Parliaments over the period. </w:t>
      </w:r>
      <w:r w:rsidR="00E14D34">
        <w:t>(</w:t>
      </w:r>
      <w:r w:rsidRPr="007025CA">
        <w:t>49 days compared with an average of all parliaments of 43.3 per annum.</w:t>
      </w:r>
      <w:r w:rsidR="00E14D34">
        <w:t>)</w:t>
      </w:r>
      <w:r w:rsidRPr="007025CA">
        <w:t xml:space="preserve"> In the Legislative Council, sitting days on average </w:t>
      </w:r>
      <w:r w:rsidR="00E14D34">
        <w:t>(</w:t>
      </w:r>
      <w:r w:rsidRPr="007025CA">
        <w:t>41.5 days</w:t>
      </w:r>
      <w:r w:rsidR="00E14D34">
        <w:t>)</w:t>
      </w:r>
      <w:r w:rsidRPr="007025CA">
        <w:t xml:space="preserve"> ha</w:t>
      </w:r>
      <w:r w:rsidR="004D70C7">
        <w:t xml:space="preserve">ve </w:t>
      </w:r>
      <w:r w:rsidRPr="007025CA">
        <w:t>generally been below the national average.</w:t>
      </w:r>
      <w:r>
        <w:t xml:space="preserve"> </w:t>
      </w:r>
      <w:r w:rsidR="00E14D34">
        <w:t>(</w:t>
      </w:r>
      <w:r w:rsidRPr="007025CA">
        <w:t>46.5</w:t>
      </w:r>
      <w:r w:rsidR="004D70C7">
        <w:t> </w:t>
      </w:r>
      <w:r w:rsidRPr="007025CA">
        <w:t>days</w:t>
      </w:r>
      <w:r w:rsidR="00E14D34">
        <w:t>)</w:t>
      </w:r>
      <w:r w:rsidRPr="007025CA">
        <w:t>.</w:t>
      </w:r>
      <w:r w:rsidR="00F060E6">
        <w:t>”</w:t>
      </w:r>
    </w:p>
    <w:p w:rsidR="007025CA" w:rsidRDefault="007025CA" w:rsidP="007025CA">
      <w:pPr>
        <w:pStyle w:val="textbasic"/>
      </w:pPr>
      <w:r>
        <w:t xml:space="preserve">In his submission </w:t>
      </w:r>
      <w:r w:rsidRPr="00125718">
        <w:rPr>
          <w:b/>
        </w:rPr>
        <w:t>Mr Lindsay</w:t>
      </w:r>
      <w:r>
        <w:t xml:space="preserve"> observes</w:t>
      </w:r>
      <w:r w:rsidR="00F060E6">
        <w:t>:</w:t>
      </w:r>
      <w:r>
        <w:t xml:space="preserve"> </w:t>
      </w:r>
    </w:p>
    <w:p w:rsidR="007025CA" w:rsidRPr="00325226" w:rsidRDefault="007025CA" w:rsidP="007025CA">
      <w:pPr>
        <w:pStyle w:val="quoteitalics1"/>
      </w:pPr>
      <w:r>
        <w:t>“</w:t>
      </w:r>
      <w:r>
        <w:tab/>
        <w:t xml:space="preserve">It is obvious from television media coverage that attending the Commonwealth’s House of Representatives when in session is neither a principal duty nor a principal responsibility of members of that house. Can I assume that attending the House of Assembly when it is in session is not a principal duty or principal responsibility of members?” </w:t>
      </w:r>
    </w:p>
    <w:p w:rsidR="007025CA" w:rsidRDefault="007025CA" w:rsidP="007025CA">
      <w:pPr>
        <w:pStyle w:val="textbasic"/>
      </w:pPr>
      <w:r w:rsidRPr="00384915">
        <w:t xml:space="preserve">The </w:t>
      </w:r>
      <w:r w:rsidRPr="00384915">
        <w:rPr>
          <w:b/>
        </w:rPr>
        <w:t>ANMF (Tas)</w:t>
      </w:r>
      <w:r w:rsidRPr="00384915">
        <w:t xml:space="preserve"> submit</w:t>
      </w:r>
      <w:r>
        <w:t xml:space="preserve">s </w:t>
      </w:r>
      <w:r w:rsidRPr="00384915">
        <w:t>that the</w:t>
      </w:r>
      <w:r w:rsidR="00F060E6">
        <w:t>:</w:t>
      </w:r>
      <w:r w:rsidRPr="00384915">
        <w:t xml:space="preserve"> </w:t>
      </w:r>
    </w:p>
    <w:p w:rsidR="007025CA" w:rsidRPr="00325226" w:rsidRDefault="007025CA" w:rsidP="007025CA">
      <w:pPr>
        <w:pStyle w:val="quoteitalics1"/>
      </w:pPr>
      <w:r w:rsidRPr="00384915">
        <w:t>“</w:t>
      </w:r>
      <w:r>
        <w:tab/>
      </w:r>
      <w:r w:rsidRPr="00384915">
        <w:t xml:space="preserve">lower number of sitting days </w:t>
      </w:r>
      <w:r>
        <w:t>ie</w:t>
      </w:r>
      <w:r w:rsidRPr="00384915">
        <w:t xml:space="preserve"> an average of 55 for Lower House 43 for Upper House </w:t>
      </w:r>
      <w:r w:rsidR="00E14D34">
        <w:t>(</w:t>
      </w:r>
      <w:r w:rsidRPr="00384915">
        <w:t>inclusive of budget estimate hearings</w:t>
      </w:r>
      <w:r w:rsidR="00E14D34">
        <w:t>)</w:t>
      </w:r>
      <w:r w:rsidRPr="00384915">
        <w:t xml:space="preserve"> is a significant factor relating to productivity and a work value comparison as the remaining 300 odd days are in electorate roles.”</w:t>
      </w:r>
      <w:r w:rsidRPr="00325226">
        <w:t xml:space="preserve"> </w:t>
      </w:r>
    </w:p>
    <w:p w:rsidR="007025CA" w:rsidRDefault="007025CA" w:rsidP="007025CA">
      <w:pPr>
        <w:pStyle w:val="textbasic"/>
      </w:pPr>
      <w:r w:rsidRPr="00125718">
        <w:t xml:space="preserve">There is no material before us which assists us in relation to this implied proposition one way or the other. </w:t>
      </w:r>
    </w:p>
    <w:p w:rsidR="007025CA" w:rsidRPr="007025CA" w:rsidRDefault="00AF63E4" w:rsidP="007025CA">
      <w:pPr>
        <w:pStyle w:val="textbasic"/>
      </w:pPr>
      <w:r w:rsidRPr="00384915">
        <w:lastRenderedPageBreak/>
        <w:t xml:space="preserve">The following table </w:t>
      </w:r>
      <w:r w:rsidR="00E14D34">
        <w:t>(</w:t>
      </w:r>
      <w:r w:rsidR="00384915">
        <w:t>Table 7</w:t>
      </w:r>
      <w:r w:rsidR="00E14D34">
        <w:t>)</w:t>
      </w:r>
      <w:r w:rsidR="00384915">
        <w:t xml:space="preserve"> </w:t>
      </w:r>
      <w:r w:rsidRPr="00384915">
        <w:t>summarises sitting days</w:t>
      </w:r>
      <w:r w:rsidR="008E36CC">
        <w:rPr>
          <w:rStyle w:val="FootnoteReference"/>
        </w:rPr>
        <w:footnoteReference w:id="41"/>
      </w:r>
      <w:r w:rsidRPr="00384915">
        <w:t xml:space="preserve"> across Australian parliaments</w:t>
      </w:r>
      <w:r w:rsidR="007025CA">
        <w:t xml:space="preserve"> for 2014 and 2015</w:t>
      </w:r>
      <w:r w:rsidRPr="00384915">
        <w:t xml:space="preserve">. </w:t>
      </w:r>
    </w:p>
    <w:p w:rsidR="00E11689" w:rsidRPr="00125718" w:rsidRDefault="00725574" w:rsidP="00725574">
      <w:pPr>
        <w:pStyle w:val="TableTitlemain"/>
        <w:rPr>
          <w:lang w:eastAsia="en-AU"/>
        </w:rPr>
      </w:pPr>
      <w:r>
        <w:rPr>
          <w:lang w:eastAsia="en-AU"/>
        </w:rPr>
        <w:t>Table 7</w:t>
      </w:r>
      <w:r>
        <w:rPr>
          <w:lang w:eastAsia="en-AU"/>
        </w:rPr>
        <w:tab/>
      </w:r>
      <w:r w:rsidR="00384915" w:rsidRPr="00125718">
        <w:rPr>
          <w:lang w:eastAsia="en-AU"/>
        </w:rPr>
        <w:t xml:space="preserve">Comparison </w:t>
      </w:r>
      <w:r w:rsidR="00E11689" w:rsidRPr="00125718">
        <w:rPr>
          <w:lang w:eastAsia="en-AU"/>
        </w:rPr>
        <w:t xml:space="preserve">of Sitting Days, Australian Parliaments </w:t>
      </w:r>
      <w:r w:rsidR="009D0949">
        <w:rPr>
          <w:lang w:eastAsia="en-AU"/>
        </w:rPr>
        <w:t>2014 and 2015</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785"/>
        <w:gridCol w:w="688"/>
        <w:gridCol w:w="688"/>
        <w:gridCol w:w="688"/>
        <w:gridCol w:w="688"/>
        <w:gridCol w:w="688"/>
        <w:gridCol w:w="688"/>
        <w:gridCol w:w="688"/>
        <w:gridCol w:w="688"/>
        <w:gridCol w:w="1893"/>
        <w:gridCol w:w="907"/>
      </w:tblGrid>
      <w:tr w:rsidR="008E36CC" w:rsidRPr="00384915" w:rsidTr="00327CCC">
        <w:trPr>
          <w:cantSplit/>
          <w:tblHeader/>
        </w:trPr>
        <w:tc>
          <w:tcPr>
            <w:tcW w:w="711" w:type="dxa"/>
            <w:tcBorders>
              <w:bottom w:val="single" w:sz="4" w:space="0" w:color="auto"/>
            </w:tcBorders>
            <w:shd w:val="clear" w:color="auto" w:fill="D9D9D9" w:themeFill="background1" w:themeFillShade="D9"/>
            <w:vAlign w:val="center"/>
          </w:tcPr>
          <w:p w:rsidR="008E36CC" w:rsidRPr="00384915" w:rsidRDefault="008E36CC" w:rsidP="00125718">
            <w:pPr>
              <w:spacing w:line="276" w:lineRule="auto"/>
              <w:jc w:val="center"/>
              <w:rPr>
                <w:b/>
                <w:sz w:val="16"/>
                <w:szCs w:val="16"/>
              </w:rPr>
            </w:pPr>
            <w:r>
              <w:rPr>
                <w:b/>
                <w:sz w:val="16"/>
                <w:szCs w:val="16"/>
              </w:rPr>
              <w:t>Year</w:t>
            </w:r>
          </w:p>
        </w:tc>
        <w:tc>
          <w:tcPr>
            <w:tcW w:w="785" w:type="dxa"/>
            <w:shd w:val="clear" w:color="auto" w:fill="D9D9D9" w:themeFill="background1" w:themeFillShade="D9"/>
            <w:vAlign w:val="center"/>
          </w:tcPr>
          <w:p w:rsidR="008E36CC" w:rsidRPr="00384915" w:rsidRDefault="008E36CC" w:rsidP="00125718">
            <w:pPr>
              <w:spacing w:line="276" w:lineRule="auto"/>
              <w:jc w:val="center"/>
              <w:rPr>
                <w:b/>
                <w:sz w:val="16"/>
                <w:szCs w:val="16"/>
              </w:rPr>
            </w:pPr>
            <w:r>
              <w:rPr>
                <w:b/>
                <w:sz w:val="16"/>
                <w:szCs w:val="16"/>
              </w:rPr>
              <w:t>House</w:t>
            </w:r>
          </w:p>
        </w:tc>
        <w:tc>
          <w:tcPr>
            <w:tcW w:w="688" w:type="dxa"/>
            <w:shd w:val="clear" w:color="auto" w:fill="D9D9D9" w:themeFill="background1" w:themeFillShade="D9"/>
            <w:vAlign w:val="center"/>
          </w:tcPr>
          <w:p w:rsidR="008E36CC" w:rsidRPr="00384915" w:rsidRDefault="008E36CC" w:rsidP="00ED609F">
            <w:pPr>
              <w:spacing w:line="276" w:lineRule="auto"/>
              <w:jc w:val="center"/>
              <w:rPr>
                <w:b/>
                <w:sz w:val="16"/>
                <w:szCs w:val="16"/>
              </w:rPr>
            </w:pPr>
            <w:r w:rsidRPr="00384915">
              <w:rPr>
                <w:b/>
                <w:sz w:val="16"/>
                <w:szCs w:val="16"/>
              </w:rPr>
              <w:t>ACT</w:t>
            </w:r>
          </w:p>
        </w:tc>
        <w:tc>
          <w:tcPr>
            <w:tcW w:w="688" w:type="dxa"/>
            <w:shd w:val="clear" w:color="auto" w:fill="D9D9D9" w:themeFill="background1" w:themeFillShade="D9"/>
            <w:vAlign w:val="center"/>
          </w:tcPr>
          <w:p w:rsidR="008E36CC" w:rsidRPr="00384915" w:rsidRDefault="008E36CC" w:rsidP="00ED609F">
            <w:pPr>
              <w:spacing w:line="276" w:lineRule="auto"/>
              <w:jc w:val="center"/>
              <w:rPr>
                <w:b/>
                <w:sz w:val="16"/>
                <w:szCs w:val="16"/>
              </w:rPr>
            </w:pPr>
            <w:r w:rsidRPr="00384915">
              <w:rPr>
                <w:b/>
                <w:sz w:val="16"/>
                <w:szCs w:val="16"/>
              </w:rPr>
              <w:t>NSW</w:t>
            </w:r>
          </w:p>
        </w:tc>
        <w:tc>
          <w:tcPr>
            <w:tcW w:w="688" w:type="dxa"/>
            <w:shd w:val="clear" w:color="auto" w:fill="D9D9D9" w:themeFill="background1" w:themeFillShade="D9"/>
            <w:vAlign w:val="center"/>
          </w:tcPr>
          <w:p w:rsidR="008E36CC" w:rsidRPr="00384915" w:rsidRDefault="008E36CC" w:rsidP="00ED609F">
            <w:pPr>
              <w:spacing w:line="276" w:lineRule="auto"/>
              <w:jc w:val="center"/>
              <w:rPr>
                <w:b/>
                <w:sz w:val="16"/>
                <w:szCs w:val="16"/>
              </w:rPr>
            </w:pPr>
            <w:r w:rsidRPr="00384915">
              <w:rPr>
                <w:b/>
                <w:sz w:val="16"/>
                <w:szCs w:val="16"/>
              </w:rPr>
              <w:t>NT</w:t>
            </w:r>
          </w:p>
        </w:tc>
        <w:tc>
          <w:tcPr>
            <w:tcW w:w="688" w:type="dxa"/>
            <w:shd w:val="clear" w:color="auto" w:fill="D9D9D9" w:themeFill="background1" w:themeFillShade="D9"/>
            <w:vAlign w:val="center"/>
          </w:tcPr>
          <w:p w:rsidR="008E36CC" w:rsidRPr="00384915" w:rsidRDefault="008E36CC" w:rsidP="00ED609F">
            <w:pPr>
              <w:spacing w:line="276" w:lineRule="auto"/>
              <w:jc w:val="center"/>
              <w:rPr>
                <w:b/>
                <w:sz w:val="16"/>
                <w:szCs w:val="16"/>
              </w:rPr>
            </w:pPr>
            <w:r w:rsidRPr="00384915">
              <w:rPr>
                <w:b/>
                <w:sz w:val="16"/>
                <w:szCs w:val="16"/>
              </w:rPr>
              <w:t>Qld</w:t>
            </w:r>
          </w:p>
        </w:tc>
        <w:tc>
          <w:tcPr>
            <w:tcW w:w="688" w:type="dxa"/>
            <w:shd w:val="clear" w:color="auto" w:fill="D9D9D9" w:themeFill="background1" w:themeFillShade="D9"/>
            <w:vAlign w:val="center"/>
          </w:tcPr>
          <w:p w:rsidR="008E36CC" w:rsidRPr="00384915" w:rsidRDefault="008E36CC" w:rsidP="00ED609F">
            <w:pPr>
              <w:spacing w:line="276" w:lineRule="auto"/>
              <w:jc w:val="center"/>
              <w:rPr>
                <w:b/>
                <w:sz w:val="16"/>
                <w:szCs w:val="16"/>
              </w:rPr>
            </w:pPr>
            <w:r w:rsidRPr="00384915">
              <w:rPr>
                <w:b/>
                <w:sz w:val="16"/>
                <w:szCs w:val="16"/>
              </w:rPr>
              <w:t>SA</w:t>
            </w:r>
          </w:p>
        </w:tc>
        <w:tc>
          <w:tcPr>
            <w:tcW w:w="688" w:type="dxa"/>
            <w:shd w:val="clear" w:color="auto" w:fill="D9D9D9" w:themeFill="background1" w:themeFillShade="D9"/>
            <w:vAlign w:val="center"/>
          </w:tcPr>
          <w:p w:rsidR="008E36CC" w:rsidRPr="00384915" w:rsidRDefault="008E36CC" w:rsidP="00125718">
            <w:pPr>
              <w:spacing w:line="276" w:lineRule="auto"/>
              <w:jc w:val="center"/>
              <w:rPr>
                <w:b/>
                <w:sz w:val="16"/>
                <w:szCs w:val="16"/>
              </w:rPr>
            </w:pPr>
            <w:r w:rsidRPr="00384915">
              <w:rPr>
                <w:b/>
                <w:sz w:val="16"/>
                <w:szCs w:val="16"/>
              </w:rPr>
              <w:t>Tas</w:t>
            </w:r>
            <w:r w:rsidR="0054367F">
              <w:rPr>
                <w:rStyle w:val="FootnoteReference"/>
                <w:b/>
                <w:sz w:val="16"/>
                <w:szCs w:val="16"/>
              </w:rPr>
              <w:footnoteReference w:id="42"/>
            </w:r>
          </w:p>
        </w:tc>
        <w:tc>
          <w:tcPr>
            <w:tcW w:w="688" w:type="dxa"/>
            <w:shd w:val="clear" w:color="auto" w:fill="D9D9D9" w:themeFill="background1" w:themeFillShade="D9"/>
            <w:vAlign w:val="center"/>
          </w:tcPr>
          <w:p w:rsidR="008E36CC" w:rsidRPr="00384915" w:rsidRDefault="008E36CC" w:rsidP="00125718">
            <w:pPr>
              <w:spacing w:line="276" w:lineRule="auto"/>
              <w:jc w:val="center"/>
              <w:rPr>
                <w:b/>
                <w:sz w:val="16"/>
                <w:szCs w:val="16"/>
              </w:rPr>
            </w:pPr>
            <w:r w:rsidRPr="00384915">
              <w:rPr>
                <w:b/>
                <w:sz w:val="16"/>
                <w:szCs w:val="16"/>
              </w:rPr>
              <w:t>Vic</w:t>
            </w:r>
          </w:p>
        </w:tc>
        <w:tc>
          <w:tcPr>
            <w:tcW w:w="688" w:type="dxa"/>
            <w:shd w:val="clear" w:color="auto" w:fill="D9D9D9" w:themeFill="background1" w:themeFillShade="D9"/>
            <w:vAlign w:val="center"/>
          </w:tcPr>
          <w:p w:rsidR="008E36CC" w:rsidRPr="00384915" w:rsidRDefault="008E36CC" w:rsidP="00125718">
            <w:pPr>
              <w:spacing w:line="276" w:lineRule="auto"/>
              <w:jc w:val="center"/>
              <w:rPr>
                <w:b/>
                <w:sz w:val="16"/>
                <w:szCs w:val="16"/>
              </w:rPr>
            </w:pPr>
            <w:r w:rsidRPr="00384915">
              <w:rPr>
                <w:b/>
                <w:sz w:val="16"/>
                <w:szCs w:val="16"/>
              </w:rPr>
              <w:t>WA</w:t>
            </w:r>
          </w:p>
        </w:tc>
        <w:tc>
          <w:tcPr>
            <w:tcW w:w="1893" w:type="dxa"/>
            <w:shd w:val="clear" w:color="auto" w:fill="D9D9D9" w:themeFill="background1" w:themeFillShade="D9"/>
            <w:vAlign w:val="center"/>
          </w:tcPr>
          <w:p w:rsidR="008E36CC" w:rsidRPr="00384915" w:rsidRDefault="008E36CC" w:rsidP="00125718">
            <w:pPr>
              <w:spacing w:line="276" w:lineRule="auto"/>
              <w:jc w:val="center"/>
              <w:rPr>
                <w:b/>
                <w:sz w:val="16"/>
                <w:szCs w:val="16"/>
              </w:rPr>
            </w:pPr>
            <w:r w:rsidRPr="00384915">
              <w:rPr>
                <w:b/>
                <w:sz w:val="16"/>
                <w:szCs w:val="16"/>
              </w:rPr>
              <w:t>Av</w:t>
            </w:r>
            <w:r>
              <w:rPr>
                <w:b/>
                <w:sz w:val="16"/>
                <w:szCs w:val="16"/>
              </w:rPr>
              <w:t>erage for</w:t>
            </w:r>
            <w:r w:rsidRPr="00384915">
              <w:rPr>
                <w:b/>
                <w:sz w:val="16"/>
                <w:szCs w:val="16"/>
              </w:rPr>
              <w:t xml:space="preserve"> State and Territory Parliaments</w:t>
            </w:r>
          </w:p>
        </w:tc>
        <w:tc>
          <w:tcPr>
            <w:tcW w:w="907" w:type="dxa"/>
            <w:shd w:val="clear" w:color="auto" w:fill="D9D9D9" w:themeFill="background1" w:themeFillShade="D9"/>
            <w:vAlign w:val="center"/>
          </w:tcPr>
          <w:p w:rsidR="008E36CC" w:rsidRPr="00384915" w:rsidRDefault="008E36CC" w:rsidP="00FD16C1">
            <w:pPr>
              <w:spacing w:line="276" w:lineRule="auto"/>
              <w:jc w:val="center"/>
              <w:rPr>
                <w:b/>
                <w:sz w:val="16"/>
                <w:szCs w:val="16"/>
              </w:rPr>
            </w:pPr>
            <w:r w:rsidRPr="00384915">
              <w:rPr>
                <w:b/>
                <w:sz w:val="16"/>
                <w:szCs w:val="16"/>
              </w:rPr>
              <w:t>C</w:t>
            </w:r>
            <w:r w:rsidR="00FD16C1">
              <w:rPr>
                <w:b/>
                <w:sz w:val="16"/>
                <w:szCs w:val="16"/>
              </w:rPr>
              <w:t>mwlth</w:t>
            </w:r>
          </w:p>
        </w:tc>
      </w:tr>
      <w:tr w:rsidR="008E36CC" w:rsidRPr="00125718" w:rsidTr="00327CCC">
        <w:tc>
          <w:tcPr>
            <w:tcW w:w="711" w:type="dxa"/>
            <w:tcBorders>
              <w:bottom w:val="nil"/>
            </w:tcBorders>
            <w:shd w:val="clear" w:color="auto" w:fill="auto"/>
          </w:tcPr>
          <w:p w:rsidR="008E36CC" w:rsidRPr="00125718" w:rsidRDefault="008E36CC" w:rsidP="00125718">
            <w:pPr>
              <w:spacing w:before="60" w:after="60"/>
              <w:rPr>
                <w:sz w:val="16"/>
                <w:szCs w:val="16"/>
              </w:rPr>
            </w:pPr>
            <w:r w:rsidRPr="00125718">
              <w:rPr>
                <w:sz w:val="16"/>
                <w:szCs w:val="16"/>
              </w:rPr>
              <w:t>2014</w:t>
            </w:r>
          </w:p>
        </w:tc>
        <w:tc>
          <w:tcPr>
            <w:tcW w:w="785" w:type="dxa"/>
          </w:tcPr>
          <w:p w:rsidR="008E36CC" w:rsidRPr="00125718" w:rsidRDefault="008E36CC" w:rsidP="00125718">
            <w:pPr>
              <w:spacing w:before="60" w:after="60"/>
              <w:rPr>
                <w:sz w:val="16"/>
                <w:szCs w:val="16"/>
              </w:rPr>
            </w:pPr>
            <w:r w:rsidRPr="00125718">
              <w:rPr>
                <w:sz w:val="16"/>
                <w:szCs w:val="16"/>
              </w:rPr>
              <w:t>Lower</w:t>
            </w:r>
          </w:p>
        </w:tc>
        <w:tc>
          <w:tcPr>
            <w:tcW w:w="688" w:type="dxa"/>
            <w:vAlign w:val="center"/>
          </w:tcPr>
          <w:p w:rsidR="008E36CC" w:rsidRPr="008E36CC" w:rsidRDefault="008E36CC">
            <w:pPr>
              <w:jc w:val="center"/>
              <w:rPr>
                <w:color w:val="000000"/>
                <w:sz w:val="16"/>
                <w:szCs w:val="16"/>
              </w:rPr>
            </w:pPr>
            <w:r w:rsidRPr="008E36CC">
              <w:rPr>
                <w:color w:val="000000"/>
                <w:sz w:val="16"/>
                <w:szCs w:val="16"/>
              </w:rPr>
              <w:t>41</w:t>
            </w:r>
          </w:p>
        </w:tc>
        <w:tc>
          <w:tcPr>
            <w:tcW w:w="688" w:type="dxa"/>
            <w:vAlign w:val="center"/>
          </w:tcPr>
          <w:p w:rsidR="008E36CC" w:rsidRPr="008E36CC" w:rsidRDefault="008E36CC">
            <w:pPr>
              <w:jc w:val="center"/>
              <w:rPr>
                <w:color w:val="000000"/>
                <w:sz w:val="16"/>
                <w:szCs w:val="16"/>
              </w:rPr>
            </w:pPr>
            <w:r w:rsidRPr="008E36CC">
              <w:rPr>
                <w:color w:val="000000"/>
                <w:sz w:val="16"/>
                <w:szCs w:val="16"/>
              </w:rPr>
              <w:t>53</w:t>
            </w:r>
          </w:p>
        </w:tc>
        <w:tc>
          <w:tcPr>
            <w:tcW w:w="688" w:type="dxa"/>
            <w:vAlign w:val="center"/>
          </w:tcPr>
          <w:p w:rsidR="008E36CC" w:rsidRPr="008E36CC" w:rsidRDefault="008E36CC">
            <w:pPr>
              <w:jc w:val="center"/>
              <w:rPr>
                <w:color w:val="000000"/>
                <w:sz w:val="16"/>
                <w:szCs w:val="16"/>
              </w:rPr>
            </w:pPr>
            <w:r w:rsidRPr="008E36CC">
              <w:rPr>
                <w:color w:val="000000"/>
                <w:sz w:val="16"/>
                <w:szCs w:val="16"/>
              </w:rPr>
              <w:t>34</w:t>
            </w:r>
          </w:p>
        </w:tc>
        <w:tc>
          <w:tcPr>
            <w:tcW w:w="688" w:type="dxa"/>
            <w:vAlign w:val="center"/>
          </w:tcPr>
          <w:p w:rsidR="008E36CC" w:rsidRPr="008E36CC" w:rsidRDefault="008E36CC">
            <w:pPr>
              <w:jc w:val="center"/>
              <w:rPr>
                <w:color w:val="000000"/>
                <w:sz w:val="16"/>
                <w:szCs w:val="16"/>
              </w:rPr>
            </w:pPr>
            <w:r w:rsidRPr="008E36CC">
              <w:rPr>
                <w:color w:val="000000"/>
                <w:sz w:val="16"/>
                <w:szCs w:val="16"/>
              </w:rPr>
              <w:t>40</w:t>
            </w:r>
          </w:p>
        </w:tc>
        <w:tc>
          <w:tcPr>
            <w:tcW w:w="688" w:type="dxa"/>
            <w:vAlign w:val="center"/>
          </w:tcPr>
          <w:p w:rsidR="008E36CC" w:rsidRPr="008E36CC" w:rsidRDefault="008E36CC">
            <w:pPr>
              <w:jc w:val="center"/>
              <w:rPr>
                <w:color w:val="000000"/>
                <w:sz w:val="16"/>
                <w:szCs w:val="16"/>
              </w:rPr>
            </w:pPr>
            <w:r w:rsidRPr="008E36CC">
              <w:rPr>
                <w:color w:val="000000"/>
                <w:sz w:val="16"/>
                <w:szCs w:val="16"/>
              </w:rPr>
              <w:t>40</w:t>
            </w:r>
          </w:p>
        </w:tc>
        <w:tc>
          <w:tcPr>
            <w:tcW w:w="688" w:type="dxa"/>
            <w:shd w:val="clear" w:color="auto" w:fill="auto"/>
            <w:vAlign w:val="center"/>
          </w:tcPr>
          <w:p w:rsidR="008E36CC" w:rsidRPr="0054367F" w:rsidRDefault="008E36CC" w:rsidP="002B707A">
            <w:pPr>
              <w:jc w:val="center"/>
              <w:rPr>
                <w:color w:val="000000"/>
                <w:sz w:val="16"/>
                <w:szCs w:val="16"/>
              </w:rPr>
            </w:pPr>
            <w:r w:rsidRPr="0054367F">
              <w:rPr>
                <w:color w:val="000000"/>
                <w:sz w:val="16"/>
                <w:szCs w:val="16"/>
              </w:rPr>
              <w:t>38</w:t>
            </w:r>
            <w:r w:rsidR="009D0949" w:rsidRPr="0054367F">
              <w:rPr>
                <w:color w:val="000000"/>
                <w:sz w:val="16"/>
                <w:szCs w:val="16"/>
              </w:rPr>
              <w:t xml:space="preserve"> </w:t>
            </w:r>
          </w:p>
        </w:tc>
        <w:tc>
          <w:tcPr>
            <w:tcW w:w="688" w:type="dxa"/>
            <w:shd w:val="clear" w:color="auto" w:fill="auto"/>
            <w:vAlign w:val="center"/>
          </w:tcPr>
          <w:p w:rsidR="008E36CC" w:rsidRPr="008E36CC" w:rsidRDefault="008E36CC">
            <w:pPr>
              <w:jc w:val="center"/>
              <w:rPr>
                <w:color w:val="000000"/>
                <w:sz w:val="16"/>
                <w:szCs w:val="16"/>
              </w:rPr>
            </w:pPr>
            <w:r w:rsidRPr="008E36CC">
              <w:rPr>
                <w:color w:val="000000"/>
                <w:sz w:val="16"/>
                <w:szCs w:val="16"/>
              </w:rPr>
              <w:t>45</w:t>
            </w:r>
          </w:p>
        </w:tc>
        <w:tc>
          <w:tcPr>
            <w:tcW w:w="688" w:type="dxa"/>
            <w:shd w:val="clear" w:color="auto" w:fill="auto"/>
            <w:vAlign w:val="center"/>
          </w:tcPr>
          <w:p w:rsidR="008E36CC" w:rsidRPr="008E36CC" w:rsidRDefault="008E36CC">
            <w:pPr>
              <w:jc w:val="center"/>
              <w:rPr>
                <w:color w:val="000000"/>
                <w:sz w:val="16"/>
                <w:szCs w:val="16"/>
              </w:rPr>
            </w:pPr>
            <w:r w:rsidRPr="008E36CC">
              <w:rPr>
                <w:color w:val="000000"/>
                <w:sz w:val="16"/>
                <w:szCs w:val="16"/>
              </w:rPr>
              <w:t>63</w:t>
            </w:r>
          </w:p>
        </w:tc>
        <w:tc>
          <w:tcPr>
            <w:tcW w:w="1893" w:type="dxa"/>
            <w:shd w:val="clear" w:color="auto" w:fill="F2F2F2" w:themeFill="background1" w:themeFillShade="F2"/>
            <w:vAlign w:val="center"/>
          </w:tcPr>
          <w:p w:rsidR="008E36CC" w:rsidRPr="008E36CC" w:rsidRDefault="008E36CC">
            <w:pPr>
              <w:jc w:val="center"/>
              <w:rPr>
                <w:color w:val="000000"/>
                <w:sz w:val="16"/>
                <w:szCs w:val="16"/>
              </w:rPr>
            </w:pPr>
            <w:r w:rsidRPr="008E36CC">
              <w:rPr>
                <w:color w:val="000000"/>
                <w:sz w:val="16"/>
                <w:szCs w:val="16"/>
              </w:rPr>
              <w:t>44.3</w:t>
            </w:r>
          </w:p>
        </w:tc>
        <w:tc>
          <w:tcPr>
            <w:tcW w:w="907" w:type="dxa"/>
            <w:vAlign w:val="center"/>
          </w:tcPr>
          <w:p w:rsidR="008E36CC" w:rsidRPr="008E36CC" w:rsidRDefault="008E36CC">
            <w:pPr>
              <w:jc w:val="center"/>
              <w:rPr>
                <w:color w:val="000000"/>
                <w:sz w:val="16"/>
                <w:szCs w:val="16"/>
              </w:rPr>
            </w:pPr>
            <w:r w:rsidRPr="008E36CC">
              <w:rPr>
                <w:color w:val="000000"/>
                <w:sz w:val="16"/>
                <w:szCs w:val="16"/>
              </w:rPr>
              <w:t>76</w:t>
            </w:r>
          </w:p>
        </w:tc>
      </w:tr>
      <w:tr w:rsidR="008E36CC" w:rsidRPr="00125718" w:rsidTr="00327CCC">
        <w:tc>
          <w:tcPr>
            <w:tcW w:w="711" w:type="dxa"/>
            <w:tcBorders>
              <w:top w:val="nil"/>
              <w:bottom w:val="single" w:sz="4" w:space="0" w:color="auto"/>
            </w:tcBorders>
            <w:shd w:val="clear" w:color="auto" w:fill="auto"/>
          </w:tcPr>
          <w:p w:rsidR="008E36CC" w:rsidRPr="00125718" w:rsidRDefault="008E36CC" w:rsidP="00125718">
            <w:pPr>
              <w:spacing w:before="60" w:after="60"/>
              <w:rPr>
                <w:sz w:val="16"/>
                <w:szCs w:val="16"/>
              </w:rPr>
            </w:pPr>
          </w:p>
        </w:tc>
        <w:tc>
          <w:tcPr>
            <w:tcW w:w="785" w:type="dxa"/>
          </w:tcPr>
          <w:p w:rsidR="008E36CC" w:rsidRPr="00125718" w:rsidRDefault="008E36CC" w:rsidP="00125718">
            <w:pPr>
              <w:spacing w:before="60" w:after="60"/>
              <w:rPr>
                <w:sz w:val="16"/>
                <w:szCs w:val="16"/>
              </w:rPr>
            </w:pPr>
            <w:r w:rsidRPr="00125718">
              <w:rPr>
                <w:sz w:val="16"/>
                <w:szCs w:val="16"/>
              </w:rPr>
              <w:t>Upper</w:t>
            </w:r>
          </w:p>
        </w:tc>
        <w:tc>
          <w:tcPr>
            <w:tcW w:w="688" w:type="dxa"/>
            <w:vAlign w:val="center"/>
          </w:tcPr>
          <w:p w:rsidR="008E36CC" w:rsidRPr="008E36CC" w:rsidRDefault="008E36CC">
            <w:pPr>
              <w:jc w:val="center"/>
              <w:rPr>
                <w:color w:val="000000"/>
                <w:sz w:val="16"/>
                <w:szCs w:val="16"/>
              </w:rPr>
            </w:pPr>
          </w:p>
        </w:tc>
        <w:tc>
          <w:tcPr>
            <w:tcW w:w="688" w:type="dxa"/>
            <w:vAlign w:val="center"/>
          </w:tcPr>
          <w:p w:rsidR="008E36CC" w:rsidRPr="008E36CC" w:rsidRDefault="008E36CC">
            <w:pPr>
              <w:jc w:val="center"/>
              <w:rPr>
                <w:color w:val="000000"/>
                <w:sz w:val="16"/>
                <w:szCs w:val="16"/>
              </w:rPr>
            </w:pPr>
            <w:r w:rsidRPr="008E36CC">
              <w:rPr>
                <w:color w:val="000000"/>
                <w:sz w:val="16"/>
                <w:szCs w:val="16"/>
              </w:rPr>
              <w:t>47</w:t>
            </w:r>
          </w:p>
        </w:tc>
        <w:tc>
          <w:tcPr>
            <w:tcW w:w="688" w:type="dxa"/>
            <w:vAlign w:val="center"/>
          </w:tcPr>
          <w:p w:rsidR="008E36CC" w:rsidRPr="008E36CC" w:rsidRDefault="008E36CC">
            <w:pPr>
              <w:jc w:val="center"/>
              <w:rPr>
                <w:color w:val="000000"/>
                <w:sz w:val="16"/>
                <w:szCs w:val="16"/>
              </w:rPr>
            </w:pPr>
          </w:p>
        </w:tc>
        <w:tc>
          <w:tcPr>
            <w:tcW w:w="688" w:type="dxa"/>
            <w:vAlign w:val="center"/>
          </w:tcPr>
          <w:p w:rsidR="008E36CC" w:rsidRPr="008E36CC" w:rsidRDefault="008E36CC">
            <w:pPr>
              <w:jc w:val="center"/>
              <w:rPr>
                <w:color w:val="000000"/>
                <w:sz w:val="16"/>
                <w:szCs w:val="16"/>
              </w:rPr>
            </w:pPr>
          </w:p>
        </w:tc>
        <w:tc>
          <w:tcPr>
            <w:tcW w:w="688" w:type="dxa"/>
            <w:vAlign w:val="center"/>
          </w:tcPr>
          <w:p w:rsidR="008E36CC" w:rsidRPr="008E36CC" w:rsidRDefault="008E36CC">
            <w:pPr>
              <w:jc w:val="center"/>
              <w:rPr>
                <w:color w:val="000000"/>
                <w:sz w:val="16"/>
                <w:szCs w:val="16"/>
              </w:rPr>
            </w:pPr>
            <w:r w:rsidRPr="008E36CC">
              <w:rPr>
                <w:color w:val="000000"/>
                <w:sz w:val="16"/>
                <w:szCs w:val="16"/>
              </w:rPr>
              <w:t>40</w:t>
            </w:r>
          </w:p>
        </w:tc>
        <w:tc>
          <w:tcPr>
            <w:tcW w:w="688" w:type="dxa"/>
            <w:shd w:val="clear" w:color="auto" w:fill="auto"/>
            <w:vAlign w:val="center"/>
          </w:tcPr>
          <w:p w:rsidR="008E36CC" w:rsidRPr="0054367F" w:rsidRDefault="008E36CC" w:rsidP="00D12A0A">
            <w:pPr>
              <w:jc w:val="center"/>
              <w:rPr>
                <w:color w:val="000000"/>
                <w:sz w:val="16"/>
                <w:szCs w:val="16"/>
              </w:rPr>
            </w:pPr>
            <w:r w:rsidRPr="0054367F">
              <w:rPr>
                <w:color w:val="000000"/>
                <w:sz w:val="16"/>
                <w:szCs w:val="16"/>
              </w:rPr>
              <w:t>36</w:t>
            </w:r>
          </w:p>
        </w:tc>
        <w:tc>
          <w:tcPr>
            <w:tcW w:w="688" w:type="dxa"/>
            <w:shd w:val="clear" w:color="auto" w:fill="auto"/>
            <w:vAlign w:val="center"/>
          </w:tcPr>
          <w:p w:rsidR="008E36CC" w:rsidRPr="008E36CC" w:rsidRDefault="008E36CC">
            <w:pPr>
              <w:jc w:val="center"/>
              <w:rPr>
                <w:color w:val="000000"/>
                <w:sz w:val="16"/>
                <w:szCs w:val="16"/>
              </w:rPr>
            </w:pPr>
            <w:r w:rsidRPr="008E36CC">
              <w:rPr>
                <w:color w:val="000000"/>
                <w:sz w:val="16"/>
                <w:szCs w:val="16"/>
              </w:rPr>
              <w:t>43</w:t>
            </w:r>
          </w:p>
        </w:tc>
        <w:tc>
          <w:tcPr>
            <w:tcW w:w="688" w:type="dxa"/>
            <w:shd w:val="clear" w:color="auto" w:fill="auto"/>
            <w:vAlign w:val="center"/>
          </w:tcPr>
          <w:p w:rsidR="008E36CC" w:rsidRPr="008E36CC" w:rsidRDefault="008E36CC">
            <w:pPr>
              <w:jc w:val="center"/>
              <w:rPr>
                <w:color w:val="000000"/>
                <w:sz w:val="16"/>
                <w:szCs w:val="16"/>
              </w:rPr>
            </w:pPr>
            <w:r w:rsidRPr="008E36CC">
              <w:rPr>
                <w:color w:val="000000"/>
                <w:sz w:val="16"/>
                <w:szCs w:val="16"/>
              </w:rPr>
              <w:t>59</w:t>
            </w:r>
          </w:p>
        </w:tc>
        <w:tc>
          <w:tcPr>
            <w:tcW w:w="1893" w:type="dxa"/>
            <w:shd w:val="clear" w:color="auto" w:fill="F2F2F2" w:themeFill="background1" w:themeFillShade="F2"/>
            <w:vAlign w:val="center"/>
          </w:tcPr>
          <w:p w:rsidR="008E36CC" w:rsidRPr="008E36CC" w:rsidRDefault="008E36CC">
            <w:pPr>
              <w:jc w:val="center"/>
              <w:rPr>
                <w:color w:val="000000"/>
                <w:sz w:val="16"/>
                <w:szCs w:val="16"/>
              </w:rPr>
            </w:pPr>
            <w:r w:rsidRPr="008E36CC">
              <w:rPr>
                <w:color w:val="000000"/>
                <w:sz w:val="16"/>
                <w:szCs w:val="16"/>
              </w:rPr>
              <w:t>45.0</w:t>
            </w:r>
          </w:p>
        </w:tc>
        <w:tc>
          <w:tcPr>
            <w:tcW w:w="907" w:type="dxa"/>
            <w:vAlign w:val="center"/>
          </w:tcPr>
          <w:p w:rsidR="008E36CC" w:rsidRPr="008E36CC" w:rsidRDefault="008E36CC">
            <w:pPr>
              <w:jc w:val="center"/>
              <w:rPr>
                <w:color w:val="000000"/>
                <w:sz w:val="16"/>
                <w:szCs w:val="16"/>
              </w:rPr>
            </w:pPr>
            <w:r w:rsidRPr="008E36CC">
              <w:rPr>
                <w:color w:val="000000"/>
                <w:sz w:val="16"/>
                <w:szCs w:val="16"/>
              </w:rPr>
              <w:t>63</w:t>
            </w:r>
          </w:p>
        </w:tc>
      </w:tr>
      <w:tr w:rsidR="008E36CC" w:rsidRPr="00125718" w:rsidTr="00327CCC">
        <w:tc>
          <w:tcPr>
            <w:tcW w:w="711" w:type="dxa"/>
            <w:tcBorders>
              <w:bottom w:val="nil"/>
            </w:tcBorders>
            <w:shd w:val="clear" w:color="auto" w:fill="auto"/>
          </w:tcPr>
          <w:p w:rsidR="008E36CC" w:rsidRPr="00125718" w:rsidRDefault="008E36CC" w:rsidP="00125718">
            <w:pPr>
              <w:spacing w:before="60" w:after="60"/>
              <w:rPr>
                <w:sz w:val="16"/>
                <w:szCs w:val="16"/>
              </w:rPr>
            </w:pPr>
            <w:r w:rsidRPr="00125718">
              <w:rPr>
                <w:sz w:val="16"/>
                <w:szCs w:val="16"/>
              </w:rPr>
              <w:t>2015</w:t>
            </w:r>
          </w:p>
        </w:tc>
        <w:tc>
          <w:tcPr>
            <w:tcW w:w="785" w:type="dxa"/>
          </w:tcPr>
          <w:p w:rsidR="008E36CC" w:rsidRPr="00125718" w:rsidRDefault="008E36CC" w:rsidP="00125718">
            <w:pPr>
              <w:spacing w:before="60" w:after="60"/>
              <w:rPr>
                <w:sz w:val="16"/>
                <w:szCs w:val="16"/>
              </w:rPr>
            </w:pPr>
            <w:r w:rsidRPr="00125718">
              <w:rPr>
                <w:sz w:val="16"/>
                <w:szCs w:val="16"/>
              </w:rPr>
              <w:t>Lower</w:t>
            </w:r>
          </w:p>
        </w:tc>
        <w:tc>
          <w:tcPr>
            <w:tcW w:w="688" w:type="dxa"/>
            <w:vAlign w:val="center"/>
          </w:tcPr>
          <w:p w:rsidR="008E36CC" w:rsidRPr="008E36CC" w:rsidRDefault="008E36CC">
            <w:pPr>
              <w:jc w:val="center"/>
              <w:rPr>
                <w:color w:val="000000"/>
                <w:sz w:val="16"/>
                <w:szCs w:val="16"/>
              </w:rPr>
            </w:pPr>
            <w:r w:rsidRPr="008E36CC">
              <w:rPr>
                <w:color w:val="000000"/>
                <w:sz w:val="16"/>
                <w:szCs w:val="16"/>
              </w:rPr>
              <w:t>39</w:t>
            </w:r>
          </w:p>
        </w:tc>
        <w:tc>
          <w:tcPr>
            <w:tcW w:w="688" w:type="dxa"/>
            <w:vAlign w:val="center"/>
          </w:tcPr>
          <w:p w:rsidR="008E36CC" w:rsidRPr="008E36CC" w:rsidRDefault="008E36CC">
            <w:pPr>
              <w:jc w:val="center"/>
              <w:rPr>
                <w:color w:val="000000"/>
                <w:sz w:val="16"/>
                <w:szCs w:val="16"/>
              </w:rPr>
            </w:pPr>
            <w:r w:rsidRPr="008E36CC">
              <w:rPr>
                <w:color w:val="000000"/>
                <w:sz w:val="16"/>
                <w:szCs w:val="16"/>
              </w:rPr>
              <w:t>45</w:t>
            </w:r>
          </w:p>
        </w:tc>
        <w:tc>
          <w:tcPr>
            <w:tcW w:w="688" w:type="dxa"/>
            <w:vAlign w:val="center"/>
          </w:tcPr>
          <w:p w:rsidR="008E36CC" w:rsidRPr="008E36CC" w:rsidRDefault="008E36CC">
            <w:pPr>
              <w:jc w:val="center"/>
              <w:rPr>
                <w:color w:val="000000"/>
                <w:sz w:val="16"/>
                <w:szCs w:val="16"/>
              </w:rPr>
            </w:pPr>
            <w:r w:rsidRPr="008E36CC">
              <w:rPr>
                <w:color w:val="000000"/>
                <w:sz w:val="16"/>
                <w:szCs w:val="16"/>
              </w:rPr>
              <w:t>28</w:t>
            </w:r>
          </w:p>
        </w:tc>
        <w:tc>
          <w:tcPr>
            <w:tcW w:w="688" w:type="dxa"/>
            <w:vAlign w:val="center"/>
          </w:tcPr>
          <w:p w:rsidR="008E36CC" w:rsidRPr="008E36CC" w:rsidRDefault="008E36CC">
            <w:pPr>
              <w:jc w:val="center"/>
              <w:rPr>
                <w:color w:val="000000"/>
                <w:sz w:val="16"/>
                <w:szCs w:val="16"/>
              </w:rPr>
            </w:pPr>
            <w:r w:rsidRPr="008E36CC">
              <w:rPr>
                <w:color w:val="000000"/>
                <w:sz w:val="16"/>
                <w:szCs w:val="16"/>
              </w:rPr>
              <w:t>33</w:t>
            </w:r>
          </w:p>
        </w:tc>
        <w:tc>
          <w:tcPr>
            <w:tcW w:w="688" w:type="dxa"/>
            <w:vAlign w:val="center"/>
          </w:tcPr>
          <w:p w:rsidR="008E36CC" w:rsidRPr="008E36CC" w:rsidRDefault="008E36CC">
            <w:pPr>
              <w:jc w:val="center"/>
              <w:rPr>
                <w:color w:val="000000"/>
                <w:sz w:val="16"/>
                <w:szCs w:val="16"/>
              </w:rPr>
            </w:pPr>
            <w:r w:rsidRPr="008E36CC">
              <w:rPr>
                <w:color w:val="000000"/>
                <w:sz w:val="16"/>
                <w:szCs w:val="16"/>
              </w:rPr>
              <w:t>48</w:t>
            </w:r>
          </w:p>
        </w:tc>
        <w:tc>
          <w:tcPr>
            <w:tcW w:w="688" w:type="dxa"/>
            <w:shd w:val="clear" w:color="auto" w:fill="auto"/>
            <w:vAlign w:val="center"/>
          </w:tcPr>
          <w:p w:rsidR="008E36CC" w:rsidRPr="0054367F" w:rsidRDefault="008E36CC">
            <w:pPr>
              <w:jc w:val="center"/>
              <w:rPr>
                <w:color w:val="000000"/>
                <w:sz w:val="16"/>
                <w:szCs w:val="16"/>
              </w:rPr>
            </w:pPr>
            <w:r w:rsidRPr="0054367F">
              <w:rPr>
                <w:color w:val="000000"/>
                <w:sz w:val="16"/>
                <w:szCs w:val="16"/>
              </w:rPr>
              <w:t>45</w:t>
            </w:r>
          </w:p>
        </w:tc>
        <w:tc>
          <w:tcPr>
            <w:tcW w:w="688" w:type="dxa"/>
            <w:shd w:val="clear" w:color="auto" w:fill="auto"/>
            <w:vAlign w:val="center"/>
          </w:tcPr>
          <w:p w:rsidR="008E36CC" w:rsidRPr="008E36CC" w:rsidRDefault="008E36CC">
            <w:pPr>
              <w:jc w:val="center"/>
              <w:rPr>
                <w:color w:val="000000"/>
                <w:sz w:val="16"/>
                <w:szCs w:val="16"/>
              </w:rPr>
            </w:pPr>
            <w:r w:rsidRPr="008E36CC">
              <w:rPr>
                <w:color w:val="000000"/>
                <w:sz w:val="16"/>
                <w:szCs w:val="16"/>
              </w:rPr>
              <w:t>51</w:t>
            </w:r>
          </w:p>
        </w:tc>
        <w:tc>
          <w:tcPr>
            <w:tcW w:w="688" w:type="dxa"/>
            <w:shd w:val="clear" w:color="auto" w:fill="auto"/>
            <w:vAlign w:val="center"/>
          </w:tcPr>
          <w:p w:rsidR="008E36CC" w:rsidRPr="008E36CC" w:rsidRDefault="008E36CC">
            <w:pPr>
              <w:jc w:val="center"/>
              <w:rPr>
                <w:color w:val="000000"/>
                <w:sz w:val="16"/>
                <w:szCs w:val="16"/>
              </w:rPr>
            </w:pPr>
            <w:r w:rsidRPr="008E36CC">
              <w:rPr>
                <w:color w:val="000000"/>
                <w:sz w:val="16"/>
                <w:szCs w:val="16"/>
              </w:rPr>
              <w:t>63</w:t>
            </w:r>
          </w:p>
        </w:tc>
        <w:tc>
          <w:tcPr>
            <w:tcW w:w="1893" w:type="dxa"/>
            <w:shd w:val="clear" w:color="auto" w:fill="F2F2F2" w:themeFill="background1" w:themeFillShade="F2"/>
            <w:vAlign w:val="center"/>
          </w:tcPr>
          <w:p w:rsidR="008E36CC" w:rsidRPr="008E36CC" w:rsidRDefault="008E36CC">
            <w:pPr>
              <w:jc w:val="center"/>
              <w:rPr>
                <w:color w:val="000000"/>
                <w:sz w:val="16"/>
                <w:szCs w:val="16"/>
              </w:rPr>
            </w:pPr>
            <w:r w:rsidRPr="008E36CC">
              <w:rPr>
                <w:color w:val="000000"/>
                <w:sz w:val="16"/>
                <w:szCs w:val="16"/>
              </w:rPr>
              <w:t>44.0</w:t>
            </w:r>
          </w:p>
        </w:tc>
        <w:tc>
          <w:tcPr>
            <w:tcW w:w="907" w:type="dxa"/>
            <w:vAlign w:val="center"/>
          </w:tcPr>
          <w:p w:rsidR="008E36CC" w:rsidRPr="008E36CC" w:rsidRDefault="008E36CC">
            <w:pPr>
              <w:jc w:val="center"/>
              <w:rPr>
                <w:color w:val="000000"/>
                <w:sz w:val="16"/>
                <w:szCs w:val="16"/>
              </w:rPr>
            </w:pPr>
            <w:r w:rsidRPr="008E36CC">
              <w:rPr>
                <w:color w:val="000000"/>
                <w:sz w:val="16"/>
                <w:szCs w:val="16"/>
              </w:rPr>
              <w:t>75</w:t>
            </w:r>
          </w:p>
        </w:tc>
      </w:tr>
      <w:tr w:rsidR="008E36CC" w:rsidRPr="00125718" w:rsidTr="00327CCC">
        <w:tc>
          <w:tcPr>
            <w:tcW w:w="711" w:type="dxa"/>
            <w:tcBorders>
              <w:top w:val="nil"/>
            </w:tcBorders>
            <w:shd w:val="clear" w:color="auto" w:fill="auto"/>
          </w:tcPr>
          <w:p w:rsidR="008E36CC" w:rsidRPr="00125718" w:rsidRDefault="008E36CC" w:rsidP="00125718">
            <w:pPr>
              <w:spacing w:before="60" w:after="60"/>
              <w:rPr>
                <w:sz w:val="16"/>
                <w:szCs w:val="16"/>
              </w:rPr>
            </w:pPr>
          </w:p>
        </w:tc>
        <w:tc>
          <w:tcPr>
            <w:tcW w:w="785" w:type="dxa"/>
          </w:tcPr>
          <w:p w:rsidR="008E36CC" w:rsidRPr="00125718" w:rsidRDefault="008E36CC" w:rsidP="00125718">
            <w:pPr>
              <w:spacing w:before="60" w:after="60"/>
              <w:rPr>
                <w:sz w:val="16"/>
                <w:szCs w:val="16"/>
              </w:rPr>
            </w:pPr>
            <w:r w:rsidRPr="00125718">
              <w:rPr>
                <w:sz w:val="16"/>
                <w:szCs w:val="16"/>
              </w:rPr>
              <w:t>Upper</w:t>
            </w:r>
          </w:p>
        </w:tc>
        <w:tc>
          <w:tcPr>
            <w:tcW w:w="688" w:type="dxa"/>
            <w:vAlign w:val="center"/>
          </w:tcPr>
          <w:p w:rsidR="008E36CC" w:rsidRPr="008E36CC" w:rsidRDefault="008E36CC">
            <w:pPr>
              <w:jc w:val="center"/>
              <w:rPr>
                <w:color w:val="000000"/>
                <w:sz w:val="16"/>
                <w:szCs w:val="16"/>
              </w:rPr>
            </w:pPr>
          </w:p>
        </w:tc>
        <w:tc>
          <w:tcPr>
            <w:tcW w:w="688" w:type="dxa"/>
            <w:vAlign w:val="center"/>
          </w:tcPr>
          <w:p w:rsidR="008E36CC" w:rsidRPr="008E36CC" w:rsidRDefault="008E36CC">
            <w:pPr>
              <w:jc w:val="center"/>
              <w:rPr>
                <w:color w:val="000000"/>
                <w:sz w:val="16"/>
                <w:szCs w:val="16"/>
              </w:rPr>
            </w:pPr>
            <w:r w:rsidRPr="008E36CC">
              <w:rPr>
                <w:color w:val="000000"/>
                <w:sz w:val="16"/>
                <w:szCs w:val="16"/>
              </w:rPr>
              <w:t>41</w:t>
            </w:r>
          </w:p>
        </w:tc>
        <w:tc>
          <w:tcPr>
            <w:tcW w:w="688" w:type="dxa"/>
            <w:vAlign w:val="center"/>
          </w:tcPr>
          <w:p w:rsidR="008E36CC" w:rsidRPr="008E36CC" w:rsidRDefault="008E36CC">
            <w:pPr>
              <w:jc w:val="center"/>
              <w:rPr>
                <w:color w:val="000000"/>
                <w:sz w:val="16"/>
                <w:szCs w:val="16"/>
              </w:rPr>
            </w:pPr>
          </w:p>
        </w:tc>
        <w:tc>
          <w:tcPr>
            <w:tcW w:w="688" w:type="dxa"/>
            <w:vAlign w:val="center"/>
          </w:tcPr>
          <w:p w:rsidR="008E36CC" w:rsidRPr="008E36CC" w:rsidRDefault="008E36CC">
            <w:pPr>
              <w:jc w:val="center"/>
              <w:rPr>
                <w:color w:val="000000"/>
                <w:sz w:val="16"/>
                <w:szCs w:val="16"/>
              </w:rPr>
            </w:pPr>
          </w:p>
        </w:tc>
        <w:tc>
          <w:tcPr>
            <w:tcW w:w="688" w:type="dxa"/>
            <w:vAlign w:val="center"/>
          </w:tcPr>
          <w:p w:rsidR="008E36CC" w:rsidRPr="008E36CC" w:rsidRDefault="008E36CC">
            <w:pPr>
              <w:jc w:val="center"/>
              <w:rPr>
                <w:color w:val="000000"/>
                <w:sz w:val="16"/>
                <w:szCs w:val="16"/>
              </w:rPr>
            </w:pPr>
            <w:r w:rsidRPr="008E36CC">
              <w:rPr>
                <w:color w:val="000000"/>
                <w:sz w:val="16"/>
                <w:szCs w:val="16"/>
              </w:rPr>
              <w:t>50</w:t>
            </w:r>
          </w:p>
        </w:tc>
        <w:tc>
          <w:tcPr>
            <w:tcW w:w="688" w:type="dxa"/>
            <w:shd w:val="clear" w:color="auto" w:fill="auto"/>
            <w:vAlign w:val="center"/>
          </w:tcPr>
          <w:p w:rsidR="008E36CC" w:rsidRPr="0054367F" w:rsidRDefault="008E36CC">
            <w:pPr>
              <w:jc w:val="center"/>
              <w:rPr>
                <w:color w:val="000000"/>
                <w:sz w:val="16"/>
                <w:szCs w:val="16"/>
              </w:rPr>
            </w:pPr>
            <w:r w:rsidRPr="0054367F">
              <w:rPr>
                <w:color w:val="000000"/>
                <w:sz w:val="16"/>
                <w:szCs w:val="16"/>
              </w:rPr>
              <w:t>44</w:t>
            </w:r>
          </w:p>
        </w:tc>
        <w:tc>
          <w:tcPr>
            <w:tcW w:w="688" w:type="dxa"/>
            <w:shd w:val="clear" w:color="auto" w:fill="auto"/>
            <w:vAlign w:val="center"/>
          </w:tcPr>
          <w:p w:rsidR="008E36CC" w:rsidRPr="008E36CC" w:rsidRDefault="008E36CC">
            <w:pPr>
              <w:jc w:val="center"/>
              <w:rPr>
                <w:color w:val="000000"/>
                <w:sz w:val="16"/>
                <w:szCs w:val="16"/>
              </w:rPr>
            </w:pPr>
            <w:r w:rsidRPr="008E36CC">
              <w:rPr>
                <w:color w:val="000000"/>
                <w:sz w:val="16"/>
                <w:szCs w:val="16"/>
              </w:rPr>
              <w:t>51</w:t>
            </w:r>
          </w:p>
        </w:tc>
        <w:tc>
          <w:tcPr>
            <w:tcW w:w="688" w:type="dxa"/>
            <w:shd w:val="clear" w:color="auto" w:fill="auto"/>
            <w:vAlign w:val="center"/>
          </w:tcPr>
          <w:p w:rsidR="008E36CC" w:rsidRPr="008E36CC" w:rsidRDefault="008E36CC">
            <w:pPr>
              <w:jc w:val="center"/>
              <w:rPr>
                <w:color w:val="000000"/>
                <w:sz w:val="16"/>
                <w:szCs w:val="16"/>
              </w:rPr>
            </w:pPr>
            <w:r w:rsidRPr="008E36CC">
              <w:rPr>
                <w:color w:val="000000"/>
                <w:sz w:val="16"/>
                <w:szCs w:val="16"/>
              </w:rPr>
              <w:t>60</w:t>
            </w:r>
          </w:p>
        </w:tc>
        <w:tc>
          <w:tcPr>
            <w:tcW w:w="1893" w:type="dxa"/>
            <w:shd w:val="clear" w:color="auto" w:fill="F2F2F2" w:themeFill="background1" w:themeFillShade="F2"/>
            <w:vAlign w:val="center"/>
          </w:tcPr>
          <w:p w:rsidR="008E36CC" w:rsidRPr="008E36CC" w:rsidRDefault="008E36CC">
            <w:pPr>
              <w:jc w:val="center"/>
              <w:rPr>
                <w:color w:val="000000"/>
                <w:sz w:val="16"/>
                <w:szCs w:val="16"/>
              </w:rPr>
            </w:pPr>
            <w:r w:rsidRPr="008E36CC">
              <w:rPr>
                <w:color w:val="000000"/>
                <w:sz w:val="16"/>
                <w:szCs w:val="16"/>
              </w:rPr>
              <w:t>49.2</w:t>
            </w:r>
          </w:p>
        </w:tc>
        <w:tc>
          <w:tcPr>
            <w:tcW w:w="907" w:type="dxa"/>
            <w:vAlign w:val="center"/>
          </w:tcPr>
          <w:p w:rsidR="008E36CC" w:rsidRPr="008E36CC" w:rsidRDefault="008E36CC">
            <w:pPr>
              <w:jc w:val="center"/>
              <w:rPr>
                <w:color w:val="000000"/>
                <w:sz w:val="16"/>
                <w:szCs w:val="16"/>
              </w:rPr>
            </w:pPr>
            <w:r w:rsidRPr="008E36CC">
              <w:rPr>
                <w:color w:val="000000"/>
                <w:sz w:val="16"/>
                <w:szCs w:val="16"/>
              </w:rPr>
              <w:t>60</w:t>
            </w:r>
          </w:p>
        </w:tc>
      </w:tr>
    </w:tbl>
    <w:p w:rsidR="00E11689" w:rsidRPr="00384915" w:rsidRDefault="00E11689" w:rsidP="00E11689">
      <w:pPr>
        <w:spacing w:line="276" w:lineRule="auto"/>
        <w:rPr>
          <w:rFonts w:eastAsia="Times New Roman"/>
          <w:b/>
          <w:sz w:val="16"/>
          <w:szCs w:val="16"/>
          <w:lang w:val="en" w:eastAsia="en-AU"/>
        </w:rPr>
      </w:pPr>
    </w:p>
    <w:p w:rsidR="009D0949" w:rsidRDefault="009D0949" w:rsidP="00F324DE">
      <w:pPr>
        <w:pStyle w:val="textbasic"/>
        <w:rPr>
          <w:lang w:val="en-AU"/>
        </w:rPr>
      </w:pPr>
      <w:r w:rsidRPr="009D0949">
        <w:rPr>
          <w:lang w:val="en-AU"/>
        </w:rPr>
        <w:t>In our view</w:t>
      </w:r>
      <w:r>
        <w:rPr>
          <w:lang w:val="en-AU"/>
        </w:rPr>
        <w:t>, t</w:t>
      </w:r>
      <w:r w:rsidRPr="009D0949">
        <w:rPr>
          <w:lang w:val="en-AU"/>
        </w:rPr>
        <w:t xml:space="preserve">he use of ‘sitting days’ as a measure of productivity and/or work value is problematic. </w:t>
      </w:r>
      <w:r>
        <w:rPr>
          <w:lang w:val="en-AU"/>
        </w:rPr>
        <w:t xml:space="preserve"> </w:t>
      </w:r>
      <w:r w:rsidRPr="009D0949">
        <w:rPr>
          <w:lang w:val="en-AU"/>
        </w:rPr>
        <w:t>It presupposes that other roles such as electorate work are of lesser work value than actually sitting in Parliament (</w:t>
      </w:r>
      <w:r w:rsidR="00F060E6">
        <w:rPr>
          <w:lang w:val="en-AU"/>
        </w:rPr>
        <w:t>s</w:t>
      </w:r>
      <w:r w:rsidRPr="009D0949">
        <w:rPr>
          <w:lang w:val="en-AU"/>
        </w:rPr>
        <w:t xml:space="preserve">ee also the comment in footnote </w:t>
      </w:r>
      <w:r w:rsidR="00EB62C9">
        <w:rPr>
          <w:lang w:val="en-AU"/>
        </w:rPr>
        <w:t>41</w:t>
      </w:r>
      <w:r w:rsidRPr="009D0949">
        <w:rPr>
          <w:lang w:val="en-AU"/>
        </w:rPr>
        <w:t xml:space="preserve">). </w:t>
      </w:r>
    </w:p>
    <w:p w:rsidR="00AF63E4" w:rsidRPr="00F324DE" w:rsidRDefault="00AF63E4" w:rsidP="00F324DE">
      <w:pPr>
        <w:pStyle w:val="textbasic"/>
      </w:pPr>
      <w:r w:rsidRPr="00F324DE">
        <w:t xml:space="preserve">That said, sitting days within the Tasmanian Parliament over the past </w:t>
      </w:r>
      <w:r w:rsidR="009D0949">
        <w:t>two</w:t>
      </w:r>
      <w:r w:rsidRPr="00F324DE">
        <w:t xml:space="preserve"> years </w:t>
      </w:r>
      <w:r w:rsidR="009D0949">
        <w:t>remain</w:t>
      </w:r>
      <w:r w:rsidRPr="00F324DE">
        <w:t xml:space="preserve"> close to the average of the State and Territory Parliaments</w:t>
      </w:r>
      <w:r w:rsidR="009D0949">
        <w:t>, as was also noted for the previous six years in the 2014 Report</w:t>
      </w:r>
      <w:r w:rsidRPr="00F324DE">
        <w:t xml:space="preserve">.  </w:t>
      </w:r>
      <w:r w:rsidR="009D0949">
        <w:t>The fewer sitting days in Tasmania in 2014 reflects the impact of the State Election</w:t>
      </w:r>
      <w:r w:rsidR="00D12A0A">
        <w:t xml:space="preserve"> in March that year</w:t>
      </w:r>
      <w:r w:rsidR="009D0949">
        <w:t xml:space="preserve">.  </w:t>
      </w:r>
      <w:r w:rsidRPr="00F324DE">
        <w:t xml:space="preserve">Certainly there is nothing that would support either a discount or a premium on the assessment of the </w:t>
      </w:r>
      <w:r w:rsidR="008F22CF" w:rsidRPr="00F324DE">
        <w:t xml:space="preserve">basic </w:t>
      </w:r>
      <w:r w:rsidR="00125718" w:rsidRPr="00F324DE">
        <w:t>salary</w:t>
      </w:r>
      <w:r w:rsidR="00E11689" w:rsidRPr="00F324DE">
        <w:t xml:space="preserve"> due to the number of sitting days</w:t>
      </w:r>
      <w:r w:rsidRPr="00F324DE">
        <w:t>.</w:t>
      </w:r>
    </w:p>
    <w:p w:rsidR="00AF63E4" w:rsidRPr="001B2C0D" w:rsidRDefault="008F22CF" w:rsidP="00EC1A81">
      <w:pPr>
        <w:pStyle w:val="Heading3"/>
      </w:pPr>
      <w:bookmarkStart w:id="43" w:name="_Toc443486917"/>
      <w:r>
        <w:t>5</w:t>
      </w:r>
      <w:r w:rsidR="00EC1A81">
        <w:t>.1</w:t>
      </w:r>
      <w:r>
        <w:t>.7</w:t>
      </w:r>
      <w:r>
        <w:tab/>
      </w:r>
      <w:r w:rsidR="00AF63E4" w:rsidRPr="001B2C0D">
        <w:t>Conclusion as to Basic Salary</w:t>
      </w:r>
      <w:bookmarkEnd w:id="43"/>
    </w:p>
    <w:p w:rsidR="0079234D" w:rsidRPr="0079234D" w:rsidRDefault="00AF63E4" w:rsidP="00F324DE">
      <w:pPr>
        <w:pStyle w:val="textbasic"/>
      </w:pPr>
      <w:r w:rsidRPr="0079234D">
        <w:t>The 2014 Report concluded that</w:t>
      </w:r>
      <w:r w:rsidR="004D70C7">
        <w:t>,</w:t>
      </w:r>
      <w:r w:rsidRPr="0079234D">
        <w:t xml:space="preserve"> into the future, salaries for MPs should be adjusted in line with wage movements for the wider community, which includes the public sector. However</w:t>
      </w:r>
      <w:r w:rsidR="004D70C7">
        <w:t>,</w:t>
      </w:r>
      <w:r w:rsidRPr="0079234D">
        <w:t xml:space="preserve"> to achieve this position the </w:t>
      </w:r>
      <w:r w:rsidR="000415F0" w:rsidRPr="0079234D">
        <w:t xml:space="preserve">Tribunal </w:t>
      </w:r>
      <w:r w:rsidRPr="0079234D">
        <w:t>found that</w:t>
      </w:r>
      <w:r w:rsidR="0079234D" w:rsidRPr="0079234D">
        <w:t xml:space="preserve"> </w:t>
      </w:r>
      <w:r w:rsidRPr="0079234D">
        <w:t>it is essential to establish an appropriate base, as to do otherwise would serve to perpetuate an inequity and unfairness, and simply delay public cynicism and rancor to another day</w:t>
      </w:r>
      <w:r w:rsidR="00F060E6">
        <w:t>.</w:t>
      </w:r>
      <w:r w:rsidR="00EB61B5" w:rsidRPr="0079234D">
        <w:rPr>
          <w:rStyle w:val="FootnoteReference"/>
        </w:rPr>
        <w:footnoteReference w:id="43"/>
      </w:r>
      <w:r w:rsidR="00EB61B5" w:rsidRPr="0079234D">
        <w:t xml:space="preserve"> </w:t>
      </w:r>
    </w:p>
    <w:p w:rsidR="00EB61B5" w:rsidRPr="00EB61B5" w:rsidRDefault="00EB61B5" w:rsidP="00F324DE">
      <w:pPr>
        <w:pStyle w:val="textbasic"/>
      </w:pPr>
      <w:r>
        <w:t>T</w:t>
      </w:r>
      <w:r w:rsidRPr="00EB61B5">
        <w:t xml:space="preserve">he Tribunal’s view, with which we concur, </w:t>
      </w:r>
      <w:r>
        <w:t xml:space="preserve">was that </w:t>
      </w:r>
      <w:r w:rsidRPr="00EB61B5">
        <w:t xml:space="preserve">the correct approach is succinctly captured by the following observations </w:t>
      </w:r>
      <w:r w:rsidR="00665B17">
        <w:t xml:space="preserve">made </w:t>
      </w:r>
      <w:r w:rsidRPr="00EB61B5">
        <w:t>in the Commonwealth 2011</w:t>
      </w:r>
      <w:r>
        <w:t xml:space="preserve"> </w:t>
      </w:r>
      <w:r w:rsidRPr="00EB61B5">
        <w:t>Report</w:t>
      </w:r>
      <w:r w:rsidR="00F060E6">
        <w:t>.</w:t>
      </w:r>
      <w:r w:rsidR="00665B17">
        <w:rPr>
          <w:rStyle w:val="FootnoteReference"/>
        </w:rPr>
        <w:footnoteReference w:id="44"/>
      </w:r>
    </w:p>
    <w:p w:rsidR="00EB61B5" w:rsidRPr="00EB61B5" w:rsidRDefault="00725574" w:rsidP="00665B17">
      <w:pPr>
        <w:pStyle w:val="texti"/>
        <w:rPr>
          <w:lang w:val="en-US"/>
        </w:rPr>
      </w:pPr>
      <w:r>
        <w:rPr>
          <w:lang w:val="en-US"/>
        </w:rPr>
        <w:t>(i)</w:t>
      </w:r>
      <w:r>
        <w:rPr>
          <w:lang w:val="en-US"/>
        </w:rPr>
        <w:tab/>
      </w:r>
      <w:r w:rsidR="00665B17" w:rsidRPr="00665B17">
        <w:t xml:space="preserve">Parliamentary remuneration </w:t>
      </w:r>
      <w:r w:rsidR="00EB61B5" w:rsidRPr="00EB61B5">
        <w:rPr>
          <w:lang w:val="en-US"/>
        </w:rPr>
        <w:t>should be sufficient to allow representation from various members of society with a diverse range of skills, including those in the middle of their careers and those with responsibility for supporting others.</w:t>
      </w:r>
    </w:p>
    <w:p w:rsidR="00EB61B5" w:rsidRPr="00EB61B5" w:rsidRDefault="00725574" w:rsidP="0033523C">
      <w:pPr>
        <w:pStyle w:val="texti"/>
        <w:rPr>
          <w:lang w:val="en-US"/>
        </w:rPr>
      </w:pPr>
      <w:r>
        <w:rPr>
          <w:lang w:val="en-US"/>
        </w:rPr>
        <w:t>(ii)</w:t>
      </w:r>
      <w:r>
        <w:rPr>
          <w:lang w:val="en-US"/>
        </w:rPr>
        <w:tab/>
      </w:r>
      <w:r w:rsidR="00EB61B5" w:rsidRPr="00EB61B5">
        <w:rPr>
          <w:lang w:val="en-US"/>
        </w:rPr>
        <w:t>Parliamentary remuneration should be sufficient so that the highest standards of integrity are maintained; it should not, however, be so high that the remuneration itself becomes the overriding attraction with no regard to the concept of public service.</w:t>
      </w:r>
    </w:p>
    <w:p w:rsidR="00F060E6" w:rsidRDefault="00F060E6">
      <w:pPr>
        <w:spacing w:after="0"/>
        <w:rPr>
          <w:sz w:val="18"/>
          <w:szCs w:val="18"/>
          <w:lang w:val="en-US"/>
        </w:rPr>
      </w:pPr>
      <w:r>
        <w:br w:type="page"/>
      </w:r>
    </w:p>
    <w:p w:rsidR="005855C7" w:rsidRPr="00AD51A0" w:rsidRDefault="005855C7" w:rsidP="00F324DE">
      <w:pPr>
        <w:pStyle w:val="textbasic"/>
      </w:pPr>
      <w:r w:rsidRPr="00AD51A0">
        <w:lastRenderedPageBreak/>
        <w:t xml:space="preserve">In considering an appropriate basic salary </w:t>
      </w:r>
      <w:r w:rsidR="0079234D" w:rsidRPr="00AD51A0">
        <w:t xml:space="preserve">for MPs </w:t>
      </w:r>
      <w:r w:rsidR="0079234D">
        <w:t xml:space="preserve">from 1 July 2016 </w:t>
      </w:r>
      <w:r w:rsidRPr="00AD51A0">
        <w:t>we note:</w:t>
      </w:r>
    </w:p>
    <w:p w:rsidR="005855C7" w:rsidRDefault="00725574" w:rsidP="0033523C">
      <w:pPr>
        <w:pStyle w:val="texti"/>
        <w:rPr>
          <w:lang w:val="en-US"/>
        </w:rPr>
      </w:pPr>
      <w:r>
        <w:rPr>
          <w:lang w:val="en-US"/>
        </w:rPr>
        <w:t>(i)</w:t>
      </w:r>
      <w:r>
        <w:rPr>
          <w:lang w:val="en-US"/>
        </w:rPr>
        <w:tab/>
      </w:r>
      <w:r w:rsidR="0079234D" w:rsidRPr="00E577A6">
        <w:rPr>
          <w:lang w:val="en-US"/>
        </w:rPr>
        <w:t xml:space="preserve">Since </w:t>
      </w:r>
      <w:r w:rsidR="005855C7" w:rsidRPr="00E577A6">
        <w:rPr>
          <w:lang w:val="en-US"/>
        </w:rPr>
        <w:t xml:space="preserve">the 2014 Report there has been no material change in the role of </w:t>
      </w:r>
      <w:r w:rsidR="006D5495">
        <w:rPr>
          <w:lang w:val="en-US"/>
        </w:rPr>
        <w:t>an MP</w:t>
      </w:r>
      <w:r w:rsidR="005855C7" w:rsidRPr="00D37D4E">
        <w:rPr>
          <w:lang w:val="en-US"/>
        </w:rPr>
        <w:t xml:space="preserve"> </w:t>
      </w:r>
      <w:r w:rsidR="00AD51A0">
        <w:rPr>
          <w:lang w:val="en-US"/>
        </w:rPr>
        <w:t>or</w:t>
      </w:r>
      <w:r w:rsidR="005855C7">
        <w:rPr>
          <w:lang w:val="en-US"/>
        </w:rPr>
        <w:t xml:space="preserve"> its work value</w:t>
      </w:r>
      <w:r w:rsidR="00F060E6">
        <w:rPr>
          <w:lang w:val="en-US"/>
        </w:rPr>
        <w:t>.</w:t>
      </w:r>
    </w:p>
    <w:p w:rsidR="005855C7" w:rsidRPr="00D37D4E" w:rsidRDefault="00725574" w:rsidP="0033523C">
      <w:pPr>
        <w:pStyle w:val="texti"/>
        <w:rPr>
          <w:lang w:val="en-US"/>
        </w:rPr>
      </w:pPr>
      <w:r>
        <w:rPr>
          <w:lang w:val="en-US"/>
        </w:rPr>
        <w:t>(ii)</w:t>
      </w:r>
      <w:r>
        <w:rPr>
          <w:lang w:val="en-US"/>
        </w:rPr>
        <w:tab/>
      </w:r>
      <w:r w:rsidR="0079234D" w:rsidRPr="00D37D4E">
        <w:rPr>
          <w:lang w:val="en-US"/>
        </w:rPr>
        <w:t xml:space="preserve">The </w:t>
      </w:r>
      <w:r w:rsidR="005855C7" w:rsidRPr="00D37D4E">
        <w:rPr>
          <w:lang w:val="en-US"/>
        </w:rPr>
        <w:t xml:space="preserve">role of </w:t>
      </w:r>
      <w:r w:rsidR="006D5495">
        <w:rPr>
          <w:lang w:val="en-US"/>
        </w:rPr>
        <w:t>an MP</w:t>
      </w:r>
      <w:r w:rsidR="005855C7" w:rsidRPr="00D37D4E">
        <w:rPr>
          <w:lang w:val="en-US"/>
        </w:rPr>
        <w:t xml:space="preserve"> is similar to that of the members of other </w:t>
      </w:r>
      <w:r w:rsidR="00AD51A0">
        <w:rPr>
          <w:lang w:val="en-US"/>
        </w:rPr>
        <w:t>State and Territory parliaments</w:t>
      </w:r>
      <w:r w:rsidR="00F060E6">
        <w:rPr>
          <w:lang w:val="en-US"/>
        </w:rPr>
        <w:t>.</w:t>
      </w:r>
    </w:p>
    <w:p w:rsidR="005855C7" w:rsidRPr="001F37F6" w:rsidRDefault="00725574" w:rsidP="0033523C">
      <w:pPr>
        <w:pStyle w:val="texti"/>
        <w:rPr>
          <w:lang w:val="en-US"/>
        </w:rPr>
      </w:pPr>
      <w:r>
        <w:rPr>
          <w:lang w:val="en-US"/>
        </w:rPr>
        <w:t>(iii)</w:t>
      </w:r>
      <w:r>
        <w:rPr>
          <w:lang w:val="en-US"/>
        </w:rPr>
        <w:tab/>
      </w:r>
      <w:r w:rsidR="0079234D" w:rsidRPr="001F37F6">
        <w:rPr>
          <w:lang w:val="en-US"/>
        </w:rPr>
        <w:t xml:space="preserve">If </w:t>
      </w:r>
      <w:r w:rsidR="005855C7" w:rsidRPr="001F37F6">
        <w:rPr>
          <w:lang w:val="en-US"/>
        </w:rPr>
        <w:t>the reduc</w:t>
      </w:r>
      <w:r w:rsidR="00B71129">
        <w:rPr>
          <w:lang w:val="en-US"/>
        </w:rPr>
        <w:t>tion in</w:t>
      </w:r>
      <w:r w:rsidR="005855C7" w:rsidRPr="001F37F6">
        <w:rPr>
          <w:lang w:val="en-US"/>
        </w:rPr>
        <w:t xml:space="preserve"> </w:t>
      </w:r>
      <w:r w:rsidR="00B71129">
        <w:rPr>
          <w:lang w:val="en-US"/>
        </w:rPr>
        <w:t xml:space="preserve">the </w:t>
      </w:r>
      <w:r w:rsidR="005855C7" w:rsidRPr="001F37F6">
        <w:rPr>
          <w:lang w:val="en-US"/>
        </w:rPr>
        <w:t xml:space="preserve">number </w:t>
      </w:r>
      <w:r w:rsidR="005855C7">
        <w:rPr>
          <w:lang w:val="en-US"/>
        </w:rPr>
        <w:t xml:space="preserve">of MPs </w:t>
      </w:r>
      <w:r w:rsidR="00B71129">
        <w:rPr>
          <w:lang w:val="en-US"/>
        </w:rPr>
        <w:t xml:space="preserve">in 1996 </w:t>
      </w:r>
      <w:r w:rsidR="005855C7" w:rsidRPr="001F37F6">
        <w:rPr>
          <w:lang w:val="en-US"/>
        </w:rPr>
        <w:t>did result in an increased workload</w:t>
      </w:r>
      <w:r w:rsidR="005855C7">
        <w:rPr>
          <w:lang w:val="en-US"/>
        </w:rPr>
        <w:t xml:space="preserve"> and commensurate</w:t>
      </w:r>
      <w:r w:rsidR="005855C7" w:rsidRPr="001F37F6">
        <w:rPr>
          <w:lang w:val="en-US"/>
        </w:rPr>
        <w:t xml:space="preserve"> change in work value</w:t>
      </w:r>
      <w:r w:rsidR="002931CC">
        <w:rPr>
          <w:lang w:val="en-US"/>
        </w:rPr>
        <w:t>,</w:t>
      </w:r>
      <w:r w:rsidR="005855C7" w:rsidRPr="001F37F6">
        <w:rPr>
          <w:lang w:val="en-US"/>
        </w:rPr>
        <w:t xml:space="preserve"> </w:t>
      </w:r>
      <w:r w:rsidR="005855C7">
        <w:rPr>
          <w:lang w:val="en-US"/>
        </w:rPr>
        <w:t>that</w:t>
      </w:r>
      <w:r w:rsidR="005855C7" w:rsidRPr="001F37F6">
        <w:rPr>
          <w:lang w:val="en-US"/>
        </w:rPr>
        <w:t xml:space="preserve"> change </w:t>
      </w:r>
      <w:r w:rsidR="005855C7">
        <w:rPr>
          <w:lang w:val="en-US"/>
        </w:rPr>
        <w:t>would have been</w:t>
      </w:r>
      <w:r w:rsidR="005855C7" w:rsidRPr="001F37F6">
        <w:rPr>
          <w:lang w:val="en-US"/>
        </w:rPr>
        <w:t xml:space="preserve"> taken into account in </w:t>
      </w:r>
      <w:r w:rsidR="005855C7">
        <w:rPr>
          <w:lang w:val="en-US"/>
        </w:rPr>
        <w:t xml:space="preserve">earlier </w:t>
      </w:r>
      <w:r w:rsidR="005855C7" w:rsidRPr="001F37F6">
        <w:rPr>
          <w:lang w:val="en-US"/>
        </w:rPr>
        <w:t>salary reviews and to take this into account now would amount to double counting.</w:t>
      </w:r>
    </w:p>
    <w:p w:rsidR="005855C7" w:rsidRDefault="00725574" w:rsidP="0033523C">
      <w:pPr>
        <w:pStyle w:val="texti"/>
        <w:rPr>
          <w:lang w:val="en-US"/>
        </w:rPr>
      </w:pPr>
      <w:r>
        <w:rPr>
          <w:lang w:val="en-US"/>
        </w:rPr>
        <w:t>(iv)</w:t>
      </w:r>
      <w:r>
        <w:rPr>
          <w:lang w:val="en-US"/>
        </w:rPr>
        <w:tab/>
      </w:r>
      <w:r w:rsidR="00AD51A0">
        <w:rPr>
          <w:lang w:val="en-US"/>
        </w:rPr>
        <w:t xml:space="preserve">The basic salary of </w:t>
      </w:r>
      <w:r w:rsidR="006D5495">
        <w:rPr>
          <w:lang w:val="en-US"/>
        </w:rPr>
        <w:t>an MP</w:t>
      </w:r>
      <w:r w:rsidR="00B71129" w:rsidRPr="00930A71">
        <w:rPr>
          <w:lang w:val="en-US"/>
        </w:rPr>
        <w:t xml:space="preserve"> has historically been lower than the average of the </w:t>
      </w:r>
      <w:r w:rsidR="0079234D">
        <w:rPr>
          <w:lang w:val="en-US"/>
        </w:rPr>
        <w:t xml:space="preserve">basic salaries of members of Parliament in </w:t>
      </w:r>
      <w:r w:rsidR="00B71129" w:rsidRPr="00930A71">
        <w:rPr>
          <w:lang w:val="en-US"/>
        </w:rPr>
        <w:t xml:space="preserve">other jurisdictions </w:t>
      </w:r>
      <w:r w:rsidR="0079234D">
        <w:rPr>
          <w:lang w:val="en-US"/>
        </w:rPr>
        <w:t>is currently</w:t>
      </w:r>
      <w:r w:rsidR="00B71129" w:rsidRPr="00930A71">
        <w:rPr>
          <w:lang w:val="en-US"/>
        </w:rPr>
        <w:t xml:space="preserve"> 2</w:t>
      </w:r>
      <w:r w:rsidR="000415F0">
        <w:rPr>
          <w:lang w:val="en-US"/>
        </w:rPr>
        <w:t>5</w:t>
      </w:r>
      <w:r w:rsidR="0079234D">
        <w:rPr>
          <w:lang w:val="en-US"/>
        </w:rPr>
        <w:t>.</w:t>
      </w:r>
      <w:r w:rsidR="000415F0">
        <w:rPr>
          <w:lang w:val="en-US"/>
        </w:rPr>
        <w:t>8</w:t>
      </w:r>
      <w:r w:rsidR="0079234D">
        <w:rPr>
          <w:lang w:val="en-US"/>
        </w:rPr>
        <w:t>% below the average</w:t>
      </w:r>
      <w:r w:rsidR="000415F0">
        <w:rPr>
          <w:lang w:val="en-US"/>
        </w:rPr>
        <w:t>, and likely to fall further behind</w:t>
      </w:r>
      <w:r w:rsidR="00B71129" w:rsidRPr="00930A71">
        <w:rPr>
          <w:lang w:val="en-US"/>
        </w:rPr>
        <w:t>.</w:t>
      </w:r>
    </w:p>
    <w:p w:rsidR="00B71129" w:rsidRPr="00B71129" w:rsidRDefault="00725574" w:rsidP="0033523C">
      <w:pPr>
        <w:pStyle w:val="texti"/>
        <w:rPr>
          <w:lang w:val="en-US"/>
        </w:rPr>
      </w:pPr>
      <w:r>
        <w:rPr>
          <w:lang w:val="en-US"/>
        </w:rPr>
        <w:t>(v)</w:t>
      </w:r>
      <w:r>
        <w:rPr>
          <w:lang w:val="en-US"/>
        </w:rPr>
        <w:tab/>
      </w:r>
      <w:r w:rsidR="00AD51A0">
        <w:rPr>
          <w:lang w:val="en-US"/>
        </w:rPr>
        <w:t xml:space="preserve">The </w:t>
      </w:r>
      <w:r w:rsidR="00AD51A0" w:rsidRPr="00AD51A0">
        <w:rPr>
          <w:lang w:val="en-US"/>
        </w:rPr>
        <w:t>differential in average weekly earnings (AWE) between Tasmania and the whole of Australia of 15.1% as at May 2015 is much lower than the current 2</w:t>
      </w:r>
      <w:r w:rsidR="000415F0">
        <w:rPr>
          <w:lang w:val="en-US"/>
        </w:rPr>
        <w:t>5</w:t>
      </w:r>
      <w:r w:rsidR="00AD51A0" w:rsidRPr="00AD51A0">
        <w:rPr>
          <w:lang w:val="en-US"/>
        </w:rPr>
        <w:t>.</w:t>
      </w:r>
      <w:r w:rsidR="000415F0">
        <w:rPr>
          <w:lang w:val="en-US"/>
        </w:rPr>
        <w:t>8</w:t>
      </w:r>
      <w:r w:rsidR="00AD51A0" w:rsidRPr="00AD51A0">
        <w:rPr>
          <w:lang w:val="en-US"/>
        </w:rPr>
        <w:t xml:space="preserve">% salary differential </w:t>
      </w:r>
      <w:r w:rsidR="002931CC">
        <w:rPr>
          <w:lang w:val="en-US"/>
        </w:rPr>
        <w:t>between</w:t>
      </w:r>
      <w:r w:rsidR="00AD51A0" w:rsidRPr="00AD51A0">
        <w:rPr>
          <w:lang w:val="en-US"/>
        </w:rPr>
        <w:t xml:space="preserve"> MPs </w:t>
      </w:r>
      <w:r w:rsidR="002931CC">
        <w:rPr>
          <w:lang w:val="en-US"/>
        </w:rPr>
        <w:t>and</w:t>
      </w:r>
      <w:r w:rsidR="00AD51A0" w:rsidRPr="00AD51A0">
        <w:rPr>
          <w:lang w:val="en-US"/>
        </w:rPr>
        <w:t xml:space="preserve"> their interstate parliamentary colleagues</w:t>
      </w:r>
      <w:r w:rsidR="00B71129" w:rsidRPr="00B71129">
        <w:rPr>
          <w:lang w:val="en-US"/>
        </w:rPr>
        <w:t>.</w:t>
      </w:r>
    </w:p>
    <w:p w:rsidR="00AD51A0" w:rsidRDefault="00725574" w:rsidP="0033523C">
      <w:pPr>
        <w:pStyle w:val="texti"/>
        <w:rPr>
          <w:lang w:val="en-US"/>
        </w:rPr>
      </w:pPr>
      <w:r>
        <w:rPr>
          <w:lang w:val="en-US"/>
        </w:rPr>
        <w:t>(vi)</w:t>
      </w:r>
      <w:r>
        <w:rPr>
          <w:lang w:val="en-US"/>
        </w:rPr>
        <w:tab/>
      </w:r>
      <w:r w:rsidR="00AD51A0">
        <w:rPr>
          <w:lang w:val="en-US"/>
        </w:rPr>
        <w:t>S</w:t>
      </w:r>
      <w:r w:rsidR="00B71129" w:rsidRPr="00B71129">
        <w:rPr>
          <w:lang w:val="en-US"/>
        </w:rPr>
        <w:t>alary increases for MPs have lagged behind th</w:t>
      </w:r>
      <w:r w:rsidR="00AD51A0">
        <w:rPr>
          <w:lang w:val="en-US"/>
        </w:rPr>
        <w:t>ose</w:t>
      </w:r>
      <w:r w:rsidR="00B71129" w:rsidRPr="00B71129">
        <w:rPr>
          <w:lang w:val="en-US"/>
        </w:rPr>
        <w:t xml:space="preserve"> applicable to the wider workforce </w:t>
      </w:r>
      <w:r w:rsidR="00AD51A0" w:rsidRPr="00B71129">
        <w:rPr>
          <w:lang w:val="en-US"/>
        </w:rPr>
        <w:t>over</w:t>
      </w:r>
      <w:r w:rsidR="00AD51A0">
        <w:rPr>
          <w:lang w:val="en-US"/>
        </w:rPr>
        <w:t xml:space="preserve"> </w:t>
      </w:r>
      <w:r w:rsidR="00AD51A0" w:rsidRPr="00B71129">
        <w:rPr>
          <w:lang w:val="en-US"/>
        </w:rPr>
        <w:t>time</w:t>
      </w:r>
      <w:r w:rsidR="00B71129" w:rsidRPr="00B71129">
        <w:rPr>
          <w:lang w:val="en-US"/>
        </w:rPr>
        <w:t xml:space="preserve"> and ha</w:t>
      </w:r>
      <w:r w:rsidR="00AD51A0">
        <w:rPr>
          <w:lang w:val="en-US"/>
        </w:rPr>
        <w:t>ve</w:t>
      </w:r>
      <w:r w:rsidR="00B71129" w:rsidRPr="00B71129">
        <w:rPr>
          <w:lang w:val="en-US"/>
        </w:rPr>
        <w:t xml:space="preserve"> been approximately half the rate of increase over the past five years. </w:t>
      </w:r>
    </w:p>
    <w:p w:rsidR="00B71129" w:rsidRPr="00B71129" w:rsidRDefault="00725574" w:rsidP="0033523C">
      <w:pPr>
        <w:pStyle w:val="texti"/>
        <w:rPr>
          <w:lang w:val="en-US"/>
        </w:rPr>
      </w:pPr>
      <w:r>
        <w:rPr>
          <w:lang w:val="en-US"/>
        </w:rPr>
        <w:t>(vii)</w:t>
      </w:r>
      <w:r>
        <w:rPr>
          <w:lang w:val="en-US"/>
        </w:rPr>
        <w:tab/>
      </w:r>
      <w:r w:rsidR="00AD51A0" w:rsidRPr="00B71129">
        <w:rPr>
          <w:lang w:val="en-US"/>
        </w:rPr>
        <w:t xml:space="preserve">Increases </w:t>
      </w:r>
      <w:r w:rsidR="00AD51A0">
        <w:rPr>
          <w:lang w:val="en-US"/>
        </w:rPr>
        <w:t>in the basic s</w:t>
      </w:r>
      <w:r w:rsidR="00B71129" w:rsidRPr="00B71129">
        <w:rPr>
          <w:lang w:val="en-US"/>
        </w:rPr>
        <w:t>alary for MPs have not kept pace with inflation over the past five years.</w:t>
      </w:r>
    </w:p>
    <w:p w:rsidR="00B71129" w:rsidRPr="00C84D8D" w:rsidRDefault="00725574" w:rsidP="0033523C">
      <w:pPr>
        <w:pStyle w:val="texti"/>
        <w:rPr>
          <w:lang w:val="en-US"/>
        </w:rPr>
      </w:pPr>
      <w:r>
        <w:rPr>
          <w:lang w:val="en-US"/>
        </w:rPr>
        <w:t>(viii)</w:t>
      </w:r>
      <w:r>
        <w:rPr>
          <w:lang w:val="en-US"/>
        </w:rPr>
        <w:tab/>
      </w:r>
      <w:r w:rsidR="00AD51A0">
        <w:rPr>
          <w:lang w:val="en-US"/>
        </w:rPr>
        <w:t>The basic salary for</w:t>
      </w:r>
      <w:r w:rsidR="00B71129" w:rsidRPr="00C84D8D">
        <w:rPr>
          <w:lang w:val="en-US"/>
        </w:rPr>
        <w:t xml:space="preserve"> MPs ha</w:t>
      </w:r>
      <w:r w:rsidR="00AD51A0">
        <w:rPr>
          <w:lang w:val="en-US"/>
        </w:rPr>
        <w:t>s</w:t>
      </w:r>
      <w:r w:rsidR="00B71129" w:rsidRPr="00C84D8D">
        <w:rPr>
          <w:lang w:val="en-US"/>
        </w:rPr>
        <w:t xml:space="preserve"> increased at a l</w:t>
      </w:r>
      <w:r w:rsidR="002931CC">
        <w:rPr>
          <w:lang w:val="en-US"/>
        </w:rPr>
        <w:t>ow</w:t>
      </w:r>
      <w:r w:rsidR="00B71129" w:rsidRPr="00C84D8D">
        <w:rPr>
          <w:lang w:val="en-US"/>
        </w:rPr>
        <w:t xml:space="preserve">er rate </w:t>
      </w:r>
      <w:r w:rsidR="00B71129">
        <w:rPr>
          <w:lang w:val="en-US"/>
        </w:rPr>
        <w:t>than</w:t>
      </w:r>
      <w:r w:rsidR="00B71129" w:rsidRPr="00C84D8D">
        <w:rPr>
          <w:lang w:val="en-US"/>
        </w:rPr>
        <w:t xml:space="preserve"> the </w:t>
      </w:r>
      <w:r w:rsidR="00B71129">
        <w:rPr>
          <w:lang w:val="en-US"/>
        </w:rPr>
        <w:t>Public</w:t>
      </w:r>
      <w:r w:rsidR="00B71129" w:rsidRPr="00C84D8D">
        <w:rPr>
          <w:lang w:val="en-US"/>
        </w:rPr>
        <w:t xml:space="preserve"> Service and ha</w:t>
      </w:r>
      <w:r w:rsidR="00AD51A0">
        <w:rPr>
          <w:lang w:val="en-US"/>
        </w:rPr>
        <w:t>s</w:t>
      </w:r>
      <w:r w:rsidR="00B71129" w:rsidRPr="00C84D8D">
        <w:rPr>
          <w:lang w:val="en-US"/>
        </w:rPr>
        <w:t xml:space="preserve"> </w:t>
      </w:r>
      <w:r w:rsidR="00AD51A0">
        <w:rPr>
          <w:lang w:val="en-US"/>
        </w:rPr>
        <w:t>increased at</w:t>
      </w:r>
      <w:r w:rsidR="00B71129" w:rsidRPr="00C84D8D">
        <w:rPr>
          <w:lang w:val="en-US"/>
        </w:rPr>
        <w:t xml:space="preserve"> less than half the rate of increase </w:t>
      </w:r>
      <w:r w:rsidR="00AD51A0">
        <w:rPr>
          <w:lang w:val="en-US"/>
        </w:rPr>
        <w:t>of</w:t>
      </w:r>
      <w:r w:rsidR="00B71129">
        <w:rPr>
          <w:lang w:val="en-US"/>
        </w:rPr>
        <w:t xml:space="preserve"> Public Service wages </w:t>
      </w:r>
      <w:r w:rsidR="00B71129" w:rsidRPr="00C84D8D">
        <w:rPr>
          <w:lang w:val="en-US"/>
        </w:rPr>
        <w:t>over the past five years.</w:t>
      </w:r>
    </w:p>
    <w:p w:rsidR="00271637" w:rsidRPr="0079234D" w:rsidRDefault="00271637" w:rsidP="00F324DE">
      <w:pPr>
        <w:pStyle w:val="textbasic"/>
      </w:pPr>
      <w:r w:rsidRPr="0079234D">
        <w:t>I</w:t>
      </w:r>
      <w:r w:rsidR="0079234D" w:rsidRPr="0079234D">
        <w:t>n</w:t>
      </w:r>
      <w:r w:rsidRPr="0079234D">
        <w:t xml:space="preserve"> summary, the position of </w:t>
      </w:r>
      <w:r w:rsidR="006D5495">
        <w:t>an MP</w:t>
      </w:r>
      <w:r w:rsidRPr="0079234D">
        <w:t xml:space="preserve"> relative to other parliamentary jurisdictions, salary movements in the wider workforce and the </w:t>
      </w:r>
      <w:r w:rsidR="002931CC" w:rsidRPr="0079234D">
        <w:t>State Service</w:t>
      </w:r>
      <w:r w:rsidRPr="0079234D">
        <w:t xml:space="preserve">, has continued to deteriorate since the 2014 Report. </w:t>
      </w:r>
    </w:p>
    <w:p w:rsidR="00AF63E4" w:rsidRPr="0079234D" w:rsidRDefault="00AF63E4" w:rsidP="00F324DE">
      <w:pPr>
        <w:pStyle w:val="textbasic"/>
      </w:pPr>
      <w:r w:rsidRPr="0079234D">
        <w:t>The 2014 Report took into consideration a range of data similar to that in the foregoing analysis and concluded that a phased</w:t>
      </w:r>
      <w:r w:rsidR="002931CC">
        <w:t>-</w:t>
      </w:r>
      <w:r w:rsidRPr="0079234D">
        <w:t>in basic salary of $128</w:t>
      </w:r>
      <w:r w:rsidR="00EB61B5" w:rsidRPr="0079234D">
        <w:t xml:space="preserve"> </w:t>
      </w:r>
      <w:r w:rsidRPr="0079234D">
        <w:t xml:space="preserve">000 pa as at 1 January 2015 was appropriate, noting that this level would remain the lowest of any Australian </w:t>
      </w:r>
      <w:r w:rsidR="007D3A48">
        <w:t>p</w:t>
      </w:r>
      <w:r w:rsidRPr="0079234D">
        <w:t>arliament by a significant margin.</w:t>
      </w:r>
    </w:p>
    <w:p w:rsidR="00EB61B5" w:rsidRPr="0079234D" w:rsidRDefault="00EB61B5" w:rsidP="00F324DE">
      <w:pPr>
        <w:pStyle w:val="textbasic"/>
      </w:pPr>
      <w:r w:rsidRPr="0079234D">
        <w:t>T</w:t>
      </w:r>
      <w:r w:rsidR="00AF63E4" w:rsidRPr="0079234D">
        <w:t xml:space="preserve">his recommendation </w:t>
      </w:r>
      <w:r w:rsidRPr="0079234D">
        <w:t xml:space="preserve">was not implemented </w:t>
      </w:r>
      <w:r w:rsidR="002931CC">
        <w:t>n</w:t>
      </w:r>
      <w:r w:rsidR="00AF63E4" w:rsidRPr="0079234D">
        <w:t xml:space="preserve">or </w:t>
      </w:r>
      <w:r w:rsidR="002931CC">
        <w:t xml:space="preserve">was </w:t>
      </w:r>
      <w:r w:rsidR="00AF63E4" w:rsidRPr="0079234D">
        <w:t xml:space="preserve">indeed any part of the 2014 Report. </w:t>
      </w:r>
      <w:r w:rsidRPr="0079234D">
        <w:t xml:space="preserve">In </w:t>
      </w:r>
      <w:r w:rsidR="00AD51A0" w:rsidRPr="0079234D">
        <w:t>particular</w:t>
      </w:r>
      <w:r w:rsidRPr="0079234D">
        <w:t xml:space="preserve"> the Government did not take any action.</w:t>
      </w:r>
    </w:p>
    <w:p w:rsidR="00EB61B5" w:rsidRPr="0079234D" w:rsidRDefault="00AF63E4" w:rsidP="00F324DE">
      <w:pPr>
        <w:pStyle w:val="textbasic"/>
      </w:pPr>
      <w:r w:rsidRPr="0079234D">
        <w:t>However</w:t>
      </w:r>
      <w:r w:rsidR="002931CC">
        <w:t>,</w:t>
      </w:r>
      <w:r w:rsidRPr="0079234D">
        <w:t xml:space="preserve"> the Government has not submitted </w:t>
      </w:r>
      <w:r w:rsidR="00EB61B5" w:rsidRPr="0079234D">
        <w:t xml:space="preserve">to us </w:t>
      </w:r>
      <w:r w:rsidRPr="0079234D">
        <w:t xml:space="preserve">that the </w:t>
      </w:r>
      <w:r w:rsidR="00AD51A0" w:rsidRPr="0079234D">
        <w:t xml:space="preserve">Tribunal’s </w:t>
      </w:r>
      <w:r w:rsidRPr="0079234D">
        <w:t xml:space="preserve">finding lacked merit. </w:t>
      </w:r>
    </w:p>
    <w:p w:rsidR="00EB61B5" w:rsidRPr="0079234D" w:rsidRDefault="00AF63E4" w:rsidP="00F324DE">
      <w:pPr>
        <w:pStyle w:val="textbasic"/>
      </w:pPr>
      <w:r w:rsidRPr="0079234D">
        <w:t>I</w:t>
      </w:r>
      <w:r w:rsidR="00EB61B5" w:rsidRPr="0079234D">
        <w:t>n the absence of any submission we think it is</w:t>
      </w:r>
      <w:r w:rsidRPr="0079234D">
        <w:t xml:space="preserve"> reasonable to conclude that the Government</w:t>
      </w:r>
      <w:r w:rsidR="00EB61B5" w:rsidRPr="0079234D">
        <w:t>’s inaction</w:t>
      </w:r>
      <w:r w:rsidRPr="0079234D">
        <w:t xml:space="preserve"> </w:t>
      </w:r>
      <w:r w:rsidR="000415F0">
        <w:t xml:space="preserve">in relation to the 2014 Report </w:t>
      </w:r>
      <w:r w:rsidRPr="0079234D">
        <w:t xml:space="preserve">was motivated by considerations of budget stringency and a then proposed wage freeze across the public sector. </w:t>
      </w:r>
    </w:p>
    <w:p w:rsidR="00AF63E4" w:rsidRPr="0079234D" w:rsidRDefault="00AF63E4" w:rsidP="00F324DE">
      <w:pPr>
        <w:pStyle w:val="textbasic"/>
      </w:pPr>
      <w:r w:rsidRPr="0079234D">
        <w:t xml:space="preserve">The </w:t>
      </w:r>
      <w:r w:rsidR="00EB61B5" w:rsidRPr="0079234D">
        <w:rPr>
          <w:b/>
        </w:rPr>
        <w:t>SSMO</w:t>
      </w:r>
      <w:r w:rsidRPr="0079234D">
        <w:t xml:space="preserve"> submission to the current inquiry</w:t>
      </w:r>
      <w:r w:rsidR="00671E4E" w:rsidRPr="0079234D">
        <w:t xml:space="preserve"> </w:t>
      </w:r>
      <w:r w:rsidRPr="0079234D">
        <w:t xml:space="preserve">is limited to </w:t>
      </w:r>
      <w:r w:rsidR="009B2842" w:rsidRPr="0079234D">
        <w:t>factual information about</w:t>
      </w:r>
      <w:r w:rsidRPr="0079234D">
        <w:t xml:space="preserve"> an alternative base datum point for the comparison with State Service salary movements.</w:t>
      </w:r>
    </w:p>
    <w:p w:rsidR="00AF63E4" w:rsidRPr="0079234D" w:rsidRDefault="00AF63E4" w:rsidP="00F324DE">
      <w:pPr>
        <w:pStyle w:val="textbasic"/>
      </w:pPr>
      <w:r w:rsidRPr="0079234D">
        <w:t xml:space="preserve">There is no submission before us going to the question of </w:t>
      </w:r>
      <w:r w:rsidR="00271637" w:rsidRPr="0079234D">
        <w:t xml:space="preserve">current </w:t>
      </w:r>
      <w:r w:rsidRPr="0079234D">
        <w:t>budget stringency and/or capacity to pay.</w:t>
      </w:r>
    </w:p>
    <w:p w:rsidR="00AF63E4" w:rsidRPr="0079234D" w:rsidRDefault="00AF63E4" w:rsidP="00F324DE">
      <w:pPr>
        <w:pStyle w:val="textbasic"/>
      </w:pPr>
      <w:r w:rsidRPr="0079234D">
        <w:t xml:space="preserve">We conclude that the recommendation in the 2014 Report was </w:t>
      </w:r>
      <w:r w:rsidR="00671E4E" w:rsidRPr="0079234D">
        <w:t xml:space="preserve">and remains </w:t>
      </w:r>
      <w:r w:rsidRPr="0079234D">
        <w:t>soundly based.</w:t>
      </w:r>
    </w:p>
    <w:p w:rsidR="00D61820" w:rsidRDefault="00D61820">
      <w:pPr>
        <w:spacing w:after="0"/>
        <w:rPr>
          <w:sz w:val="18"/>
          <w:szCs w:val="18"/>
          <w:lang w:val="en-US"/>
        </w:rPr>
      </w:pPr>
      <w:r>
        <w:br w:type="page"/>
      </w:r>
    </w:p>
    <w:p w:rsidR="00AF63E4" w:rsidRPr="0079234D" w:rsidRDefault="00271637" w:rsidP="00F324DE">
      <w:pPr>
        <w:pStyle w:val="textbasic"/>
      </w:pPr>
      <w:r w:rsidRPr="0079234D">
        <w:lastRenderedPageBreak/>
        <w:t>As a consequence, i</w:t>
      </w:r>
      <w:r w:rsidR="00AF63E4" w:rsidRPr="0079234D">
        <w:t xml:space="preserve">n determining </w:t>
      </w:r>
      <w:r w:rsidRPr="0079234D">
        <w:t>a</w:t>
      </w:r>
      <w:r w:rsidR="00AF63E4" w:rsidRPr="0079234D">
        <w:t xml:space="preserve"> </w:t>
      </w:r>
      <w:r w:rsidR="00D61820" w:rsidRPr="0079234D">
        <w:t xml:space="preserve">basic salary </w:t>
      </w:r>
      <w:r w:rsidR="00AF63E4" w:rsidRPr="0079234D">
        <w:t>to apply from 1 July 2016 we have:</w:t>
      </w:r>
    </w:p>
    <w:p w:rsidR="00AF63E4" w:rsidRPr="0079234D" w:rsidRDefault="00725574" w:rsidP="0033523C">
      <w:pPr>
        <w:pStyle w:val="texti"/>
        <w:rPr>
          <w:lang w:val="en-US"/>
        </w:rPr>
      </w:pPr>
      <w:r>
        <w:rPr>
          <w:lang w:val="en-US"/>
        </w:rPr>
        <w:t>(i)</w:t>
      </w:r>
      <w:r>
        <w:rPr>
          <w:lang w:val="en-US"/>
        </w:rPr>
        <w:tab/>
      </w:r>
      <w:r w:rsidR="00AF63E4" w:rsidRPr="0079234D">
        <w:rPr>
          <w:lang w:val="en-US"/>
        </w:rPr>
        <w:t>Assumed the 2014 recommendation represented an appropriate base</w:t>
      </w:r>
      <w:r w:rsidR="00F060E6">
        <w:rPr>
          <w:lang w:val="en-US"/>
        </w:rPr>
        <w:t>,</w:t>
      </w:r>
    </w:p>
    <w:p w:rsidR="00AF63E4" w:rsidRPr="0079234D" w:rsidRDefault="00725574" w:rsidP="0033523C">
      <w:pPr>
        <w:pStyle w:val="texti"/>
        <w:rPr>
          <w:lang w:val="en-US"/>
        </w:rPr>
      </w:pPr>
      <w:r>
        <w:rPr>
          <w:lang w:val="en-US"/>
        </w:rPr>
        <w:t>(ii)</w:t>
      </w:r>
      <w:r>
        <w:rPr>
          <w:lang w:val="en-US"/>
        </w:rPr>
        <w:tab/>
      </w:r>
      <w:r w:rsidR="00AF63E4" w:rsidRPr="0079234D">
        <w:rPr>
          <w:lang w:val="en-US"/>
        </w:rPr>
        <w:t xml:space="preserve">Applied the Wage </w:t>
      </w:r>
      <w:r w:rsidR="00671E4E" w:rsidRPr="0079234D">
        <w:rPr>
          <w:lang w:val="en-US"/>
        </w:rPr>
        <w:t xml:space="preserve">Price </w:t>
      </w:r>
      <w:r w:rsidR="00AF63E4" w:rsidRPr="0079234D">
        <w:rPr>
          <w:lang w:val="en-US"/>
        </w:rPr>
        <w:t xml:space="preserve">Index </w:t>
      </w:r>
      <w:r w:rsidR="00E14D34">
        <w:rPr>
          <w:lang w:val="en-US"/>
        </w:rPr>
        <w:t>(</w:t>
      </w:r>
      <w:r w:rsidR="00AF63E4" w:rsidRPr="0079234D">
        <w:rPr>
          <w:lang w:val="en-US"/>
        </w:rPr>
        <w:t>WPI</w:t>
      </w:r>
      <w:r w:rsidR="00E14D34">
        <w:rPr>
          <w:lang w:val="en-US"/>
        </w:rPr>
        <w:t>)</w:t>
      </w:r>
      <w:r w:rsidR="00AF63E4" w:rsidRPr="0079234D">
        <w:rPr>
          <w:lang w:val="en-US"/>
        </w:rPr>
        <w:t xml:space="preserve"> for the 12 months preceding March 2015 </w:t>
      </w:r>
      <w:r w:rsidR="00E14D34">
        <w:rPr>
          <w:lang w:val="en-US"/>
        </w:rPr>
        <w:t>(</w:t>
      </w:r>
      <w:r w:rsidR="00AF63E4" w:rsidRPr="0079234D">
        <w:rPr>
          <w:lang w:val="en-US"/>
        </w:rPr>
        <w:t>2.3%</w:t>
      </w:r>
      <w:r w:rsidR="00E14D34">
        <w:rPr>
          <w:lang w:val="en-US"/>
        </w:rPr>
        <w:t>)</w:t>
      </w:r>
      <w:r w:rsidR="00AF63E4" w:rsidRPr="0079234D">
        <w:rPr>
          <w:lang w:val="en-US"/>
        </w:rPr>
        <w:t xml:space="preserve"> as envisaged in the 2014 Report</w:t>
      </w:r>
      <w:r w:rsidR="00F060E6">
        <w:rPr>
          <w:lang w:val="en-US"/>
        </w:rPr>
        <w:t>,</w:t>
      </w:r>
      <w:r w:rsidR="002931CC">
        <w:rPr>
          <w:lang w:val="en-US"/>
        </w:rPr>
        <w:t xml:space="preserve"> and</w:t>
      </w:r>
    </w:p>
    <w:p w:rsidR="00AF63E4" w:rsidRPr="0079234D" w:rsidRDefault="00725574" w:rsidP="0033523C">
      <w:pPr>
        <w:pStyle w:val="texti"/>
        <w:rPr>
          <w:lang w:val="en-US"/>
        </w:rPr>
      </w:pPr>
      <w:r>
        <w:rPr>
          <w:lang w:val="en-US"/>
        </w:rPr>
        <w:t>(iii)</w:t>
      </w:r>
      <w:r>
        <w:rPr>
          <w:lang w:val="en-US"/>
        </w:rPr>
        <w:tab/>
      </w:r>
      <w:r w:rsidR="00AF63E4" w:rsidRPr="0079234D">
        <w:rPr>
          <w:lang w:val="en-US"/>
        </w:rPr>
        <w:t>Taken account of known salary adjustments across the State Service for 2015</w:t>
      </w:r>
      <w:r w:rsidR="00671E4E" w:rsidRPr="0079234D">
        <w:rPr>
          <w:lang w:val="en-US"/>
        </w:rPr>
        <w:t>-</w:t>
      </w:r>
      <w:r w:rsidR="00AF63E4" w:rsidRPr="0079234D">
        <w:rPr>
          <w:lang w:val="en-US"/>
        </w:rPr>
        <w:t>16 as a proxy for the WPI</w:t>
      </w:r>
      <w:r w:rsidR="00F060E6">
        <w:rPr>
          <w:lang w:val="en-US"/>
        </w:rPr>
        <w:t>.</w:t>
      </w:r>
    </w:p>
    <w:p w:rsidR="00671E4E" w:rsidRPr="00665B17" w:rsidRDefault="00671E4E" w:rsidP="00CC5844">
      <w:pPr>
        <w:pStyle w:val="Heading2"/>
      </w:pPr>
      <w:bookmarkStart w:id="44" w:name="_Toc443486918"/>
      <w:r w:rsidRPr="00665B17">
        <w:t>5.</w:t>
      </w:r>
      <w:r w:rsidR="00EC1A81" w:rsidRPr="00665B17">
        <w:t>2</w:t>
      </w:r>
      <w:r w:rsidRPr="00665B17">
        <w:tab/>
        <w:t>Recommendation</w:t>
      </w:r>
      <w:bookmarkEnd w:id="44"/>
    </w:p>
    <w:p w:rsidR="000415F0" w:rsidRPr="000415F0" w:rsidRDefault="00271637" w:rsidP="00F324DE">
      <w:pPr>
        <w:pStyle w:val="textbasic"/>
      </w:pPr>
      <w:r w:rsidRPr="000415F0">
        <w:t>W</w:t>
      </w:r>
      <w:r w:rsidR="00AF63E4" w:rsidRPr="000415F0">
        <w:t xml:space="preserve">e </w:t>
      </w:r>
      <w:r w:rsidR="00671E4E" w:rsidRPr="000415F0">
        <w:t xml:space="preserve">recommend </w:t>
      </w:r>
      <w:r w:rsidR="00AF63E4" w:rsidRPr="000415F0">
        <w:t>that</w:t>
      </w:r>
      <w:r w:rsidR="00F060E6">
        <w:t>:</w:t>
      </w:r>
      <w:r w:rsidR="00AF63E4" w:rsidRPr="000415F0">
        <w:t xml:space="preserve"> </w:t>
      </w:r>
    </w:p>
    <w:p w:rsidR="006D45A9" w:rsidRDefault="00D26B03" w:rsidP="005408E6">
      <w:pPr>
        <w:pStyle w:val="textbasic"/>
        <w:numPr>
          <w:ilvl w:val="0"/>
          <w:numId w:val="27"/>
        </w:numPr>
        <w:ind w:hanging="720"/>
      </w:pPr>
      <w:r w:rsidRPr="00B53040">
        <w:rPr>
          <w:b/>
        </w:rPr>
        <w:t xml:space="preserve">The </w:t>
      </w:r>
      <w:r w:rsidR="00D61820" w:rsidRPr="00B53040">
        <w:rPr>
          <w:b/>
        </w:rPr>
        <w:t xml:space="preserve">basic salary </w:t>
      </w:r>
      <w:r w:rsidR="00AF63E4" w:rsidRPr="00B53040">
        <w:rPr>
          <w:b/>
        </w:rPr>
        <w:t xml:space="preserve">as at 1 July 2016 </w:t>
      </w:r>
      <w:r w:rsidR="00671E4E" w:rsidRPr="00B53040">
        <w:rPr>
          <w:b/>
        </w:rPr>
        <w:t xml:space="preserve">be determined </w:t>
      </w:r>
      <w:r w:rsidR="00AF63E4" w:rsidRPr="00B53040">
        <w:rPr>
          <w:b/>
        </w:rPr>
        <w:t>to be $133</w:t>
      </w:r>
      <w:r w:rsidR="00671E4E" w:rsidRPr="00B53040">
        <w:rPr>
          <w:b/>
        </w:rPr>
        <w:t xml:space="preserve"> </w:t>
      </w:r>
      <w:r w:rsidR="00AF63E4" w:rsidRPr="00B53040">
        <w:rPr>
          <w:b/>
        </w:rPr>
        <w:t>560 pa</w:t>
      </w:r>
      <w:r>
        <w:rPr>
          <w:b/>
        </w:rPr>
        <w:t>.</w:t>
      </w:r>
      <w:r w:rsidR="00AF63E4" w:rsidRPr="0079234D">
        <w:t xml:space="preserve"> </w:t>
      </w:r>
    </w:p>
    <w:p w:rsidR="000415F0" w:rsidRDefault="000415F0" w:rsidP="000415F0">
      <w:pPr>
        <w:pStyle w:val="Heading2"/>
      </w:pPr>
      <w:bookmarkStart w:id="45" w:name="_Toc443486919"/>
      <w:r>
        <w:t>5.3</w:t>
      </w:r>
      <w:r>
        <w:tab/>
        <w:t>Observation</w:t>
      </w:r>
      <w:bookmarkEnd w:id="45"/>
    </w:p>
    <w:p w:rsidR="006D45A9" w:rsidRDefault="006D45A9" w:rsidP="00F324DE">
      <w:pPr>
        <w:pStyle w:val="textbasic"/>
      </w:pPr>
      <w:r>
        <w:t>We note</w:t>
      </w:r>
      <w:r w:rsidR="00AF63E4" w:rsidRPr="0079234D">
        <w:t xml:space="preserve"> that </w:t>
      </w:r>
      <w:r w:rsidRPr="0079234D">
        <w:t xml:space="preserve">this </w:t>
      </w:r>
      <w:r>
        <w:t>salary is</w:t>
      </w:r>
      <w:r w:rsidR="00D26B03">
        <w:t>:</w:t>
      </w:r>
    </w:p>
    <w:p w:rsidR="006D45A9" w:rsidRDefault="006D45A9" w:rsidP="006D45A9">
      <w:pPr>
        <w:pStyle w:val="texti"/>
      </w:pPr>
      <w:r>
        <w:t>(i)</w:t>
      </w:r>
      <w:r>
        <w:tab/>
      </w:r>
      <w:r w:rsidR="00F060E6">
        <w:t xml:space="preserve">An </w:t>
      </w:r>
      <w:r>
        <w:t>increase of 10.5</w:t>
      </w:r>
      <w:r w:rsidR="00BD68E4">
        <w:t>3</w:t>
      </w:r>
      <w:r w:rsidR="00F060E6">
        <w:t>% to the current basic salary,</w:t>
      </w:r>
    </w:p>
    <w:p w:rsidR="006D45A9" w:rsidRDefault="006D45A9" w:rsidP="006D45A9">
      <w:pPr>
        <w:pStyle w:val="texti"/>
      </w:pPr>
      <w:r>
        <w:t>(ii)</w:t>
      </w:r>
      <w:r>
        <w:tab/>
      </w:r>
      <w:r w:rsidR="00F060E6">
        <w:t xml:space="preserve">Still </w:t>
      </w:r>
      <w:r>
        <w:t>the</w:t>
      </w:r>
      <w:r w:rsidR="00AF63E4" w:rsidRPr="0079234D">
        <w:t xml:space="preserve"> lowest </w:t>
      </w:r>
      <w:r>
        <w:t xml:space="preserve">basic salary </w:t>
      </w:r>
      <w:r w:rsidR="00AF63E4" w:rsidRPr="0079234D">
        <w:t>of any State or Territory parliament</w:t>
      </w:r>
      <w:r w:rsidR="00F060E6">
        <w:t>arian,</w:t>
      </w:r>
      <w:r w:rsidR="002931CC">
        <w:t xml:space="preserve"> and</w:t>
      </w:r>
    </w:p>
    <w:p w:rsidR="00AF63E4" w:rsidRPr="0079234D" w:rsidRDefault="006D45A9" w:rsidP="006D45A9">
      <w:pPr>
        <w:pStyle w:val="texti"/>
      </w:pPr>
      <w:r>
        <w:t>(iii)</w:t>
      </w:r>
      <w:r>
        <w:tab/>
      </w:r>
      <w:r w:rsidR="00F060E6">
        <w:t xml:space="preserve">About </w:t>
      </w:r>
      <w:r w:rsidR="00BD68E4">
        <w:t>8</w:t>
      </w:r>
      <w:r w:rsidR="002D3268">
        <w:t>8</w:t>
      </w:r>
      <w:r w:rsidR="00BD68E4">
        <w:t>%</w:t>
      </w:r>
      <w:r w:rsidR="00AF63E4" w:rsidRPr="0079234D">
        <w:t xml:space="preserve"> </w:t>
      </w:r>
      <w:r w:rsidR="00BD68E4">
        <w:t xml:space="preserve">of </w:t>
      </w:r>
      <w:r w:rsidR="00AF63E4" w:rsidRPr="0079234D">
        <w:t>the average</w:t>
      </w:r>
      <w:r w:rsidR="00303EEC" w:rsidRPr="0079234D">
        <w:t xml:space="preserve"> basic salary of the members of th</w:t>
      </w:r>
      <w:r w:rsidR="00BD68E4">
        <w:t xml:space="preserve">e </w:t>
      </w:r>
      <w:r w:rsidR="00BD68E4" w:rsidRPr="0079234D">
        <w:t xml:space="preserve">State </w:t>
      </w:r>
      <w:r w:rsidR="00BD68E4">
        <w:t>and</w:t>
      </w:r>
      <w:r w:rsidR="00BD68E4" w:rsidRPr="0079234D">
        <w:t xml:space="preserve"> Territory</w:t>
      </w:r>
      <w:r w:rsidR="00303EEC" w:rsidRPr="0079234D">
        <w:t xml:space="preserve"> parliaments</w:t>
      </w:r>
      <w:r w:rsidR="00812495">
        <w:t xml:space="preserve"> (which is </w:t>
      </w:r>
      <w:r w:rsidR="00812495" w:rsidRPr="00BD68E4">
        <w:t>$</w:t>
      </w:r>
      <w:r w:rsidR="00BD68E4" w:rsidRPr="00BD68E4">
        <w:t xml:space="preserve">152 069 </w:t>
      </w:r>
      <w:r w:rsidR="00812495" w:rsidRPr="00BD68E4">
        <w:t>pa</w:t>
      </w:r>
      <w:r w:rsidR="00812495">
        <w:t xml:space="preserve"> – see Table 2)</w:t>
      </w:r>
      <w:r w:rsidR="00AF63E4" w:rsidRPr="0079234D">
        <w:t>.</w:t>
      </w:r>
    </w:p>
    <w:p w:rsidR="00AF63E4" w:rsidRPr="0079234D" w:rsidRDefault="00303EEC" w:rsidP="00CC5844">
      <w:pPr>
        <w:pStyle w:val="Heading2"/>
      </w:pPr>
      <w:bookmarkStart w:id="46" w:name="_Toc443486920"/>
      <w:r w:rsidRPr="0079234D">
        <w:t>5.</w:t>
      </w:r>
      <w:r w:rsidR="000415F0">
        <w:t>4</w:t>
      </w:r>
      <w:r w:rsidRPr="0079234D">
        <w:tab/>
      </w:r>
      <w:r w:rsidR="00AF63E4" w:rsidRPr="0079234D">
        <w:t>Flow</w:t>
      </w:r>
      <w:r w:rsidR="002931CC">
        <w:t>-</w:t>
      </w:r>
      <w:r w:rsidR="00AF63E4" w:rsidRPr="0079234D">
        <w:t>on Implications</w:t>
      </w:r>
      <w:bookmarkEnd w:id="46"/>
    </w:p>
    <w:p w:rsidR="00AF63E4" w:rsidRPr="0079234D" w:rsidRDefault="00AF63E4" w:rsidP="00F324DE">
      <w:pPr>
        <w:pStyle w:val="textbasic"/>
        <w:rPr>
          <w:b/>
        </w:rPr>
      </w:pPr>
      <w:r w:rsidRPr="0079234D">
        <w:t>We strongly emphasise that</w:t>
      </w:r>
      <w:r w:rsidR="002931CC">
        <w:t>,</w:t>
      </w:r>
      <w:r w:rsidRPr="0079234D">
        <w:t xml:space="preserve"> in establishing </w:t>
      </w:r>
      <w:r w:rsidR="00303EEC" w:rsidRPr="0079234D">
        <w:t xml:space="preserve">this </w:t>
      </w:r>
      <w:r w:rsidRPr="0079234D">
        <w:t>appropriate base, there is a significant ‘catch up’ element, of which salary movements in the State Service have been a major consideration. Accordingly there can be no legitimate basis for any expectation of flow on impl</w:t>
      </w:r>
      <w:r w:rsidR="00303EEC" w:rsidRPr="0079234D">
        <w:t>ications for the State Service.</w:t>
      </w:r>
    </w:p>
    <w:p w:rsidR="00B35C1E" w:rsidRPr="00E823F5" w:rsidRDefault="00870928" w:rsidP="00F700FC">
      <w:pPr>
        <w:pStyle w:val="Heading1"/>
      </w:pPr>
      <w:bookmarkStart w:id="47" w:name="_Toc443486921"/>
      <w:r>
        <w:t>6</w:t>
      </w:r>
      <w:r>
        <w:tab/>
      </w:r>
      <w:r w:rsidR="00B35C1E" w:rsidRPr="00E823F5">
        <w:t>M</w:t>
      </w:r>
      <w:r w:rsidR="00695181">
        <w:t xml:space="preserve">echanism for </w:t>
      </w:r>
      <w:r w:rsidR="008D2F6B">
        <w:t xml:space="preserve">the </w:t>
      </w:r>
      <w:r w:rsidR="00695181">
        <w:t>Future Adjustment</w:t>
      </w:r>
      <w:r w:rsidR="0087538D">
        <w:t xml:space="preserve"> of </w:t>
      </w:r>
      <w:r>
        <w:t>Salary</w:t>
      </w:r>
      <w:bookmarkEnd w:id="47"/>
    </w:p>
    <w:p w:rsidR="00EC1A81" w:rsidRDefault="00EC1A81" w:rsidP="00CC5844">
      <w:pPr>
        <w:pStyle w:val="Heading2"/>
      </w:pPr>
      <w:bookmarkStart w:id="48" w:name="_Toc443486922"/>
      <w:r>
        <w:t>6.1</w:t>
      </w:r>
      <w:r>
        <w:tab/>
        <w:t>Information</w:t>
      </w:r>
      <w:bookmarkEnd w:id="48"/>
    </w:p>
    <w:p w:rsidR="005D550E" w:rsidRPr="0079234D" w:rsidRDefault="005D550E" w:rsidP="00F324DE">
      <w:pPr>
        <w:pStyle w:val="textbasic"/>
      </w:pPr>
      <w:r w:rsidRPr="0079234D">
        <w:t>This subject was discussed in some detail in the 2014 Report and referred to in the 2015 Issues Paper.</w:t>
      </w:r>
    </w:p>
    <w:p w:rsidR="005D550E" w:rsidRPr="0079234D" w:rsidRDefault="005D550E" w:rsidP="00F324DE">
      <w:pPr>
        <w:pStyle w:val="textbasic"/>
      </w:pPr>
      <w:r w:rsidRPr="0079234D">
        <w:t>We note that if a determination is to apply for more than one year it is likely that an adjustment mechanism for the intervening years will be required.</w:t>
      </w:r>
    </w:p>
    <w:p w:rsidR="005D550E" w:rsidRPr="0079234D" w:rsidRDefault="005D550E" w:rsidP="00F324DE">
      <w:pPr>
        <w:pStyle w:val="textbasic"/>
      </w:pPr>
      <w:r w:rsidRPr="0079234D">
        <w:t>The options we canvassed included:</w:t>
      </w:r>
    </w:p>
    <w:p w:rsidR="005D550E" w:rsidRPr="0079234D" w:rsidRDefault="00725574" w:rsidP="0033523C">
      <w:pPr>
        <w:pStyle w:val="texti"/>
        <w:rPr>
          <w:lang w:val="en-US"/>
        </w:rPr>
      </w:pPr>
      <w:r>
        <w:rPr>
          <w:lang w:val="en-US"/>
        </w:rPr>
        <w:t>(i)</w:t>
      </w:r>
      <w:r>
        <w:rPr>
          <w:lang w:val="en-US"/>
        </w:rPr>
        <w:tab/>
      </w:r>
      <w:r w:rsidR="005D550E" w:rsidRPr="0079234D">
        <w:rPr>
          <w:lang w:val="en-US"/>
        </w:rPr>
        <w:t xml:space="preserve">Linkage with the salaries paid to members of other </w:t>
      </w:r>
      <w:r w:rsidR="00F060E6">
        <w:rPr>
          <w:lang w:val="en-US"/>
        </w:rPr>
        <w:t xml:space="preserve">State and Territory </w:t>
      </w:r>
      <w:r w:rsidR="002931CC">
        <w:rPr>
          <w:lang w:val="en-US"/>
        </w:rPr>
        <w:t>parliaments</w:t>
      </w:r>
      <w:r w:rsidR="00F060E6">
        <w:rPr>
          <w:lang w:val="en-US"/>
        </w:rPr>
        <w:t>,</w:t>
      </w:r>
    </w:p>
    <w:p w:rsidR="005D550E" w:rsidRPr="0079234D" w:rsidRDefault="00725574" w:rsidP="0033523C">
      <w:pPr>
        <w:pStyle w:val="texti"/>
        <w:rPr>
          <w:lang w:val="en-US"/>
        </w:rPr>
      </w:pPr>
      <w:r>
        <w:rPr>
          <w:lang w:val="en-US"/>
        </w:rPr>
        <w:t>(ii)</w:t>
      </w:r>
      <w:r>
        <w:rPr>
          <w:lang w:val="en-US"/>
        </w:rPr>
        <w:tab/>
      </w:r>
      <w:r w:rsidR="005D550E" w:rsidRPr="0079234D">
        <w:rPr>
          <w:lang w:val="en-US"/>
        </w:rPr>
        <w:t>Linkage with the State Service</w:t>
      </w:r>
      <w:r w:rsidR="00F060E6">
        <w:rPr>
          <w:lang w:val="en-US"/>
        </w:rPr>
        <w:t>,</w:t>
      </w:r>
      <w:r w:rsidR="002931CC">
        <w:rPr>
          <w:lang w:val="en-US"/>
        </w:rPr>
        <w:t xml:space="preserve"> and</w:t>
      </w:r>
    </w:p>
    <w:p w:rsidR="005D550E" w:rsidRPr="0079234D" w:rsidRDefault="00725574" w:rsidP="0033523C">
      <w:pPr>
        <w:pStyle w:val="texti"/>
        <w:rPr>
          <w:lang w:val="en-US"/>
        </w:rPr>
      </w:pPr>
      <w:r>
        <w:rPr>
          <w:lang w:val="en-US"/>
        </w:rPr>
        <w:t>(iii)</w:t>
      </w:r>
      <w:r>
        <w:rPr>
          <w:lang w:val="en-US"/>
        </w:rPr>
        <w:tab/>
      </w:r>
      <w:r w:rsidR="005D550E" w:rsidRPr="0079234D">
        <w:rPr>
          <w:lang w:val="en-US"/>
        </w:rPr>
        <w:t>Linkage with a relevant ABS Wage Earnings Index.</w:t>
      </w:r>
    </w:p>
    <w:p w:rsidR="00284906" w:rsidRPr="0079234D" w:rsidRDefault="00284906" w:rsidP="00F324DE">
      <w:pPr>
        <w:pStyle w:val="textbasic"/>
      </w:pPr>
      <w:r w:rsidRPr="0079234D">
        <w:t>In the 2015 Issue</w:t>
      </w:r>
      <w:r w:rsidR="006C4DE7">
        <w:t>s P</w:t>
      </w:r>
      <w:r w:rsidRPr="0079234D">
        <w:t>aper, the Commission sought submissions about appropriate adjustment mechanisms to include in a multi-year determination, should one be made.</w:t>
      </w:r>
    </w:p>
    <w:p w:rsidR="00284906" w:rsidRPr="0079234D" w:rsidRDefault="00284906" w:rsidP="00F324DE">
      <w:pPr>
        <w:pStyle w:val="textbasic"/>
      </w:pPr>
      <w:r w:rsidRPr="0079234D">
        <w:t>The Commission also sought submissions on the preferred period of its first determination.</w:t>
      </w:r>
    </w:p>
    <w:p w:rsidR="005D550E" w:rsidRPr="0079234D" w:rsidRDefault="00B44103" w:rsidP="00F324DE">
      <w:pPr>
        <w:pStyle w:val="textbasic"/>
      </w:pPr>
      <w:r w:rsidRPr="0079234D">
        <w:t>As already mentioned above, in the submission</w:t>
      </w:r>
      <w:r w:rsidR="0079234D" w:rsidRPr="0079234D">
        <w:t>s</w:t>
      </w:r>
      <w:r w:rsidRPr="0079234D">
        <w:t xml:space="preserve"> that we received, there were different views expressed about appropriate future adjustment mechanisms</w:t>
      </w:r>
      <w:r w:rsidR="005D550E" w:rsidRPr="0079234D">
        <w:t xml:space="preserve"> </w:t>
      </w:r>
      <w:r w:rsidRPr="0079234D">
        <w:t>for the basic salary.</w:t>
      </w:r>
    </w:p>
    <w:p w:rsidR="00C5200E" w:rsidRPr="0079234D" w:rsidRDefault="00C5200E" w:rsidP="00F324DE">
      <w:pPr>
        <w:pStyle w:val="textbasic"/>
      </w:pPr>
      <w:r w:rsidRPr="0079234D">
        <w:lastRenderedPageBreak/>
        <w:t xml:space="preserve">A linkage with a relevant State Service Award/Classification is supported by the </w:t>
      </w:r>
      <w:r w:rsidRPr="0079234D">
        <w:rPr>
          <w:b/>
        </w:rPr>
        <w:t>Labor Opposition</w:t>
      </w:r>
      <w:r w:rsidRPr="0079234D">
        <w:t xml:space="preserve"> and the </w:t>
      </w:r>
      <w:r w:rsidRPr="0079234D">
        <w:rPr>
          <w:b/>
        </w:rPr>
        <w:t>Tasmanian Greens</w:t>
      </w:r>
      <w:r w:rsidRPr="0079234D">
        <w:t>.</w:t>
      </w:r>
    </w:p>
    <w:p w:rsidR="00C5200E" w:rsidRPr="0079234D" w:rsidRDefault="00C5200E" w:rsidP="00F324DE">
      <w:pPr>
        <w:pStyle w:val="textbasic"/>
      </w:pPr>
      <w:r w:rsidRPr="0079234D">
        <w:t xml:space="preserve">A nexus with the salaries paid to the members of other </w:t>
      </w:r>
      <w:r w:rsidR="002931CC" w:rsidRPr="0079234D">
        <w:t xml:space="preserve">State </w:t>
      </w:r>
      <w:r w:rsidRPr="0079234D">
        <w:t xml:space="preserve">and </w:t>
      </w:r>
      <w:r w:rsidR="002931CC" w:rsidRPr="0079234D">
        <w:t xml:space="preserve">Territory </w:t>
      </w:r>
      <w:r w:rsidRPr="0079234D">
        <w:t xml:space="preserve">parliaments is supported by </w:t>
      </w:r>
      <w:r w:rsidRPr="0079234D">
        <w:rPr>
          <w:b/>
        </w:rPr>
        <w:t>Unions Tasmania</w:t>
      </w:r>
      <w:r w:rsidRPr="0079234D">
        <w:t xml:space="preserve">, the </w:t>
      </w:r>
      <w:r w:rsidRPr="0079234D">
        <w:rPr>
          <w:b/>
        </w:rPr>
        <w:t>CPSU</w:t>
      </w:r>
      <w:r w:rsidRPr="0079234D">
        <w:t xml:space="preserve"> and the </w:t>
      </w:r>
      <w:r w:rsidR="00712B10" w:rsidRPr="0079234D">
        <w:rPr>
          <w:b/>
        </w:rPr>
        <w:t>ANMF (Tas)</w:t>
      </w:r>
      <w:r w:rsidRPr="0079234D">
        <w:t>.</w:t>
      </w:r>
    </w:p>
    <w:p w:rsidR="00C5200E" w:rsidRPr="0079234D" w:rsidRDefault="00C5200E" w:rsidP="00F324DE">
      <w:pPr>
        <w:pStyle w:val="textbasic"/>
      </w:pPr>
      <w:r w:rsidRPr="0079234D">
        <w:rPr>
          <w:b/>
        </w:rPr>
        <w:t>Mr Boglio</w:t>
      </w:r>
      <w:r w:rsidRPr="0079234D">
        <w:t xml:space="preserve"> supports performance</w:t>
      </w:r>
      <w:r w:rsidR="002931CC">
        <w:t>-</w:t>
      </w:r>
      <w:r w:rsidRPr="0079234D">
        <w:t>based adjustments.</w:t>
      </w:r>
    </w:p>
    <w:p w:rsidR="00665B17" w:rsidRDefault="00C5200E" w:rsidP="00F324DE">
      <w:pPr>
        <w:pStyle w:val="textbasic"/>
      </w:pPr>
      <w:r w:rsidRPr="0079234D">
        <w:rPr>
          <w:b/>
        </w:rPr>
        <w:t xml:space="preserve">Mr Cooke </w:t>
      </w:r>
      <w:r w:rsidRPr="0079234D">
        <w:t>considers that there are too many variables for there to be a useful comparison of the salaries in other jurisdictions to determine the basic salary payable to MPs. In his opinion</w:t>
      </w:r>
      <w:r w:rsidR="00D26B03">
        <w:t>:</w:t>
      </w:r>
    </w:p>
    <w:p w:rsidR="00C5200E" w:rsidRPr="0079234D" w:rsidRDefault="00C5200E" w:rsidP="00665B17">
      <w:pPr>
        <w:pStyle w:val="quoteitalics1"/>
      </w:pPr>
      <w:r w:rsidRPr="0079234D">
        <w:t>“</w:t>
      </w:r>
      <w:r w:rsidR="00665B17">
        <w:tab/>
      </w:r>
      <w:r w:rsidRPr="0079234D">
        <w:t>the Commission having established a threshold level, it should be retained and indexation be as it has recommended: the WPI for Tasmania at intervals the Commission recommends.</w:t>
      </w:r>
      <w:r w:rsidR="00D61820" w:rsidRPr="0079234D">
        <w:t>”</w:t>
      </w:r>
    </w:p>
    <w:p w:rsidR="005D550E" w:rsidRPr="0079234D" w:rsidRDefault="005D550E" w:rsidP="00EC1A81">
      <w:pPr>
        <w:pStyle w:val="Heading3"/>
      </w:pPr>
      <w:bookmarkStart w:id="49" w:name="_Toc443486923"/>
      <w:r w:rsidRPr="0079234D">
        <w:t>6</w:t>
      </w:r>
      <w:r w:rsidR="00EC1A81">
        <w:t>.1</w:t>
      </w:r>
      <w:r w:rsidRPr="0079234D">
        <w:t>.1</w:t>
      </w:r>
      <w:r w:rsidRPr="0079234D">
        <w:tab/>
        <w:t>Linkage with State and Territory Parliaments</w:t>
      </w:r>
      <w:bookmarkEnd w:id="49"/>
    </w:p>
    <w:p w:rsidR="005D550E" w:rsidRPr="0079234D" w:rsidRDefault="005D550E" w:rsidP="00F324DE">
      <w:pPr>
        <w:pStyle w:val="textbasic"/>
      </w:pPr>
      <w:r w:rsidRPr="0079234D">
        <w:t xml:space="preserve">In the 2014 Report the Tribunal agreed that the basic salary applicable in the State and Territory Parliaments remains a significant consideration in the determination of the Tasmanian </w:t>
      </w:r>
      <w:r w:rsidR="00E35D0D">
        <w:t xml:space="preserve">basic </w:t>
      </w:r>
      <w:r w:rsidRPr="0079234D">
        <w:t>salary. However</w:t>
      </w:r>
      <w:r w:rsidR="002931CC">
        <w:t>,</w:t>
      </w:r>
      <w:r w:rsidRPr="0079234D">
        <w:t xml:space="preserve"> it did not favour the establishment and/or maintenance of a formal arithmetic linkage. There is no logical reason why Tasmania should be the average of </w:t>
      </w:r>
      <w:r w:rsidR="00E14D34">
        <w:t>(</w:t>
      </w:r>
      <w:r w:rsidRPr="0079234D">
        <w:t>or bear any other arithmetic relation</w:t>
      </w:r>
      <w:r w:rsidR="002931CC">
        <w:t xml:space="preserve"> to</w:t>
      </w:r>
      <w:r w:rsidR="00E14D34">
        <w:t>)</w:t>
      </w:r>
      <w:r w:rsidRPr="0079234D">
        <w:t xml:space="preserve"> the other jurisdictions, however defined.</w:t>
      </w:r>
    </w:p>
    <w:p w:rsidR="005D550E" w:rsidRPr="0079234D" w:rsidRDefault="005D550E" w:rsidP="00F324DE">
      <w:pPr>
        <w:pStyle w:val="textbasic"/>
      </w:pPr>
      <w:r w:rsidRPr="0079234D">
        <w:t>The 2014 Report also noted that salary determination in the various jurisdictions is a moveable feast with the likelihood of one or more reviews underway at any given time.</w:t>
      </w:r>
      <w:r w:rsidR="00E35D0D">
        <w:t xml:space="preserve">  In fact there were already changes to the basic salary in some jurisdictions (Queensland, South Australia) between the release of the 2015 Issues Paper and the </w:t>
      </w:r>
      <w:r w:rsidR="00D12A0A">
        <w:t>preparation</w:t>
      </w:r>
      <w:r w:rsidR="00E35D0D">
        <w:t xml:space="preserve"> of this report.</w:t>
      </w:r>
    </w:p>
    <w:p w:rsidR="005D550E" w:rsidRPr="0079234D" w:rsidRDefault="005D550E" w:rsidP="00F324DE">
      <w:pPr>
        <w:pStyle w:val="textbasic"/>
      </w:pPr>
      <w:r w:rsidRPr="0079234D">
        <w:t>We agree with this conclusion. Whilst salary levels in the various State and Territory Parliaments will always be a relevant consideration at the time of a general review, it is not in our view a suitable mechanism for interim adjustm</w:t>
      </w:r>
      <w:r w:rsidR="00F060E6">
        <w:t>ents between reviews.</w:t>
      </w:r>
    </w:p>
    <w:p w:rsidR="005D550E" w:rsidRPr="0079234D" w:rsidRDefault="005D550E" w:rsidP="00EC1A81">
      <w:pPr>
        <w:pStyle w:val="Heading3"/>
      </w:pPr>
      <w:bookmarkStart w:id="50" w:name="_Toc443486924"/>
      <w:r w:rsidRPr="0079234D">
        <w:t>6</w:t>
      </w:r>
      <w:r w:rsidR="00EC1A81">
        <w:t>.1</w:t>
      </w:r>
      <w:r w:rsidRPr="0079234D">
        <w:t>.2</w:t>
      </w:r>
      <w:r w:rsidRPr="0079234D">
        <w:tab/>
        <w:t>Linkage with the State Service</w:t>
      </w:r>
      <w:bookmarkEnd w:id="50"/>
    </w:p>
    <w:p w:rsidR="005D550E" w:rsidRPr="0079234D" w:rsidRDefault="005D550E" w:rsidP="00F324DE">
      <w:pPr>
        <w:pStyle w:val="textbasic"/>
      </w:pPr>
      <w:r w:rsidRPr="0079234D">
        <w:t xml:space="preserve">This was </w:t>
      </w:r>
      <w:r w:rsidR="00665B17">
        <w:t xml:space="preserve">also </w:t>
      </w:r>
      <w:r w:rsidRPr="0079234D">
        <w:t xml:space="preserve">addressed in </w:t>
      </w:r>
      <w:r w:rsidR="00057844">
        <w:t xml:space="preserve">the </w:t>
      </w:r>
      <w:r w:rsidRPr="0079234D">
        <w:t xml:space="preserve">2014 Report. </w:t>
      </w:r>
    </w:p>
    <w:p w:rsidR="007F6410" w:rsidRDefault="007F6410" w:rsidP="00F324DE">
      <w:pPr>
        <w:pStyle w:val="textbasic"/>
      </w:pPr>
      <w:r>
        <w:t xml:space="preserve">We </w:t>
      </w:r>
      <w:r w:rsidR="00D164D0">
        <w:t>consider</w:t>
      </w:r>
      <w:r>
        <w:t xml:space="preserve"> that</w:t>
      </w:r>
      <w:r w:rsidRPr="007F6410">
        <w:t xml:space="preserve"> the </w:t>
      </w:r>
      <w:r>
        <w:t>movement</w:t>
      </w:r>
      <w:r w:rsidRPr="007F6410">
        <w:t xml:space="preserve"> of salaries and wages paid in the State </w:t>
      </w:r>
      <w:r w:rsidR="00E35D0D" w:rsidRPr="007F6410">
        <w:t xml:space="preserve">Service </w:t>
      </w:r>
      <w:r w:rsidR="00D164D0">
        <w:t xml:space="preserve">(see Tables 5, </w:t>
      </w:r>
      <w:r w:rsidR="00D26B03">
        <w:br/>
      </w:r>
      <w:r w:rsidR="00D164D0">
        <w:t xml:space="preserve">5A-D) </w:t>
      </w:r>
      <w:r w:rsidRPr="007F6410">
        <w:t xml:space="preserve">is part of the overall consideration in determining </w:t>
      </w:r>
      <w:r>
        <w:t xml:space="preserve">changes to </w:t>
      </w:r>
      <w:r w:rsidRPr="007F6410">
        <w:t>the basic salary.</w:t>
      </w:r>
    </w:p>
    <w:p w:rsidR="007F6410" w:rsidRPr="007F6410" w:rsidRDefault="007F6410" w:rsidP="00F324DE">
      <w:pPr>
        <w:pStyle w:val="textbasic"/>
      </w:pPr>
      <w:r>
        <w:t xml:space="preserve">We also note that some jurisdictions </w:t>
      </w:r>
      <w:r w:rsidRPr="00E35D0D">
        <w:t>(</w:t>
      </w:r>
      <w:r w:rsidR="00E35D0D" w:rsidRPr="00E35D0D">
        <w:t>eg New South Wales, Queensland</w:t>
      </w:r>
      <w:r w:rsidRPr="00E35D0D">
        <w:t>)</w:t>
      </w:r>
      <w:r>
        <w:t xml:space="preserve"> have sought to link, align or limit increases </w:t>
      </w:r>
      <w:r w:rsidR="002931CC">
        <w:t>in</w:t>
      </w:r>
      <w:r>
        <w:t xml:space="preserve"> salaries of the members of their parliaments </w:t>
      </w:r>
      <w:r w:rsidRPr="007F6410">
        <w:t xml:space="preserve">to movements in the State </w:t>
      </w:r>
      <w:r w:rsidR="00E35D0D" w:rsidRPr="007F6410">
        <w:t>Service</w:t>
      </w:r>
      <w:r w:rsidR="00E35D0D">
        <w:t xml:space="preserve"> </w:t>
      </w:r>
      <w:r>
        <w:t>equivalents</w:t>
      </w:r>
      <w:r w:rsidRPr="007F6410">
        <w:t>.</w:t>
      </w:r>
    </w:p>
    <w:p w:rsidR="007F6410" w:rsidRPr="007F6410" w:rsidRDefault="007F6410" w:rsidP="00F324DE">
      <w:pPr>
        <w:pStyle w:val="textbasic"/>
      </w:pPr>
      <w:r w:rsidRPr="007F6410">
        <w:t xml:space="preserve">The obvious advantage is that </w:t>
      </w:r>
      <w:r>
        <w:t>this approach</w:t>
      </w:r>
      <w:r w:rsidRPr="007F6410">
        <w:t xml:space="preserve"> ensures salary movements for MPs are in line with the public sector generally, thus largely removing scope for public discontent.</w:t>
      </w:r>
    </w:p>
    <w:p w:rsidR="007F6410" w:rsidRPr="007F6410" w:rsidRDefault="007F6410" w:rsidP="00F324DE">
      <w:pPr>
        <w:pStyle w:val="textbasic"/>
      </w:pPr>
      <w:r w:rsidRPr="007F6410">
        <w:t xml:space="preserve">A disadvantage is that the Government, as party to State </w:t>
      </w:r>
      <w:r w:rsidR="00F060E6" w:rsidRPr="007F6410">
        <w:t xml:space="preserve">Service </w:t>
      </w:r>
      <w:r w:rsidRPr="007F6410">
        <w:t>wage negotiations, might be perceived as indirectly determining, or at least significantly influencing, their own salary outcomes. In reality, the checks and balances within the system mean that it would be extremely unlikely that this bargaining position would be used improperly or mischievo</w:t>
      </w:r>
      <w:r w:rsidR="00F060E6">
        <w:t>usly</w:t>
      </w:r>
      <w:r w:rsidRPr="007F6410">
        <w:t xml:space="preserve"> </w:t>
      </w:r>
      <w:r w:rsidR="00E14D34">
        <w:t>(</w:t>
      </w:r>
      <w:r w:rsidRPr="007F6410">
        <w:t>eg to achieve a favourable outcome for MPs would mean the same outcome extending to at least 14</w:t>
      </w:r>
      <w:r w:rsidR="002931CC">
        <w:t xml:space="preserve"> </w:t>
      </w:r>
      <w:r w:rsidRPr="007F6410">
        <w:t xml:space="preserve">000 </w:t>
      </w:r>
      <w:r w:rsidR="002931CC" w:rsidRPr="007F6410">
        <w:t>State Serva</w:t>
      </w:r>
      <w:r w:rsidRPr="007F6410">
        <w:t>nts, with the obvious budgetary implications</w:t>
      </w:r>
      <w:r w:rsidR="00F060E6">
        <w:t>).</w:t>
      </w:r>
      <w:r w:rsidRPr="007F6410">
        <w:t xml:space="preserve"> Nonetheless, from the point of view of public perception, it is a consideration which should not be ignored. </w:t>
      </w:r>
    </w:p>
    <w:p w:rsidR="007F6410" w:rsidRPr="007F6410" w:rsidRDefault="006A32A8" w:rsidP="00F324DE">
      <w:pPr>
        <w:pStyle w:val="textbasic"/>
      </w:pPr>
      <w:r>
        <w:lastRenderedPageBreak/>
        <w:t>As the Tribunal did,</w:t>
      </w:r>
      <w:r w:rsidR="007F6410" w:rsidRPr="007F6410">
        <w:t xml:space="preserve"> we </w:t>
      </w:r>
      <w:r>
        <w:t xml:space="preserve">also </w:t>
      </w:r>
      <w:r w:rsidR="007F6410" w:rsidRPr="007F6410">
        <w:t>note the observations of the ACT Remuneration Tribunal</w:t>
      </w:r>
      <w:r w:rsidR="006C4DE7">
        <w:t xml:space="preserve"> about </w:t>
      </w:r>
      <w:r w:rsidR="00E35D0D" w:rsidRPr="0079234D">
        <w:t>an inherent problem with linkages generally</w:t>
      </w:r>
      <w:r w:rsidR="007F6410" w:rsidRPr="007F6410">
        <w:t>, with which we broadly agree.</w:t>
      </w:r>
      <w:r w:rsidR="007F6410" w:rsidRPr="007F6410">
        <w:rPr>
          <w:vertAlign w:val="superscript"/>
        </w:rPr>
        <w:footnoteReference w:id="45"/>
      </w:r>
    </w:p>
    <w:p w:rsidR="007F6410" w:rsidRPr="0079234D" w:rsidRDefault="007F6410" w:rsidP="00F324DE">
      <w:pPr>
        <w:pStyle w:val="textbasic"/>
      </w:pPr>
      <w:r w:rsidRPr="0079234D">
        <w:t>The 2014 Report noted</w:t>
      </w:r>
      <w:r w:rsidR="00E35D0D">
        <w:t xml:space="preserve"> that</w:t>
      </w:r>
      <w:r w:rsidRPr="0079234D">
        <w:t xml:space="preserve"> a linkage may be suitable at a given point in time, but takes no account of changed circumstances in the future. Examples of changed circumstances include the growth of enterprise agreements and the attendant demise of award</w:t>
      </w:r>
      <w:r w:rsidR="002931CC">
        <w:t>-</w:t>
      </w:r>
      <w:r w:rsidRPr="0079234D">
        <w:t xml:space="preserve">based salary increases, work value changes and new classification structures. </w:t>
      </w:r>
    </w:p>
    <w:p w:rsidR="00B45912" w:rsidRDefault="007F6410" w:rsidP="00F324DE">
      <w:pPr>
        <w:pStyle w:val="textbasic"/>
      </w:pPr>
      <w:r w:rsidRPr="007F6410">
        <w:t>For example, the growth of enterprise bargaining and the attendant demise of award</w:t>
      </w:r>
      <w:r w:rsidR="002931CC">
        <w:t>-</w:t>
      </w:r>
      <w:r w:rsidRPr="007F6410">
        <w:t>based salary increases appear to have resulted in an unintended wage freeze for MPs between 1991 and 1993.</w:t>
      </w:r>
      <w:r w:rsidR="006C4DE7">
        <w:rPr>
          <w:rStyle w:val="FootnoteReference"/>
        </w:rPr>
        <w:footnoteReference w:id="46"/>
      </w:r>
      <w:r w:rsidRPr="007F6410">
        <w:t xml:space="preserve"> </w:t>
      </w:r>
      <w:r w:rsidR="00B45912">
        <w:t xml:space="preserve"> </w:t>
      </w:r>
    </w:p>
    <w:p w:rsidR="007F6410" w:rsidRPr="007F6410" w:rsidRDefault="00B45912" w:rsidP="00F324DE">
      <w:pPr>
        <w:pStyle w:val="textbasic"/>
      </w:pPr>
      <w:r>
        <w:t>In relation to a link to the State Service salaries,</w:t>
      </w:r>
      <w:r w:rsidR="007F6410" w:rsidRPr="007F6410">
        <w:t xml:space="preserve"> unforeseen changes might include a work value change or new classification structure for state servants of no relevance to MPs.</w:t>
      </w:r>
      <w:r w:rsidRPr="00B45912">
        <w:rPr>
          <w:szCs w:val="20"/>
        </w:rPr>
        <w:t xml:space="preserve"> </w:t>
      </w:r>
      <w:r>
        <w:rPr>
          <w:szCs w:val="20"/>
        </w:rPr>
        <w:t xml:space="preserve"> </w:t>
      </w:r>
      <w:r w:rsidRPr="00B45912">
        <w:rPr>
          <w:szCs w:val="20"/>
        </w:rPr>
        <w:t xml:space="preserve">Indeed the submission of the </w:t>
      </w:r>
      <w:r w:rsidRPr="00B45912">
        <w:rPr>
          <w:b/>
          <w:szCs w:val="20"/>
        </w:rPr>
        <w:t>Tasmanian Greens</w:t>
      </w:r>
      <w:r w:rsidRPr="00B45912">
        <w:rPr>
          <w:szCs w:val="20"/>
        </w:rPr>
        <w:t xml:space="preserve"> notes such a circumstance which renders the position outlined in the 2012</w:t>
      </w:r>
      <w:r w:rsidR="0063251C">
        <w:rPr>
          <w:szCs w:val="20"/>
        </w:rPr>
        <w:t xml:space="preserve"> Bill unworkable</w:t>
      </w:r>
      <w:r w:rsidR="00F060E6">
        <w:rPr>
          <w:szCs w:val="20"/>
        </w:rPr>
        <w:t>,</w:t>
      </w:r>
      <w:r w:rsidR="0063251C">
        <w:rPr>
          <w:szCs w:val="20"/>
        </w:rPr>
        <w:t xml:space="preserve"> as the</w:t>
      </w:r>
      <w:r w:rsidRPr="00B45912">
        <w:rPr>
          <w:szCs w:val="20"/>
        </w:rPr>
        <w:t xml:space="preserve"> link to a reference classification level</w:t>
      </w:r>
      <w:r w:rsidR="0063251C">
        <w:rPr>
          <w:szCs w:val="20"/>
        </w:rPr>
        <w:t xml:space="preserve"> in that Bill</w:t>
      </w:r>
      <w:r w:rsidRPr="00B45912">
        <w:rPr>
          <w:szCs w:val="20"/>
        </w:rPr>
        <w:t xml:space="preserve"> is no longer applicable as that classification level no longer exi</w:t>
      </w:r>
      <w:r>
        <w:rPr>
          <w:szCs w:val="20"/>
        </w:rPr>
        <w:t>s</w:t>
      </w:r>
      <w:r w:rsidRPr="00B45912">
        <w:rPr>
          <w:szCs w:val="20"/>
        </w:rPr>
        <w:t>ts.</w:t>
      </w:r>
    </w:p>
    <w:p w:rsidR="00B45912" w:rsidRDefault="007F6410" w:rsidP="00F324DE">
      <w:pPr>
        <w:pStyle w:val="textbasic"/>
      </w:pPr>
      <w:r w:rsidRPr="00B45912">
        <w:t>There is one further aspect that persuades us not to adopt a form</w:t>
      </w:r>
      <w:r w:rsidR="006A32A8" w:rsidRPr="00B45912">
        <w:t xml:space="preserve">al linkage with </w:t>
      </w:r>
      <w:r w:rsidR="00F060E6">
        <w:t xml:space="preserve">the </w:t>
      </w:r>
      <w:r w:rsidR="006A32A8" w:rsidRPr="00B45912">
        <w:t xml:space="preserve">State Service. </w:t>
      </w:r>
      <w:r w:rsidR="005D550E" w:rsidRPr="00B45912">
        <w:t xml:space="preserve">State </w:t>
      </w:r>
      <w:r w:rsidR="00F060E6" w:rsidRPr="00B45912">
        <w:t xml:space="preserve">Service </w:t>
      </w:r>
      <w:r w:rsidR="005D550E" w:rsidRPr="00B45912">
        <w:t xml:space="preserve">employment is a relatively small component </w:t>
      </w:r>
      <w:r w:rsidR="00E14D34">
        <w:t>(</w:t>
      </w:r>
      <w:r w:rsidR="005D550E" w:rsidRPr="00B45912">
        <w:t>approx</w:t>
      </w:r>
      <w:r w:rsidR="00F060E6">
        <w:t>imately</w:t>
      </w:r>
      <w:r w:rsidR="005D550E" w:rsidRPr="00B45912">
        <w:t xml:space="preserve"> 13%</w:t>
      </w:r>
      <w:r w:rsidR="00E14D34">
        <w:t>)</w:t>
      </w:r>
      <w:r w:rsidR="005D550E" w:rsidRPr="00B45912">
        <w:t xml:space="preserve"> of the Tasmanian workforce.  We concur with the 2014 Report which concluded that</w:t>
      </w:r>
      <w:r w:rsidR="002931CC">
        <w:t>,</w:t>
      </w:r>
      <w:r w:rsidR="005D550E" w:rsidRPr="00B45912">
        <w:t xml:space="preserve"> if there is to be a linkage with external wage movements as part of a mechanism for future adjustment, then that link should be an appropriate index applicable to the wider community, which includes, but is not limited to, the State Service. </w:t>
      </w:r>
    </w:p>
    <w:p w:rsidR="005D550E" w:rsidRPr="00B45912" w:rsidRDefault="005D550E" w:rsidP="00F324DE">
      <w:pPr>
        <w:pStyle w:val="textbasic"/>
      </w:pPr>
      <w:r w:rsidRPr="00B45912">
        <w:t>This aspect is</w:t>
      </w:r>
      <w:r w:rsidR="00B45912">
        <w:t xml:space="preserve"> discussed in the next section.</w:t>
      </w:r>
    </w:p>
    <w:p w:rsidR="005D550E" w:rsidRPr="00B45912" w:rsidRDefault="006A32A8" w:rsidP="00EC1A81">
      <w:pPr>
        <w:pStyle w:val="Heading3"/>
      </w:pPr>
      <w:bookmarkStart w:id="51" w:name="_Toc443486925"/>
      <w:r w:rsidRPr="00B45912">
        <w:t>6</w:t>
      </w:r>
      <w:r w:rsidR="00EC1A81">
        <w:t>.1</w:t>
      </w:r>
      <w:r w:rsidRPr="00B45912">
        <w:t>.3</w:t>
      </w:r>
      <w:r w:rsidRPr="00B45912">
        <w:tab/>
      </w:r>
      <w:r w:rsidR="005D550E" w:rsidRPr="00B45912">
        <w:t>Linkage with a Relevant ABS Earnings Index</w:t>
      </w:r>
      <w:bookmarkEnd w:id="51"/>
    </w:p>
    <w:p w:rsidR="005D550E" w:rsidRPr="00B45912" w:rsidRDefault="005D550E" w:rsidP="00F324DE">
      <w:pPr>
        <w:pStyle w:val="textbasic"/>
      </w:pPr>
      <w:r w:rsidRPr="00B45912">
        <w:t>The 2014 report discussed the two options for consideration. For completeness, these options are summarised below.</w:t>
      </w:r>
    </w:p>
    <w:p w:rsidR="005D550E" w:rsidRPr="0033523C" w:rsidRDefault="005D550E" w:rsidP="00F324DE">
      <w:pPr>
        <w:pStyle w:val="textbasic"/>
      </w:pPr>
      <w:r w:rsidRPr="0033523C">
        <w:t xml:space="preserve">Average Weekly Earnings </w:t>
      </w:r>
      <w:r w:rsidR="00E14D34">
        <w:t>(</w:t>
      </w:r>
      <w:r w:rsidRPr="0033523C">
        <w:t>AWE</w:t>
      </w:r>
      <w:r w:rsidR="00E14D34">
        <w:t>)</w:t>
      </w:r>
    </w:p>
    <w:p w:rsidR="00AC0F46" w:rsidRPr="00BA02DE" w:rsidRDefault="00AC0F46" w:rsidP="00F324DE">
      <w:pPr>
        <w:pStyle w:val="textbasic"/>
      </w:pPr>
      <w:r w:rsidRPr="00BA02DE">
        <w:t>The AWE survey is designed to measure the level of average earnings at a point in time. AWE statistics represent average gross earnings of employees and do not relate to average award rates or to the earnings of the ‘average person.’ AWE estimates are derived by dividing estimates of weekly total earnings by estimates of the number of employees. Changes in the averages may be affected not only by changes in the level of earnings of employees but also by changes in the overall composition of the wage and salary earner segment of the workforce.</w:t>
      </w:r>
    </w:p>
    <w:p w:rsidR="00AC0F46" w:rsidRPr="00BA02DE" w:rsidRDefault="00AC0F46" w:rsidP="00F324DE">
      <w:pPr>
        <w:pStyle w:val="textbasic"/>
      </w:pPr>
      <w:r w:rsidRPr="00BA02DE">
        <w:t>There are several factors which can contribute to compositional changes, including variations over time in the proportion of full–time, part-time, casual and junior employees; variations in occupational distribution, and variations in the distribution of employment between industries. Such effects may apply differently within different states and territories, and over time. There are three indices in this series:</w:t>
      </w:r>
    </w:p>
    <w:p w:rsidR="00AC0F46" w:rsidRPr="00BA02DE" w:rsidRDefault="0033523C" w:rsidP="0033523C">
      <w:pPr>
        <w:pStyle w:val="texti"/>
        <w:rPr>
          <w:lang w:val="en-US"/>
        </w:rPr>
      </w:pPr>
      <w:r>
        <w:rPr>
          <w:lang w:val="en-US"/>
        </w:rPr>
        <w:lastRenderedPageBreak/>
        <w:t>(i)</w:t>
      </w:r>
      <w:r>
        <w:rPr>
          <w:lang w:val="en-US"/>
        </w:rPr>
        <w:tab/>
      </w:r>
      <w:r w:rsidR="00AC0F46" w:rsidRPr="00BA02DE">
        <w:rPr>
          <w:lang w:val="en-US"/>
        </w:rPr>
        <w:t>Earnings, Persons, Full-Time, Total Earnings</w:t>
      </w:r>
      <w:r w:rsidR="00F060E6">
        <w:rPr>
          <w:lang w:val="en-US"/>
        </w:rPr>
        <w:t>,</w:t>
      </w:r>
    </w:p>
    <w:p w:rsidR="00AC0F46" w:rsidRPr="00BA02DE" w:rsidRDefault="0033523C" w:rsidP="0033523C">
      <w:pPr>
        <w:pStyle w:val="texti"/>
        <w:rPr>
          <w:lang w:val="en-US"/>
        </w:rPr>
      </w:pPr>
      <w:r>
        <w:rPr>
          <w:lang w:val="en-US"/>
        </w:rPr>
        <w:t>(ii)</w:t>
      </w:r>
      <w:r>
        <w:rPr>
          <w:lang w:val="en-US"/>
        </w:rPr>
        <w:tab/>
      </w:r>
      <w:r w:rsidR="00AC0F46" w:rsidRPr="00BA02DE">
        <w:rPr>
          <w:lang w:val="en-US"/>
        </w:rPr>
        <w:t>Earnings, Persons, Full-Time, Ordinary Time Earnings (this excludes overtime)</w:t>
      </w:r>
      <w:r w:rsidR="00F060E6">
        <w:rPr>
          <w:lang w:val="en-US"/>
        </w:rPr>
        <w:t>,</w:t>
      </w:r>
    </w:p>
    <w:p w:rsidR="00AC0F46" w:rsidRPr="00BA02DE" w:rsidRDefault="0033523C" w:rsidP="0033523C">
      <w:pPr>
        <w:pStyle w:val="texti"/>
        <w:rPr>
          <w:lang w:val="en-US"/>
        </w:rPr>
      </w:pPr>
      <w:r>
        <w:rPr>
          <w:lang w:val="en-US"/>
        </w:rPr>
        <w:t>(iii)</w:t>
      </w:r>
      <w:r>
        <w:rPr>
          <w:lang w:val="en-US"/>
        </w:rPr>
        <w:tab/>
      </w:r>
      <w:r w:rsidR="00AC0F46" w:rsidRPr="00BA02DE">
        <w:rPr>
          <w:lang w:val="en-US"/>
        </w:rPr>
        <w:t>Earnings, Persons</w:t>
      </w:r>
      <w:r w:rsidR="007A0059">
        <w:rPr>
          <w:lang w:val="en-US"/>
        </w:rPr>
        <w:t>, Total Earnings (this includes</w:t>
      </w:r>
      <w:r w:rsidR="00AC0F46" w:rsidRPr="00BA02DE">
        <w:rPr>
          <w:lang w:val="en-US"/>
        </w:rPr>
        <w:t xml:space="preserve"> part-time, casual and junior employees).</w:t>
      </w:r>
    </w:p>
    <w:p w:rsidR="00AC0F46" w:rsidRPr="00587F17" w:rsidRDefault="00AC0F46" w:rsidP="00F324DE">
      <w:pPr>
        <w:pStyle w:val="textbasic"/>
      </w:pPr>
      <w:r w:rsidRPr="00587F17">
        <w:t xml:space="preserve">In Victoria, </w:t>
      </w:r>
      <w:r w:rsidR="0063251C">
        <w:t>the full</w:t>
      </w:r>
      <w:r w:rsidR="00501E11">
        <w:t>-</w:t>
      </w:r>
      <w:r w:rsidR="0063251C">
        <w:t>time adult average weekly earnings of employees in that state</w:t>
      </w:r>
      <w:r w:rsidRPr="00587F17">
        <w:t xml:space="preserve"> has been adopted in the relevant legislation</w:t>
      </w:r>
      <w:r w:rsidR="0063251C">
        <w:rPr>
          <w:rStyle w:val="FootnoteReference"/>
        </w:rPr>
        <w:footnoteReference w:id="47"/>
      </w:r>
      <w:r w:rsidRPr="00587F17">
        <w:t xml:space="preserve"> for the determination of the basic salary </w:t>
      </w:r>
      <w:r w:rsidR="00B45912">
        <w:t>to apply from</w:t>
      </w:r>
      <w:r w:rsidRPr="00587F17">
        <w:t xml:space="preserve"> 1 July 2015</w:t>
      </w:r>
      <w:r w:rsidR="00B45912" w:rsidRPr="00B45912">
        <w:t xml:space="preserve"> </w:t>
      </w:r>
      <w:r w:rsidR="00B45912">
        <w:t xml:space="preserve">to members of the Victorian </w:t>
      </w:r>
      <w:r w:rsidR="007D3A48">
        <w:t>Parliament</w:t>
      </w:r>
      <w:r w:rsidRPr="00587F17">
        <w:t>.</w:t>
      </w:r>
    </w:p>
    <w:p w:rsidR="005D550E" w:rsidRPr="0033523C" w:rsidRDefault="005D550E" w:rsidP="00F324DE">
      <w:pPr>
        <w:pStyle w:val="textbasic"/>
      </w:pPr>
      <w:r w:rsidRPr="0033523C">
        <w:t xml:space="preserve">Wage </w:t>
      </w:r>
      <w:r w:rsidR="0033523C" w:rsidRPr="0033523C">
        <w:t xml:space="preserve">Price </w:t>
      </w:r>
      <w:r w:rsidRPr="0033523C">
        <w:t xml:space="preserve">Index </w:t>
      </w:r>
      <w:r w:rsidR="00E14D34">
        <w:t>(</w:t>
      </w:r>
      <w:r w:rsidRPr="0033523C">
        <w:t>WPI</w:t>
      </w:r>
      <w:r w:rsidR="00E14D34">
        <w:t>)</w:t>
      </w:r>
    </w:p>
    <w:p w:rsidR="00AC0F46" w:rsidRPr="00AC0F46" w:rsidRDefault="00AC0F46" w:rsidP="00F324DE">
      <w:pPr>
        <w:pStyle w:val="textbasic"/>
        <w:rPr>
          <w:lang w:eastAsia="en-AU"/>
        </w:rPr>
      </w:pPr>
      <w:r w:rsidRPr="00AC0F46">
        <w:rPr>
          <w:lang w:eastAsia="en-AU"/>
        </w:rPr>
        <w:t>The WPI is a price index designed to measure the change over time in the price of wages and salaries. It does this by pricing specific jobs, in terms of wage and salary payments, to employees occupying those jobs. It is unaffected by changes in the quality and quantity of labour services purchased by employers, changes in hours worked or changes in the composition of the employee workforce.</w:t>
      </w:r>
    </w:p>
    <w:p w:rsidR="00AC0F46" w:rsidRPr="00AC0F46" w:rsidRDefault="00AC0F46" w:rsidP="00F324DE">
      <w:pPr>
        <w:pStyle w:val="textbasic"/>
        <w:rPr>
          <w:lang w:eastAsia="en-AU"/>
        </w:rPr>
      </w:pPr>
      <w:r w:rsidRPr="00AC0F46">
        <w:rPr>
          <w:lang w:eastAsia="en-AU"/>
        </w:rPr>
        <w:t>The WPI is a better measure of changes in wage and salary movements for specific jobs, as distinct from changes in average earnings. For example, an apprentice moving to a tradesperson role might impact on AWE, but not the WPI, which measures the rate (price) for apprentices and tradespersons as separate entities.</w:t>
      </w:r>
    </w:p>
    <w:p w:rsidR="00AC0F46" w:rsidRPr="00AC0F46" w:rsidRDefault="00AC0F46" w:rsidP="00F324DE">
      <w:pPr>
        <w:pStyle w:val="textbasic"/>
        <w:rPr>
          <w:lang w:eastAsia="en-AU"/>
        </w:rPr>
      </w:pPr>
      <w:r w:rsidRPr="00AC0F46">
        <w:rPr>
          <w:lang w:eastAsia="en-AU"/>
        </w:rPr>
        <w:t>The WPI is favoured by the Fair Work Commission in considering National Wage matters.</w:t>
      </w:r>
    </w:p>
    <w:p w:rsidR="005D550E" w:rsidRPr="00B45912" w:rsidRDefault="005D550E" w:rsidP="00F324DE">
      <w:pPr>
        <w:pStyle w:val="textbasic"/>
      </w:pPr>
      <w:r w:rsidRPr="00B45912">
        <w:t xml:space="preserve">As seen from Table 4 </w:t>
      </w:r>
      <w:r w:rsidR="00B45912" w:rsidRPr="00B45912">
        <w:t xml:space="preserve">above </w:t>
      </w:r>
      <w:r w:rsidRPr="00B45912">
        <w:t>the WPI has increased at a slightly lesser rate than AWE over the past ten years, although both indices are ahead of changes in the CPI.</w:t>
      </w:r>
    </w:p>
    <w:p w:rsidR="005D550E" w:rsidRPr="005D550E" w:rsidRDefault="00BA02DE" w:rsidP="00EC1A81">
      <w:pPr>
        <w:pStyle w:val="Heading3"/>
      </w:pPr>
      <w:bookmarkStart w:id="52" w:name="_Toc443486926"/>
      <w:r>
        <w:t>6</w:t>
      </w:r>
      <w:r w:rsidR="00EC1A81">
        <w:t>.1</w:t>
      </w:r>
      <w:r>
        <w:t>.4</w:t>
      </w:r>
      <w:r>
        <w:tab/>
      </w:r>
      <w:r w:rsidR="005D550E" w:rsidRPr="005D550E">
        <w:t>P</w:t>
      </w:r>
      <w:r>
        <w:t>e</w:t>
      </w:r>
      <w:r w:rsidR="005D550E" w:rsidRPr="005D550E">
        <w:t>riodic Reviews</w:t>
      </w:r>
      <w:bookmarkEnd w:id="52"/>
    </w:p>
    <w:p w:rsidR="00B45912" w:rsidRDefault="005D550E" w:rsidP="00F324DE">
      <w:pPr>
        <w:pStyle w:val="textbasic"/>
      </w:pPr>
      <w:r w:rsidRPr="00BA02DE">
        <w:t xml:space="preserve">As an alternative to a formal linking mechanism, the basic salary could be subject to review on an annual basis. </w:t>
      </w:r>
      <w:r w:rsidR="00BA02DE" w:rsidRPr="00BA02DE">
        <w:t xml:space="preserve"> </w:t>
      </w:r>
    </w:p>
    <w:p w:rsidR="005D550E" w:rsidRPr="00BA02DE" w:rsidRDefault="005D550E" w:rsidP="00F324DE">
      <w:pPr>
        <w:pStyle w:val="textbasic"/>
      </w:pPr>
      <w:r w:rsidRPr="00BA02DE">
        <w:t xml:space="preserve">Under such a mechanism the </w:t>
      </w:r>
      <w:r w:rsidR="00B45912">
        <w:t>factors</w:t>
      </w:r>
      <w:r w:rsidRPr="00BA02DE">
        <w:t xml:space="preserve"> referred to in this report might all be ‘in the mix’ with none being binding in absolute terms. </w:t>
      </w:r>
      <w:r w:rsidRPr="00152FB8">
        <w:t xml:space="preserve">This is the position which applies in </w:t>
      </w:r>
      <w:r w:rsidR="00152FB8" w:rsidRPr="00152FB8">
        <w:t xml:space="preserve">the Australian Capital Territory, New South Wales, the Northern Territory </w:t>
      </w:r>
      <w:r w:rsidR="00D26B03" w:rsidRPr="00152FB8">
        <w:t>and Western</w:t>
      </w:r>
      <w:r w:rsidRPr="00152FB8">
        <w:t xml:space="preserve"> Australia</w:t>
      </w:r>
      <w:r w:rsidR="00F060E6">
        <w:t>,</w:t>
      </w:r>
      <w:r w:rsidRPr="00152FB8">
        <w:t xml:space="preserve"> </w:t>
      </w:r>
      <w:r w:rsidR="00B45912" w:rsidRPr="00152FB8">
        <w:t>where a remuneration tribunal makes periodic determinations.</w:t>
      </w:r>
    </w:p>
    <w:p w:rsidR="005D550E" w:rsidRPr="00BA02DE" w:rsidRDefault="005D550E" w:rsidP="00F324DE">
      <w:pPr>
        <w:pStyle w:val="textbasic"/>
      </w:pPr>
      <w:r w:rsidRPr="00BA02DE">
        <w:t xml:space="preserve">This approach would ensure that all relevant factors are taken into account. </w:t>
      </w:r>
      <w:r w:rsidR="00BA02DE" w:rsidRPr="00BA02DE">
        <w:t xml:space="preserve"> </w:t>
      </w:r>
      <w:r w:rsidRPr="00BA02DE">
        <w:t xml:space="preserve">However such a process has its own complexities and is time consuming for both the tribunal and individuals and organisations with an interest in the process. Given that external changes of an unpredictable nature are unlikely to be of such moment as to create a significant inequity in such a short time frame, we conclude that full reviews on an annual basis are not justified. We note that, in any event, the Minister may at any time require the Commission to inquire into a matter specified in </w:t>
      </w:r>
      <w:r w:rsidR="00B45912">
        <w:t>a written</w:t>
      </w:r>
      <w:r w:rsidRPr="00BA02DE">
        <w:t xml:space="preserve"> notice</w:t>
      </w:r>
      <w:r w:rsidR="00BA02DE" w:rsidRPr="00BA02DE">
        <w:rPr>
          <w:rStyle w:val="FootnoteReference"/>
        </w:rPr>
        <w:footnoteReference w:id="48"/>
      </w:r>
      <w:r w:rsidR="00B45912">
        <w:t xml:space="preserve"> should a new review be deemed necessary</w:t>
      </w:r>
      <w:r w:rsidRPr="00BA02DE">
        <w:t>.</w:t>
      </w:r>
    </w:p>
    <w:p w:rsidR="005D550E" w:rsidRPr="00B53040" w:rsidRDefault="005D550E" w:rsidP="00F324DE">
      <w:pPr>
        <w:pStyle w:val="textbasic"/>
      </w:pPr>
      <w:r w:rsidRPr="00B53040">
        <w:t>Having established an equitable bas</w:t>
      </w:r>
      <w:r w:rsidR="00B45912" w:rsidRPr="00B53040">
        <w:t>ic salary</w:t>
      </w:r>
      <w:r w:rsidR="00F5306F" w:rsidRPr="00B53040">
        <w:t xml:space="preserve"> </w:t>
      </w:r>
      <w:r w:rsidR="00B45912" w:rsidRPr="00B53040">
        <w:t xml:space="preserve">to apply from 1 July 2016 </w:t>
      </w:r>
      <w:r w:rsidR="00F5306F" w:rsidRPr="00B53040">
        <w:t>(see section 5.8)</w:t>
      </w:r>
      <w:r w:rsidRPr="00B53040">
        <w:t xml:space="preserve"> we </w:t>
      </w:r>
      <w:r w:rsidR="00E35D0D">
        <w:t>consider it is appropriate</w:t>
      </w:r>
      <w:r w:rsidRPr="00B53040">
        <w:t xml:space="preserve"> that between </w:t>
      </w:r>
      <w:r w:rsidR="00B45912" w:rsidRPr="00B53040">
        <w:t>Inquir</w:t>
      </w:r>
      <w:r w:rsidR="00501E11" w:rsidRPr="00B53040">
        <w:t>i</w:t>
      </w:r>
      <w:r w:rsidR="00B45912" w:rsidRPr="00B53040">
        <w:t>es of the Commission</w:t>
      </w:r>
      <w:r w:rsidRPr="00B53040">
        <w:t xml:space="preserve"> the basic salary be adjusted by the change in the WPI, </w:t>
      </w:r>
      <w:r w:rsidR="00F060E6" w:rsidRPr="00B53040">
        <w:t xml:space="preserve">Ordinary </w:t>
      </w:r>
      <w:r w:rsidRPr="00B53040">
        <w:t xml:space="preserve">Time Hourly Rates of Pay Excluding Bonuses; Tasmania, </w:t>
      </w:r>
      <w:r w:rsidR="00B575E6" w:rsidRPr="00B53040">
        <w:t xml:space="preserve">Private </w:t>
      </w:r>
      <w:r w:rsidRPr="00B53040">
        <w:t xml:space="preserve">and Public; all Industries </w:t>
      </w:r>
      <w:r w:rsidR="00E14D34">
        <w:t>(</w:t>
      </w:r>
      <w:r w:rsidRPr="00B53040">
        <w:t>ABS Catalogue 6345.0</w:t>
      </w:r>
      <w:r w:rsidR="00E14D34">
        <w:t>)</w:t>
      </w:r>
      <w:r w:rsidRPr="00B53040">
        <w:t xml:space="preserve"> for the twelve months preceding the December </w:t>
      </w:r>
      <w:r w:rsidRPr="00B53040">
        <w:lastRenderedPageBreak/>
        <w:t>quarter in each relevant financial year. Such adjustment is to take effect from 1 July next occurring.</w:t>
      </w:r>
    </w:p>
    <w:p w:rsidR="00317A96" w:rsidRPr="00B53040" w:rsidRDefault="00317A96" w:rsidP="00F324DE">
      <w:pPr>
        <w:pStyle w:val="textbasic"/>
      </w:pPr>
      <w:r w:rsidRPr="00B53040">
        <w:t>We anticipate that</w:t>
      </w:r>
      <w:r w:rsidR="007A0059">
        <w:t>,</w:t>
      </w:r>
      <w:r w:rsidRPr="00B53040">
        <w:t xml:space="preserve"> when this revised system of salary adjustment is bedded down and fully established</w:t>
      </w:r>
      <w:r w:rsidR="007A0059">
        <w:t>,</w:t>
      </w:r>
      <w:r w:rsidRPr="00B53040">
        <w:t xml:space="preserve"> a full review of all relevant considerations by an Inquiry under the 2012 Act need only occur at three</w:t>
      </w:r>
      <w:r w:rsidR="007A0059">
        <w:t>-</w:t>
      </w:r>
      <w:r w:rsidRPr="00B53040">
        <w:t>yearly intervals.</w:t>
      </w:r>
    </w:p>
    <w:p w:rsidR="00E35D0D" w:rsidRPr="005D550E" w:rsidRDefault="00E35D0D" w:rsidP="00E35D0D">
      <w:pPr>
        <w:pStyle w:val="Heading2"/>
      </w:pPr>
      <w:bookmarkStart w:id="53" w:name="_Toc443486927"/>
      <w:r>
        <w:t>6.2</w:t>
      </w:r>
      <w:r>
        <w:tab/>
        <w:t>Recommendation</w:t>
      </w:r>
      <w:bookmarkEnd w:id="53"/>
    </w:p>
    <w:p w:rsidR="00317A96" w:rsidRPr="00B53040" w:rsidRDefault="00BA02DE" w:rsidP="00F324DE">
      <w:pPr>
        <w:pStyle w:val="textbasic"/>
      </w:pPr>
      <w:r w:rsidRPr="00B53040">
        <w:t>However, g</w:t>
      </w:r>
      <w:r w:rsidR="005D550E" w:rsidRPr="00B53040">
        <w:t xml:space="preserve">iven that this </w:t>
      </w:r>
      <w:r w:rsidR="00F5306F" w:rsidRPr="00B53040">
        <w:t xml:space="preserve">proposal </w:t>
      </w:r>
      <w:r w:rsidR="005D550E" w:rsidRPr="00B53040">
        <w:t xml:space="preserve">is a new system of salary and allowance adjustment, we </w:t>
      </w:r>
      <w:r w:rsidRPr="00B53040">
        <w:t>recommend</w:t>
      </w:r>
      <w:r w:rsidR="005D550E" w:rsidRPr="00B53040">
        <w:t xml:space="preserve"> that </w:t>
      </w:r>
      <w:r w:rsidR="00317A96" w:rsidRPr="00B53040">
        <w:t>our determination this time be that:</w:t>
      </w:r>
    </w:p>
    <w:p w:rsidR="00317A96" w:rsidRPr="00B53040" w:rsidRDefault="0033523C" w:rsidP="00B53040">
      <w:pPr>
        <w:pStyle w:val="texti"/>
        <w:rPr>
          <w:b/>
        </w:rPr>
      </w:pPr>
      <w:r w:rsidRPr="00B53040">
        <w:rPr>
          <w:b/>
        </w:rPr>
        <w:t>(</w:t>
      </w:r>
      <w:r w:rsidR="00BD68E4">
        <w:rPr>
          <w:b/>
        </w:rPr>
        <w:t>2</w:t>
      </w:r>
      <w:r w:rsidRPr="00B53040">
        <w:rPr>
          <w:b/>
        </w:rPr>
        <w:t>)</w:t>
      </w:r>
      <w:r w:rsidRPr="00B53040">
        <w:rPr>
          <w:b/>
        </w:rPr>
        <w:tab/>
        <w:t xml:space="preserve">From </w:t>
      </w:r>
      <w:r w:rsidR="00317A96" w:rsidRPr="00B53040">
        <w:rPr>
          <w:b/>
        </w:rPr>
        <w:t xml:space="preserve">1 July 2017, the basic salary be </w:t>
      </w:r>
      <w:r w:rsidR="00E35D0D" w:rsidRPr="00E35D0D">
        <w:rPr>
          <w:b/>
        </w:rPr>
        <w:t xml:space="preserve">adjusted by the change in the WPI, </w:t>
      </w:r>
      <w:r w:rsidR="00E8538B" w:rsidRPr="00E35D0D">
        <w:rPr>
          <w:b/>
        </w:rPr>
        <w:t xml:space="preserve">Ordinary </w:t>
      </w:r>
      <w:r w:rsidR="00E35D0D" w:rsidRPr="00E35D0D">
        <w:rPr>
          <w:b/>
        </w:rPr>
        <w:t xml:space="preserve">Time Hourly Rates of Pay Excluding Bonuses; Tasmania, </w:t>
      </w:r>
      <w:r w:rsidR="00E8538B" w:rsidRPr="00E35D0D">
        <w:rPr>
          <w:b/>
        </w:rPr>
        <w:t xml:space="preserve">Private </w:t>
      </w:r>
      <w:r w:rsidR="00E35D0D" w:rsidRPr="00E35D0D">
        <w:rPr>
          <w:b/>
        </w:rPr>
        <w:t xml:space="preserve">and Public; all Industries </w:t>
      </w:r>
      <w:r w:rsidR="00E14D34">
        <w:rPr>
          <w:b/>
        </w:rPr>
        <w:t>(</w:t>
      </w:r>
      <w:r w:rsidR="00E35D0D" w:rsidRPr="00E35D0D">
        <w:rPr>
          <w:b/>
        </w:rPr>
        <w:t>ABS Catalogue 6345.0</w:t>
      </w:r>
      <w:r w:rsidR="00E14D34">
        <w:rPr>
          <w:b/>
        </w:rPr>
        <w:t>)</w:t>
      </w:r>
      <w:r w:rsidR="00E35D0D" w:rsidRPr="00E35D0D">
        <w:rPr>
          <w:b/>
        </w:rPr>
        <w:t xml:space="preserve"> for the twelve months preceding the December quarter in each relevant financial year</w:t>
      </w:r>
      <w:r w:rsidR="00D26B03">
        <w:rPr>
          <w:b/>
        </w:rPr>
        <w:t>.</w:t>
      </w:r>
    </w:p>
    <w:p w:rsidR="00501E11" w:rsidRPr="00B53040" w:rsidRDefault="0033523C" w:rsidP="00B53040">
      <w:pPr>
        <w:pStyle w:val="texti"/>
        <w:rPr>
          <w:b/>
        </w:rPr>
      </w:pPr>
      <w:r w:rsidRPr="00B53040">
        <w:rPr>
          <w:b/>
        </w:rPr>
        <w:t>(</w:t>
      </w:r>
      <w:r w:rsidR="00BD68E4">
        <w:rPr>
          <w:b/>
        </w:rPr>
        <w:t>3</w:t>
      </w:r>
      <w:r w:rsidRPr="00B53040">
        <w:rPr>
          <w:b/>
        </w:rPr>
        <w:t>)</w:t>
      </w:r>
      <w:r w:rsidRPr="00B53040">
        <w:rPr>
          <w:b/>
        </w:rPr>
        <w:tab/>
        <w:t xml:space="preserve">The </w:t>
      </w:r>
      <w:r w:rsidR="005D550E" w:rsidRPr="00B53040">
        <w:rPr>
          <w:b/>
        </w:rPr>
        <w:t xml:space="preserve">next </w:t>
      </w:r>
      <w:r w:rsidR="00F5306F" w:rsidRPr="00B53040">
        <w:rPr>
          <w:b/>
        </w:rPr>
        <w:t xml:space="preserve">Inquiry under the 2012 Act </w:t>
      </w:r>
      <w:r w:rsidR="00BA02DE" w:rsidRPr="00B53040">
        <w:rPr>
          <w:b/>
        </w:rPr>
        <w:t xml:space="preserve">by the Commission </w:t>
      </w:r>
      <w:r w:rsidR="005D550E" w:rsidRPr="00B53040">
        <w:rPr>
          <w:b/>
        </w:rPr>
        <w:t>take place in 2017</w:t>
      </w:r>
      <w:r w:rsidR="00BA02DE" w:rsidRPr="00B53040">
        <w:rPr>
          <w:b/>
        </w:rPr>
        <w:t>-</w:t>
      </w:r>
      <w:r w:rsidR="005D550E" w:rsidRPr="00B53040">
        <w:rPr>
          <w:b/>
        </w:rPr>
        <w:t>18, with any change to take effect from 1 July 2018. This will allow for an earlier consideration of any unanticipated external factors tha</w:t>
      </w:r>
      <w:r w:rsidR="007A0059">
        <w:rPr>
          <w:b/>
        </w:rPr>
        <w:t>t</w:t>
      </w:r>
      <w:r w:rsidR="005D550E" w:rsidRPr="00B53040">
        <w:rPr>
          <w:b/>
        </w:rPr>
        <w:t xml:space="preserve"> would otherwise </w:t>
      </w:r>
      <w:r w:rsidR="00F5306F" w:rsidRPr="00B53040">
        <w:rPr>
          <w:b/>
        </w:rPr>
        <w:t xml:space="preserve">have </w:t>
      </w:r>
      <w:r w:rsidR="007A0059">
        <w:rPr>
          <w:b/>
        </w:rPr>
        <w:t>occurred</w:t>
      </w:r>
      <w:r w:rsidR="005D550E" w:rsidRPr="00B53040">
        <w:rPr>
          <w:b/>
        </w:rPr>
        <w:t xml:space="preserve"> under the proposed three yearly reviews.</w:t>
      </w:r>
      <w:r w:rsidR="00501E11" w:rsidRPr="00B53040">
        <w:rPr>
          <w:b/>
        </w:rPr>
        <w:t xml:space="preserve"> </w:t>
      </w:r>
    </w:p>
    <w:p w:rsidR="00501E11" w:rsidRPr="00501E11" w:rsidRDefault="00501E11" w:rsidP="00501E11">
      <w:pPr>
        <w:pStyle w:val="Heading1"/>
      </w:pPr>
      <w:bookmarkStart w:id="54" w:name="_Toc443486928"/>
      <w:r w:rsidRPr="00501E11">
        <w:t>7</w:t>
      </w:r>
      <w:r w:rsidRPr="00501E11">
        <w:tab/>
        <w:t>Additional Salary for Certain Office Holders</w:t>
      </w:r>
      <w:bookmarkEnd w:id="54"/>
    </w:p>
    <w:p w:rsidR="00C03939" w:rsidRDefault="00C03939" w:rsidP="00CC5844">
      <w:pPr>
        <w:pStyle w:val="Heading2"/>
      </w:pPr>
      <w:bookmarkStart w:id="55" w:name="_Toc443486929"/>
      <w:r>
        <w:t>7.1</w:t>
      </w:r>
      <w:r>
        <w:tab/>
      </w:r>
      <w:r w:rsidR="004D229F">
        <w:t>Information</w:t>
      </w:r>
      <w:bookmarkEnd w:id="55"/>
    </w:p>
    <w:p w:rsidR="00AF09C8" w:rsidRDefault="00AF09C8" w:rsidP="00F324DE">
      <w:pPr>
        <w:pStyle w:val="textbasic"/>
      </w:pPr>
      <w:r>
        <w:t xml:space="preserve">The </w:t>
      </w:r>
      <w:r w:rsidR="009C2293">
        <w:t>2012 Act</w:t>
      </w:r>
      <w:r>
        <w:t xml:space="preserve"> prescribes </w:t>
      </w:r>
      <w:r w:rsidR="0059519B">
        <w:t xml:space="preserve">the </w:t>
      </w:r>
      <w:r>
        <w:t xml:space="preserve">additional </w:t>
      </w:r>
      <w:r w:rsidR="0059519B">
        <w:t>salary</w:t>
      </w:r>
      <w:r>
        <w:t xml:space="preserve"> payable </w:t>
      </w:r>
      <w:r w:rsidR="007663CC" w:rsidRPr="007663CC">
        <w:t>to the Premier, Deputy Premier, Ministers of the Crown, Secretary to Cabinet and Certain Officers of the Parliament</w:t>
      </w:r>
      <w:r>
        <w:t>.</w:t>
      </w:r>
      <w:r w:rsidR="0059519B">
        <w:t xml:space="preserve">  The additional salary is specified as a percentage of the basic salary</w:t>
      </w:r>
      <w:r w:rsidR="001175B8">
        <w:t>.</w:t>
      </w:r>
      <w:r w:rsidR="00E35D0D">
        <w:rPr>
          <w:rStyle w:val="FootnoteReference"/>
        </w:rPr>
        <w:footnoteReference w:id="49"/>
      </w:r>
    </w:p>
    <w:p w:rsidR="0059519B" w:rsidRDefault="0059519B" w:rsidP="00F324DE">
      <w:pPr>
        <w:pStyle w:val="textbasic"/>
      </w:pPr>
      <w:r>
        <w:t>Additional salary for office holders did not form part of the terms of reference of the Tribunal</w:t>
      </w:r>
      <w:r w:rsidR="0038643A">
        <w:t xml:space="preserve"> in 2013, but it is a relevant matter for the purpose of this Inquiry by the Commission</w:t>
      </w:r>
      <w:r>
        <w:t>.</w:t>
      </w:r>
    </w:p>
    <w:p w:rsidR="0059519B" w:rsidRDefault="0059519B" w:rsidP="00F324DE">
      <w:pPr>
        <w:pStyle w:val="textbasic"/>
      </w:pPr>
      <w:r>
        <w:t xml:space="preserve">The current entitlements to </w:t>
      </w:r>
      <w:r w:rsidR="007A0059">
        <w:t xml:space="preserve">additional salary </w:t>
      </w:r>
      <w:r w:rsidR="008F4F32">
        <w:t>for MPs who are holders of certain offices</w:t>
      </w:r>
      <w:r w:rsidR="00FF483D">
        <w:t xml:space="preserve"> </w:t>
      </w:r>
      <w:r>
        <w:t>are</w:t>
      </w:r>
      <w:r w:rsidR="00D75A2B">
        <w:t xml:space="preserve"> shown in Table </w:t>
      </w:r>
      <w:r w:rsidR="0033523C">
        <w:t>8</w:t>
      </w:r>
      <w:r w:rsidR="00D75A2B">
        <w:t>.</w:t>
      </w:r>
      <w:r w:rsidR="008F4F32">
        <w:t xml:space="preserve">  It also shows the value of those entitlements currently as well as for our recommended basic salary </w:t>
      </w:r>
      <w:r w:rsidR="00B575E6">
        <w:t>from</w:t>
      </w:r>
      <w:r w:rsidR="008F4F32">
        <w:t xml:space="preserve"> 1 July 2016.</w:t>
      </w:r>
    </w:p>
    <w:p w:rsidR="00D75A2B" w:rsidRPr="00D75A2B" w:rsidRDefault="00D75A2B" w:rsidP="0033523C">
      <w:pPr>
        <w:pStyle w:val="TableTitlemain"/>
      </w:pPr>
      <w:r w:rsidRPr="00D75A2B">
        <w:t xml:space="preserve">Table </w:t>
      </w:r>
      <w:r w:rsidR="0033523C">
        <w:t>8</w:t>
      </w:r>
      <w:r w:rsidR="0033523C">
        <w:tab/>
      </w:r>
      <w:r w:rsidRPr="00D75A2B">
        <w:t>Additional Sa</w:t>
      </w:r>
      <w:r w:rsidR="007663CC">
        <w:t xml:space="preserve">lary for MPs who are </w:t>
      </w:r>
      <w:r w:rsidR="007A0059">
        <w:t>Office Holders</w:t>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098"/>
        <w:gridCol w:w="2098"/>
        <w:gridCol w:w="2098"/>
      </w:tblGrid>
      <w:tr w:rsidR="008F4F32" w:rsidRPr="00327CCC" w:rsidTr="00327CCC">
        <w:trPr>
          <w:cantSplit/>
          <w:tblHeader/>
        </w:trPr>
        <w:tc>
          <w:tcPr>
            <w:tcW w:w="2802" w:type="dxa"/>
            <w:tcBorders>
              <w:bottom w:val="single" w:sz="4" w:space="0" w:color="auto"/>
            </w:tcBorders>
            <w:shd w:val="clear" w:color="auto" w:fill="D9D9D9" w:themeFill="background1" w:themeFillShade="D9"/>
          </w:tcPr>
          <w:p w:rsidR="008F4F32" w:rsidRPr="00327CCC" w:rsidRDefault="008F4F32" w:rsidP="008C450A">
            <w:pPr>
              <w:jc w:val="both"/>
              <w:rPr>
                <w:b/>
                <w:sz w:val="16"/>
                <w:szCs w:val="16"/>
                <w:lang w:val="en-US"/>
              </w:rPr>
            </w:pPr>
            <w:r w:rsidRPr="00327CCC">
              <w:rPr>
                <w:b/>
                <w:sz w:val="16"/>
                <w:szCs w:val="16"/>
                <w:lang w:val="en-US"/>
              </w:rPr>
              <w:t>Office</w:t>
            </w:r>
          </w:p>
        </w:tc>
        <w:tc>
          <w:tcPr>
            <w:tcW w:w="2098" w:type="dxa"/>
            <w:shd w:val="clear" w:color="auto" w:fill="D9D9D9" w:themeFill="background1" w:themeFillShade="D9"/>
            <w:vAlign w:val="center"/>
          </w:tcPr>
          <w:p w:rsidR="008F4F32" w:rsidRPr="00327CCC" w:rsidRDefault="008F4F32" w:rsidP="008F4F32">
            <w:pPr>
              <w:jc w:val="center"/>
              <w:rPr>
                <w:b/>
                <w:sz w:val="16"/>
                <w:szCs w:val="16"/>
                <w:lang w:val="en-US"/>
              </w:rPr>
            </w:pPr>
            <w:r w:rsidRPr="00327CCC">
              <w:rPr>
                <w:b/>
                <w:sz w:val="16"/>
                <w:szCs w:val="16"/>
                <w:lang w:val="en-US"/>
              </w:rPr>
              <w:t>Additional Salary</w:t>
            </w:r>
            <w:r w:rsidRPr="00327CCC">
              <w:rPr>
                <w:b/>
                <w:sz w:val="16"/>
                <w:szCs w:val="16"/>
                <w:lang w:val="en-US"/>
              </w:rPr>
              <w:br/>
            </w:r>
            <w:r w:rsidRPr="00327CCC">
              <w:rPr>
                <w:sz w:val="16"/>
                <w:szCs w:val="16"/>
                <w:lang w:val="en-US"/>
              </w:rPr>
              <w:t>(percentage of basic salary)</w:t>
            </w:r>
          </w:p>
        </w:tc>
        <w:tc>
          <w:tcPr>
            <w:tcW w:w="2098" w:type="dxa"/>
            <w:shd w:val="clear" w:color="auto" w:fill="D9D9D9" w:themeFill="background1" w:themeFillShade="D9"/>
            <w:vAlign w:val="center"/>
          </w:tcPr>
          <w:p w:rsidR="008F4F32" w:rsidRPr="00327CCC" w:rsidRDefault="008F4F32" w:rsidP="008F4F32">
            <w:pPr>
              <w:jc w:val="center"/>
              <w:rPr>
                <w:b/>
                <w:sz w:val="16"/>
                <w:szCs w:val="16"/>
                <w:lang w:val="en-US"/>
              </w:rPr>
            </w:pPr>
            <w:r w:rsidRPr="00327CCC">
              <w:rPr>
                <w:b/>
                <w:sz w:val="16"/>
                <w:szCs w:val="16"/>
                <w:lang w:val="en-US"/>
              </w:rPr>
              <w:t>Additional Salary</w:t>
            </w:r>
            <w:r w:rsidRPr="00327CCC">
              <w:rPr>
                <w:b/>
                <w:sz w:val="16"/>
                <w:szCs w:val="16"/>
                <w:lang w:val="en-US"/>
              </w:rPr>
              <w:br/>
            </w:r>
            <w:r w:rsidR="007A0059" w:rsidRPr="00327CCC">
              <w:rPr>
                <w:b/>
                <w:sz w:val="16"/>
                <w:szCs w:val="16"/>
                <w:lang w:val="en-US"/>
              </w:rPr>
              <w:t>$</w:t>
            </w:r>
            <w:r w:rsidRPr="00327CCC">
              <w:rPr>
                <w:b/>
                <w:sz w:val="16"/>
                <w:szCs w:val="16"/>
                <w:lang w:val="en-US"/>
              </w:rPr>
              <w:t xml:space="preserve">pa </w:t>
            </w:r>
            <w:r w:rsidRPr="00327CCC">
              <w:rPr>
                <w:b/>
                <w:sz w:val="16"/>
                <w:szCs w:val="16"/>
                <w:lang w:val="en-US"/>
              </w:rPr>
              <w:br/>
            </w:r>
            <w:r w:rsidRPr="00327CCC">
              <w:rPr>
                <w:sz w:val="16"/>
                <w:szCs w:val="16"/>
                <w:lang w:val="en-US"/>
              </w:rPr>
              <w:t>(based on current salary)</w:t>
            </w:r>
          </w:p>
        </w:tc>
        <w:tc>
          <w:tcPr>
            <w:tcW w:w="2098" w:type="dxa"/>
            <w:shd w:val="clear" w:color="auto" w:fill="D9D9D9" w:themeFill="background1" w:themeFillShade="D9"/>
            <w:vAlign w:val="center"/>
          </w:tcPr>
          <w:p w:rsidR="008F4F32" w:rsidRPr="00327CCC" w:rsidRDefault="008F4F32" w:rsidP="008F4F32">
            <w:pPr>
              <w:jc w:val="center"/>
              <w:rPr>
                <w:b/>
                <w:sz w:val="16"/>
                <w:szCs w:val="16"/>
                <w:lang w:val="en-US"/>
              </w:rPr>
            </w:pPr>
            <w:r w:rsidRPr="00327CCC">
              <w:rPr>
                <w:b/>
                <w:sz w:val="16"/>
                <w:szCs w:val="16"/>
                <w:lang w:val="en-US"/>
              </w:rPr>
              <w:t>Additional Salary</w:t>
            </w:r>
            <w:r w:rsidRPr="00327CCC">
              <w:rPr>
                <w:b/>
                <w:sz w:val="16"/>
                <w:szCs w:val="16"/>
                <w:lang w:val="en-US"/>
              </w:rPr>
              <w:br/>
            </w:r>
            <w:r w:rsidR="007A0059" w:rsidRPr="00327CCC">
              <w:rPr>
                <w:b/>
                <w:sz w:val="16"/>
                <w:szCs w:val="16"/>
                <w:lang w:val="en-US"/>
              </w:rPr>
              <w:t>$</w:t>
            </w:r>
            <w:r w:rsidRPr="00327CCC">
              <w:rPr>
                <w:b/>
                <w:sz w:val="16"/>
                <w:szCs w:val="16"/>
                <w:lang w:val="en-US"/>
              </w:rPr>
              <w:t xml:space="preserve">pa </w:t>
            </w:r>
            <w:r w:rsidRPr="00327CCC">
              <w:rPr>
                <w:b/>
                <w:sz w:val="16"/>
                <w:szCs w:val="16"/>
                <w:lang w:val="en-US"/>
              </w:rPr>
              <w:br/>
            </w:r>
            <w:r w:rsidRPr="00327CCC">
              <w:rPr>
                <w:sz w:val="16"/>
                <w:szCs w:val="16"/>
                <w:lang w:val="en-US"/>
              </w:rPr>
              <w:t>(based on recommended salary)</w:t>
            </w:r>
          </w:p>
        </w:tc>
      </w:tr>
      <w:tr w:rsidR="008F4F32" w:rsidRPr="000A39B0" w:rsidTr="008F4F32">
        <w:tc>
          <w:tcPr>
            <w:tcW w:w="2802" w:type="dxa"/>
            <w:tcBorders>
              <w:top w:val="single" w:sz="4" w:space="0" w:color="auto"/>
              <w:left w:val="nil"/>
              <w:bottom w:val="single" w:sz="4" w:space="0" w:color="auto"/>
              <w:right w:val="single" w:sz="4" w:space="0" w:color="auto"/>
            </w:tcBorders>
            <w:shd w:val="clear" w:color="auto" w:fill="auto"/>
          </w:tcPr>
          <w:p w:rsidR="008F4F32" w:rsidRPr="000A39B0" w:rsidRDefault="008F4F32" w:rsidP="008C450A">
            <w:pPr>
              <w:jc w:val="both"/>
              <w:rPr>
                <w:i/>
                <w:sz w:val="16"/>
                <w:szCs w:val="16"/>
                <w:lang w:val="en-US"/>
              </w:rPr>
            </w:pPr>
            <w:r w:rsidRPr="000A39B0">
              <w:rPr>
                <w:i/>
                <w:sz w:val="16"/>
                <w:szCs w:val="16"/>
                <w:lang w:val="en-US"/>
              </w:rPr>
              <w:t>Government</w:t>
            </w:r>
          </w:p>
        </w:tc>
        <w:tc>
          <w:tcPr>
            <w:tcW w:w="2098" w:type="dxa"/>
            <w:tcBorders>
              <w:top w:val="single" w:sz="4" w:space="0" w:color="auto"/>
              <w:left w:val="single" w:sz="4" w:space="0" w:color="auto"/>
              <w:bottom w:val="single" w:sz="4" w:space="0" w:color="auto"/>
              <w:right w:val="nil"/>
            </w:tcBorders>
            <w:shd w:val="clear" w:color="auto" w:fill="auto"/>
            <w:vAlign w:val="center"/>
          </w:tcPr>
          <w:p w:rsidR="008F4F32" w:rsidRPr="000A39B0" w:rsidRDefault="008F4F32" w:rsidP="008F4F32">
            <w:pPr>
              <w:jc w:val="center"/>
              <w:rPr>
                <w:sz w:val="16"/>
                <w:szCs w:val="16"/>
                <w:lang w:val="en-US"/>
              </w:rPr>
            </w:pPr>
          </w:p>
        </w:tc>
        <w:tc>
          <w:tcPr>
            <w:tcW w:w="2098" w:type="dxa"/>
            <w:tcBorders>
              <w:top w:val="single" w:sz="4" w:space="0" w:color="auto"/>
              <w:left w:val="nil"/>
              <w:bottom w:val="single" w:sz="4" w:space="0" w:color="auto"/>
              <w:right w:val="nil"/>
            </w:tcBorders>
            <w:shd w:val="clear" w:color="auto" w:fill="auto"/>
            <w:vAlign w:val="center"/>
          </w:tcPr>
          <w:p w:rsidR="008F4F32" w:rsidRPr="000A39B0" w:rsidRDefault="008F4F32" w:rsidP="008F4F32">
            <w:pPr>
              <w:jc w:val="center"/>
              <w:rPr>
                <w:sz w:val="16"/>
                <w:szCs w:val="16"/>
                <w:lang w:val="en-US"/>
              </w:rPr>
            </w:pPr>
          </w:p>
        </w:tc>
        <w:tc>
          <w:tcPr>
            <w:tcW w:w="2098" w:type="dxa"/>
            <w:tcBorders>
              <w:top w:val="single" w:sz="4" w:space="0" w:color="auto"/>
              <w:left w:val="nil"/>
              <w:bottom w:val="single" w:sz="4" w:space="0" w:color="auto"/>
              <w:right w:val="nil"/>
            </w:tcBorders>
            <w:vAlign w:val="center"/>
          </w:tcPr>
          <w:p w:rsidR="008F4F32" w:rsidRPr="000A39B0" w:rsidRDefault="008F4F32" w:rsidP="0030285F">
            <w:pPr>
              <w:jc w:val="center"/>
              <w:rPr>
                <w:sz w:val="16"/>
                <w:szCs w:val="16"/>
                <w:lang w:val="en-US"/>
              </w:rPr>
            </w:pPr>
          </w:p>
        </w:tc>
      </w:tr>
      <w:tr w:rsidR="008F4F32" w:rsidRPr="000A39B0" w:rsidTr="006D45A9">
        <w:tc>
          <w:tcPr>
            <w:tcW w:w="2802" w:type="dxa"/>
            <w:tcBorders>
              <w:top w:val="single" w:sz="4" w:space="0" w:color="auto"/>
            </w:tcBorders>
            <w:shd w:val="clear" w:color="auto" w:fill="auto"/>
            <w:vAlign w:val="center"/>
          </w:tcPr>
          <w:p w:rsidR="008F4F32" w:rsidRPr="000A39B0" w:rsidRDefault="008F4F32" w:rsidP="006D45A9">
            <w:pPr>
              <w:spacing w:before="120" w:after="120"/>
              <w:rPr>
                <w:sz w:val="16"/>
                <w:szCs w:val="16"/>
              </w:rPr>
            </w:pPr>
            <w:r w:rsidRPr="000A39B0">
              <w:rPr>
                <w:sz w:val="16"/>
                <w:szCs w:val="16"/>
              </w:rPr>
              <w:t>Premier</w:t>
            </w:r>
          </w:p>
        </w:tc>
        <w:tc>
          <w:tcPr>
            <w:tcW w:w="2098" w:type="dxa"/>
            <w:shd w:val="clear" w:color="auto" w:fill="auto"/>
            <w:vAlign w:val="center"/>
          </w:tcPr>
          <w:p w:rsidR="008F4F32" w:rsidRPr="000A39B0" w:rsidRDefault="008F4F32" w:rsidP="006D45A9">
            <w:pPr>
              <w:spacing w:after="0"/>
              <w:jc w:val="center"/>
              <w:rPr>
                <w:sz w:val="16"/>
                <w:szCs w:val="16"/>
                <w:lang w:val="en-US"/>
              </w:rPr>
            </w:pPr>
            <w:r w:rsidRPr="000A39B0">
              <w:rPr>
                <w:sz w:val="16"/>
                <w:szCs w:val="16"/>
                <w:lang w:val="en-US"/>
              </w:rPr>
              <w:t>115</w:t>
            </w:r>
          </w:p>
        </w:tc>
        <w:tc>
          <w:tcPr>
            <w:tcW w:w="2098" w:type="dxa"/>
            <w:shd w:val="clear" w:color="auto" w:fill="auto"/>
            <w:vAlign w:val="center"/>
          </w:tcPr>
          <w:p w:rsidR="008F4F32" w:rsidRPr="000A39B0" w:rsidRDefault="008F4F32" w:rsidP="006D45A9">
            <w:pPr>
              <w:spacing w:after="0"/>
              <w:jc w:val="center"/>
              <w:rPr>
                <w:sz w:val="16"/>
                <w:szCs w:val="16"/>
                <w:lang w:val="en-US"/>
              </w:rPr>
            </w:pPr>
            <w:r>
              <w:rPr>
                <w:sz w:val="16"/>
                <w:szCs w:val="16"/>
                <w:lang w:val="en-US"/>
              </w:rPr>
              <w:t>138 960</w:t>
            </w:r>
          </w:p>
        </w:tc>
        <w:tc>
          <w:tcPr>
            <w:tcW w:w="2098" w:type="dxa"/>
            <w:vAlign w:val="center"/>
          </w:tcPr>
          <w:p w:rsidR="008F4F32" w:rsidRPr="008F4F32" w:rsidRDefault="006D45A9" w:rsidP="006D45A9">
            <w:pPr>
              <w:spacing w:after="0"/>
              <w:jc w:val="center"/>
              <w:rPr>
                <w:color w:val="000000"/>
                <w:sz w:val="16"/>
                <w:szCs w:val="16"/>
              </w:rPr>
            </w:pPr>
            <w:r>
              <w:rPr>
                <w:color w:val="000000"/>
                <w:sz w:val="16"/>
                <w:szCs w:val="16"/>
              </w:rPr>
              <w:t xml:space="preserve">153 </w:t>
            </w:r>
            <w:r w:rsidR="008F4F32" w:rsidRPr="008F4F32">
              <w:rPr>
                <w:color w:val="000000"/>
                <w:sz w:val="16"/>
                <w:szCs w:val="16"/>
              </w:rPr>
              <w:t>594</w:t>
            </w:r>
          </w:p>
        </w:tc>
      </w:tr>
      <w:tr w:rsidR="008F4F32" w:rsidRPr="000A39B0" w:rsidTr="006D45A9">
        <w:tc>
          <w:tcPr>
            <w:tcW w:w="2802" w:type="dxa"/>
            <w:shd w:val="clear" w:color="auto" w:fill="auto"/>
            <w:vAlign w:val="center"/>
          </w:tcPr>
          <w:p w:rsidR="008F4F32" w:rsidRPr="000A39B0" w:rsidRDefault="008F4F32" w:rsidP="006D45A9">
            <w:pPr>
              <w:spacing w:before="120" w:after="120"/>
              <w:rPr>
                <w:rFonts w:eastAsia="Times New Roman"/>
                <w:sz w:val="16"/>
                <w:szCs w:val="16"/>
                <w:lang w:eastAsia="en-AU"/>
              </w:rPr>
            </w:pPr>
            <w:r w:rsidRPr="000A39B0">
              <w:rPr>
                <w:sz w:val="16"/>
                <w:szCs w:val="16"/>
                <w:lang w:val="en-US"/>
              </w:rPr>
              <w:t xml:space="preserve">Deputy </w:t>
            </w:r>
            <w:r w:rsidRPr="000A39B0">
              <w:rPr>
                <w:rFonts w:eastAsia="Times New Roman"/>
                <w:sz w:val="16"/>
                <w:szCs w:val="16"/>
                <w:lang w:eastAsia="en-AU"/>
              </w:rPr>
              <w:t>Premier</w:t>
            </w:r>
          </w:p>
        </w:tc>
        <w:tc>
          <w:tcPr>
            <w:tcW w:w="2098" w:type="dxa"/>
            <w:shd w:val="clear" w:color="auto" w:fill="auto"/>
            <w:vAlign w:val="center"/>
          </w:tcPr>
          <w:p w:rsidR="008F4F32" w:rsidRPr="000A39B0" w:rsidRDefault="008F4F32" w:rsidP="006D45A9">
            <w:pPr>
              <w:spacing w:after="0"/>
              <w:jc w:val="center"/>
              <w:rPr>
                <w:sz w:val="16"/>
                <w:szCs w:val="16"/>
                <w:lang w:val="en-US"/>
              </w:rPr>
            </w:pPr>
            <w:r w:rsidRPr="000A39B0">
              <w:rPr>
                <w:sz w:val="16"/>
                <w:szCs w:val="16"/>
                <w:lang w:val="en-US"/>
              </w:rPr>
              <w:t>82</w:t>
            </w:r>
          </w:p>
        </w:tc>
        <w:tc>
          <w:tcPr>
            <w:tcW w:w="2098" w:type="dxa"/>
            <w:shd w:val="clear" w:color="auto" w:fill="auto"/>
            <w:vAlign w:val="center"/>
          </w:tcPr>
          <w:p w:rsidR="008F4F32" w:rsidRPr="000A39B0" w:rsidRDefault="008F4F32" w:rsidP="006D45A9">
            <w:pPr>
              <w:spacing w:after="0"/>
              <w:jc w:val="center"/>
              <w:rPr>
                <w:sz w:val="16"/>
                <w:szCs w:val="16"/>
                <w:lang w:val="en-US"/>
              </w:rPr>
            </w:pPr>
            <w:r w:rsidRPr="000A39B0">
              <w:rPr>
                <w:sz w:val="16"/>
                <w:szCs w:val="16"/>
                <w:lang w:val="en-US"/>
              </w:rPr>
              <w:t>99 085</w:t>
            </w:r>
          </w:p>
        </w:tc>
        <w:tc>
          <w:tcPr>
            <w:tcW w:w="2098" w:type="dxa"/>
            <w:vAlign w:val="center"/>
          </w:tcPr>
          <w:p w:rsidR="008F4F32" w:rsidRPr="008F4F32" w:rsidRDefault="006D45A9" w:rsidP="006D45A9">
            <w:pPr>
              <w:spacing w:after="0"/>
              <w:jc w:val="center"/>
              <w:rPr>
                <w:color w:val="000000"/>
                <w:sz w:val="16"/>
                <w:szCs w:val="16"/>
              </w:rPr>
            </w:pPr>
            <w:r>
              <w:rPr>
                <w:color w:val="000000"/>
                <w:sz w:val="16"/>
                <w:szCs w:val="16"/>
              </w:rPr>
              <w:t xml:space="preserve">109 </w:t>
            </w:r>
            <w:r w:rsidR="008F4F32" w:rsidRPr="008F4F32">
              <w:rPr>
                <w:color w:val="000000"/>
                <w:sz w:val="16"/>
                <w:szCs w:val="16"/>
              </w:rPr>
              <w:t>519</w:t>
            </w:r>
          </w:p>
        </w:tc>
      </w:tr>
      <w:tr w:rsidR="008F4F32" w:rsidRPr="000A39B0" w:rsidTr="006D45A9">
        <w:tc>
          <w:tcPr>
            <w:tcW w:w="2802" w:type="dxa"/>
            <w:shd w:val="clear" w:color="auto" w:fill="auto"/>
            <w:vAlign w:val="center"/>
          </w:tcPr>
          <w:p w:rsidR="008F4F32" w:rsidRPr="000A39B0" w:rsidRDefault="008F4F32" w:rsidP="006D45A9">
            <w:pPr>
              <w:spacing w:before="120" w:after="120"/>
              <w:rPr>
                <w:sz w:val="16"/>
                <w:szCs w:val="16"/>
                <w:lang w:val="en-US"/>
              </w:rPr>
            </w:pPr>
            <w:r w:rsidRPr="000A39B0">
              <w:rPr>
                <w:sz w:val="16"/>
                <w:szCs w:val="16"/>
                <w:lang w:val="en-US"/>
              </w:rPr>
              <w:t>Minister</w:t>
            </w:r>
          </w:p>
        </w:tc>
        <w:tc>
          <w:tcPr>
            <w:tcW w:w="2098" w:type="dxa"/>
            <w:shd w:val="clear" w:color="auto" w:fill="auto"/>
            <w:vAlign w:val="center"/>
          </w:tcPr>
          <w:p w:rsidR="008F4F32" w:rsidRPr="000A39B0" w:rsidRDefault="008F4F32" w:rsidP="006D45A9">
            <w:pPr>
              <w:spacing w:after="0"/>
              <w:jc w:val="center"/>
              <w:rPr>
                <w:sz w:val="16"/>
                <w:szCs w:val="16"/>
                <w:lang w:val="en-US"/>
              </w:rPr>
            </w:pPr>
            <w:r w:rsidRPr="000A39B0">
              <w:rPr>
                <w:sz w:val="16"/>
                <w:szCs w:val="16"/>
                <w:lang w:val="en-US"/>
              </w:rPr>
              <w:t>70</w:t>
            </w:r>
          </w:p>
        </w:tc>
        <w:tc>
          <w:tcPr>
            <w:tcW w:w="2098" w:type="dxa"/>
            <w:shd w:val="clear" w:color="auto" w:fill="auto"/>
            <w:vAlign w:val="center"/>
          </w:tcPr>
          <w:p w:rsidR="008F4F32" w:rsidRPr="000A39B0" w:rsidRDefault="008F4F32" w:rsidP="006D45A9">
            <w:pPr>
              <w:spacing w:after="0"/>
              <w:jc w:val="center"/>
              <w:rPr>
                <w:sz w:val="16"/>
                <w:szCs w:val="16"/>
                <w:lang w:val="en-US"/>
              </w:rPr>
            </w:pPr>
            <w:r w:rsidRPr="000A39B0">
              <w:rPr>
                <w:sz w:val="16"/>
                <w:szCs w:val="16"/>
                <w:lang w:val="en-US"/>
              </w:rPr>
              <w:t>84 585</w:t>
            </w:r>
          </w:p>
        </w:tc>
        <w:tc>
          <w:tcPr>
            <w:tcW w:w="2098" w:type="dxa"/>
            <w:vAlign w:val="center"/>
          </w:tcPr>
          <w:p w:rsidR="008F4F32" w:rsidRPr="008F4F32" w:rsidRDefault="006D45A9" w:rsidP="006D45A9">
            <w:pPr>
              <w:spacing w:after="0"/>
              <w:jc w:val="center"/>
              <w:rPr>
                <w:color w:val="000000"/>
                <w:sz w:val="16"/>
                <w:szCs w:val="16"/>
              </w:rPr>
            </w:pPr>
            <w:r>
              <w:rPr>
                <w:color w:val="000000"/>
                <w:sz w:val="16"/>
                <w:szCs w:val="16"/>
              </w:rPr>
              <w:t xml:space="preserve">93 </w:t>
            </w:r>
            <w:r w:rsidR="008F4F32" w:rsidRPr="008F4F32">
              <w:rPr>
                <w:color w:val="000000"/>
                <w:sz w:val="16"/>
                <w:szCs w:val="16"/>
              </w:rPr>
              <w:t>492</w:t>
            </w:r>
          </w:p>
        </w:tc>
      </w:tr>
      <w:tr w:rsidR="008F4F32" w:rsidRPr="000A39B0" w:rsidTr="006D45A9">
        <w:tc>
          <w:tcPr>
            <w:tcW w:w="2802" w:type="dxa"/>
            <w:tcBorders>
              <w:bottom w:val="single" w:sz="4" w:space="0" w:color="auto"/>
            </w:tcBorders>
            <w:shd w:val="clear" w:color="auto" w:fill="auto"/>
            <w:vAlign w:val="center"/>
          </w:tcPr>
          <w:p w:rsidR="008F4F32" w:rsidRPr="000A39B0" w:rsidRDefault="008F4F32" w:rsidP="006D45A9">
            <w:pPr>
              <w:spacing w:before="120" w:after="120"/>
              <w:rPr>
                <w:sz w:val="16"/>
                <w:szCs w:val="16"/>
                <w:lang w:val="en-US"/>
              </w:rPr>
            </w:pPr>
            <w:r w:rsidRPr="000A39B0">
              <w:rPr>
                <w:sz w:val="16"/>
                <w:szCs w:val="16"/>
                <w:lang w:val="en-US"/>
              </w:rPr>
              <w:t>Secretary to Cabinet</w:t>
            </w:r>
          </w:p>
        </w:tc>
        <w:tc>
          <w:tcPr>
            <w:tcW w:w="2098" w:type="dxa"/>
            <w:tcBorders>
              <w:bottom w:val="single" w:sz="4" w:space="0" w:color="auto"/>
            </w:tcBorders>
            <w:shd w:val="clear" w:color="auto" w:fill="auto"/>
            <w:vAlign w:val="center"/>
          </w:tcPr>
          <w:p w:rsidR="008F4F32" w:rsidRPr="000A39B0" w:rsidRDefault="008F4F32" w:rsidP="006D45A9">
            <w:pPr>
              <w:spacing w:after="0"/>
              <w:jc w:val="center"/>
              <w:rPr>
                <w:sz w:val="16"/>
                <w:szCs w:val="16"/>
                <w:lang w:val="en-US"/>
              </w:rPr>
            </w:pPr>
            <w:r w:rsidRPr="000A39B0">
              <w:rPr>
                <w:sz w:val="16"/>
                <w:szCs w:val="16"/>
                <w:lang w:val="en-US"/>
              </w:rPr>
              <w:t>30</w:t>
            </w:r>
          </w:p>
        </w:tc>
        <w:tc>
          <w:tcPr>
            <w:tcW w:w="2098" w:type="dxa"/>
            <w:tcBorders>
              <w:bottom w:val="single" w:sz="4" w:space="0" w:color="auto"/>
            </w:tcBorders>
            <w:shd w:val="clear" w:color="auto" w:fill="auto"/>
            <w:vAlign w:val="center"/>
          </w:tcPr>
          <w:p w:rsidR="008F4F32" w:rsidRPr="000A39B0" w:rsidRDefault="008F4F32" w:rsidP="006D45A9">
            <w:pPr>
              <w:spacing w:after="0"/>
              <w:jc w:val="center"/>
              <w:rPr>
                <w:sz w:val="16"/>
                <w:szCs w:val="16"/>
                <w:lang w:val="en-US"/>
              </w:rPr>
            </w:pPr>
            <w:r w:rsidRPr="000A39B0">
              <w:rPr>
                <w:sz w:val="16"/>
                <w:szCs w:val="16"/>
                <w:lang w:val="en-US"/>
              </w:rPr>
              <w:t>36 251</w:t>
            </w:r>
          </w:p>
        </w:tc>
        <w:tc>
          <w:tcPr>
            <w:tcW w:w="2098" w:type="dxa"/>
            <w:tcBorders>
              <w:bottom w:val="single" w:sz="4" w:space="0" w:color="auto"/>
            </w:tcBorders>
            <w:vAlign w:val="center"/>
          </w:tcPr>
          <w:p w:rsidR="008F4F32" w:rsidRPr="008F4F32" w:rsidRDefault="008F4F32" w:rsidP="006D45A9">
            <w:pPr>
              <w:spacing w:after="0"/>
              <w:jc w:val="center"/>
              <w:rPr>
                <w:color w:val="000000"/>
                <w:sz w:val="16"/>
                <w:szCs w:val="16"/>
              </w:rPr>
            </w:pPr>
            <w:r>
              <w:rPr>
                <w:color w:val="000000"/>
                <w:sz w:val="16"/>
                <w:szCs w:val="16"/>
              </w:rPr>
              <w:t xml:space="preserve">40 </w:t>
            </w:r>
            <w:r w:rsidRPr="008F4F32">
              <w:rPr>
                <w:color w:val="000000"/>
                <w:sz w:val="16"/>
                <w:szCs w:val="16"/>
              </w:rPr>
              <w:t>068</w:t>
            </w:r>
          </w:p>
        </w:tc>
      </w:tr>
      <w:tr w:rsidR="008F4F32" w:rsidRPr="000A39B0" w:rsidTr="006D45A9">
        <w:tc>
          <w:tcPr>
            <w:tcW w:w="2802" w:type="dxa"/>
            <w:tcBorders>
              <w:top w:val="single" w:sz="4" w:space="0" w:color="auto"/>
              <w:left w:val="nil"/>
              <w:bottom w:val="single" w:sz="4" w:space="0" w:color="auto"/>
              <w:right w:val="single" w:sz="4" w:space="0" w:color="auto"/>
            </w:tcBorders>
            <w:shd w:val="clear" w:color="auto" w:fill="auto"/>
            <w:vAlign w:val="center"/>
          </w:tcPr>
          <w:p w:rsidR="008F4F32" w:rsidRPr="000A39B0" w:rsidRDefault="008F4F32" w:rsidP="006D45A9">
            <w:pPr>
              <w:spacing w:before="120" w:after="120"/>
              <w:rPr>
                <w:i/>
                <w:sz w:val="16"/>
                <w:szCs w:val="16"/>
                <w:lang w:val="en-US"/>
              </w:rPr>
            </w:pPr>
            <w:r w:rsidRPr="000A39B0">
              <w:rPr>
                <w:i/>
                <w:sz w:val="16"/>
                <w:szCs w:val="16"/>
                <w:lang w:val="en-US"/>
              </w:rPr>
              <w:t>Legislative Council</w:t>
            </w:r>
          </w:p>
        </w:tc>
        <w:tc>
          <w:tcPr>
            <w:tcW w:w="2098" w:type="dxa"/>
            <w:tcBorders>
              <w:top w:val="single" w:sz="4" w:space="0" w:color="auto"/>
              <w:left w:val="single" w:sz="4" w:space="0" w:color="auto"/>
              <w:bottom w:val="single" w:sz="4" w:space="0" w:color="auto"/>
              <w:right w:val="nil"/>
            </w:tcBorders>
            <w:shd w:val="clear" w:color="auto" w:fill="auto"/>
            <w:vAlign w:val="center"/>
          </w:tcPr>
          <w:p w:rsidR="008F4F32" w:rsidRPr="000A39B0" w:rsidRDefault="008F4F32" w:rsidP="006D45A9">
            <w:pPr>
              <w:spacing w:after="0"/>
              <w:jc w:val="center"/>
              <w:rPr>
                <w:sz w:val="16"/>
                <w:szCs w:val="16"/>
                <w:lang w:val="en-US"/>
              </w:rPr>
            </w:pPr>
          </w:p>
        </w:tc>
        <w:tc>
          <w:tcPr>
            <w:tcW w:w="2098" w:type="dxa"/>
            <w:tcBorders>
              <w:top w:val="single" w:sz="4" w:space="0" w:color="auto"/>
              <w:left w:val="nil"/>
              <w:bottom w:val="single" w:sz="4" w:space="0" w:color="auto"/>
              <w:right w:val="nil"/>
            </w:tcBorders>
            <w:shd w:val="clear" w:color="auto" w:fill="auto"/>
            <w:vAlign w:val="center"/>
          </w:tcPr>
          <w:p w:rsidR="008F4F32" w:rsidRPr="000A39B0" w:rsidRDefault="008F4F32" w:rsidP="006D45A9">
            <w:pPr>
              <w:spacing w:after="0"/>
              <w:jc w:val="center"/>
              <w:rPr>
                <w:sz w:val="16"/>
                <w:szCs w:val="16"/>
                <w:lang w:val="en-US"/>
              </w:rPr>
            </w:pPr>
          </w:p>
        </w:tc>
        <w:tc>
          <w:tcPr>
            <w:tcW w:w="2098" w:type="dxa"/>
            <w:tcBorders>
              <w:top w:val="single" w:sz="4" w:space="0" w:color="auto"/>
              <w:left w:val="nil"/>
              <w:bottom w:val="single" w:sz="4" w:space="0" w:color="auto"/>
              <w:right w:val="nil"/>
            </w:tcBorders>
            <w:vAlign w:val="center"/>
          </w:tcPr>
          <w:p w:rsidR="008F4F32" w:rsidRPr="008F4F32" w:rsidRDefault="008F4F32" w:rsidP="006D45A9">
            <w:pPr>
              <w:spacing w:after="0"/>
              <w:jc w:val="center"/>
              <w:rPr>
                <w:color w:val="000000"/>
                <w:sz w:val="16"/>
                <w:szCs w:val="16"/>
              </w:rPr>
            </w:pPr>
          </w:p>
        </w:tc>
      </w:tr>
      <w:tr w:rsidR="008F4F32" w:rsidRPr="000A39B0" w:rsidTr="006D45A9">
        <w:tc>
          <w:tcPr>
            <w:tcW w:w="2802" w:type="dxa"/>
            <w:tcBorders>
              <w:top w:val="single" w:sz="4" w:space="0" w:color="auto"/>
            </w:tcBorders>
            <w:shd w:val="clear" w:color="auto" w:fill="auto"/>
            <w:vAlign w:val="center"/>
          </w:tcPr>
          <w:p w:rsidR="008F4F32" w:rsidRPr="000A39B0" w:rsidRDefault="008F4F32" w:rsidP="006D45A9">
            <w:pPr>
              <w:spacing w:before="120" w:after="120"/>
              <w:rPr>
                <w:sz w:val="16"/>
                <w:szCs w:val="16"/>
                <w:lang w:val="en-US"/>
              </w:rPr>
            </w:pPr>
            <w:r w:rsidRPr="000A39B0">
              <w:rPr>
                <w:sz w:val="16"/>
                <w:szCs w:val="16"/>
                <w:lang w:val="en-US"/>
              </w:rPr>
              <w:lastRenderedPageBreak/>
              <w:t>President</w:t>
            </w:r>
          </w:p>
        </w:tc>
        <w:tc>
          <w:tcPr>
            <w:tcW w:w="2098" w:type="dxa"/>
            <w:tcBorders>
              <w:top w:val="single" w:sz="4" w:space="0" w:color="auto"/>
            </w:tcBorders>
            <w:shd w:val="clear" w:color="auto" w:fill="auto"/>
            <w:vAlign w:val="center"/>
          </w:tcPr>
          <w:p w:rsidR="008F4F32" w:rsidRPr="000A39B0" w:rsidRDefault="008F4F32" w:rsidP="006D45A9">
            <w:pPr>
              <w:spacing w:after="0"/>
              <w:jc w:val="center"/>
              <w:rPr>
                <w:sz w:val="16"/>
                <w:szCs w:val="16"/>
                <w:lang w:val="en-US"/>
              </w:rPr>
            </w:pPr>
            <w:r w:rsidRPr="000A39B0">
              <w:rPr>
                <w:sz w:val="16"/>
                <w:szCs w:val="16"/>
                <w:lang w:val="en-US"/>
              </w:rPr>
              <w:t>35</w:t>
            </w:r>
          </w:p>
        </w:tc>
        <w:tc>
          <w:tcPr>
            <w:tcW w:w="2098" w:type="dxa"/>
            <w:tcBorders>
              <w:top w:val="single" w:sz="4" w:space="0" w:color="auto"/>
            </w:tcBorders>
            <w:shd w:val="clear" w:color="auto" w:fill="auto"/>
            <w:vAlign w:val="center"/>
          </w:tcPr>
          <w:p w:rsidR="008F4F32" w:rsidRPr="000A39B0" w:rsidRDefault="008F4F32" w:rsidP="006D45A9">
            <w:pPr>
              <w:spacing w:after="0"/>
              <w:jc w:val="center"/>
              <w:rPr>
                <w:sz w:val="16"/>
                <w:szCs w:val="16"/>
                <w:lang w:val="en-US"/>
              </w:rPr>
            </w:pPr>
            <w:r w:rsidRPr="000A39B0">
              <w:rPr>
                <w:sz w:val="16"/>
                <w:szCs w:val="16"/>
                <w:lang w:val="en-US"/>
              </w:rPr>
              <w:t>42 292</w:t>
            </w:r>
          </w:p>
        </w:tc>
        <w:tc>
          <w:tcPr>
            <w:tcW w:w="2098" w:type="dxa"/>
            <w:tcBorders>
              <w:top w:val="single" w:sz="4" w:space="0" w:color="auto"/>
            </w:tcBorders>
            <w:vAlign w:val="center"/>
          </w:tcPr>
          <w:p w:rsidR="008F4F32" w:rsidRPr="008F4F32" w:rsidRDefault="008F4F32" w:rsidP="006D45A9">
            <w:pPr>
              <w:spacing w:after="0"/>
              <w:jc w:val="center"/>
              <w:rPr>
                <w:color w:val="000000"/>
                <w:sz w:val="16"/>
                <w:szCs w:val="16"/>
              </w:rPr>
            </w:pPr>
            <w:r>
              <w:rPr>
                <w:color w:val="000000"/>
                <w:sz w:val="16"/>
                <w:szCs w:val="16"/>
              </w:rPr>
              <w:t xml:space="preserve">46 </w:t>
            </w:r>
            <w:r w:rsidRPr="008F4F32">
              <w:rPr>
                <w:color w:val="000000"/>
                <w:sz w:val="16"/>
                <w:szCs w:val="16"/>
              </w:rPr>
              <w:t>746</w:t>
            </w:r>
          </w:p>
        </w:tc>
      </w:tr>
      <w:tr w:rsidR="008F4F32" w:rsidRPr="000A39B0" w:rsidTr="006D45A9">
        <w:tc>
          <w:tcPr>
            <w:tcW w:w="2802" w:type="dxa"/>
            <w:shd w:val="clear" w:color="auto" w:fill="auto"/>
            <w:vAlign w:val="center"/>
          </w:tcPr>
          <w:p w:rsidR="008F4F32" w:rsidRPr="000A39B0" w:rsidRDefault="008F4F32" w:rsidP="006D45A9">
            <w:pPr>
              <w:spacing w:before="120" w:after="120"/>
              <w:rPr>
                <w:sz w:val="16"/>
                <w:szCs w:val="16"/>
                <w:lang w:val="en-US"/>
              </w:rPr>
            </w:pPr>
            <w:r w:rsidRPr="000A39B0">
              <w:rPr>
                <w:sz w:val="16"/>
                <w:szCs w:val="16"/>
                <w:lang w:val="en-US"/>
              </w:rPr>
              <w:t>Leader for the Government</w:t>
            </w:r>
          </w:p>
        </w:tc>
        <w:tc>
          <w:tcPr>
            <w:tcW w:w="2098" w:type="dxa"/>
            <w:shd w:val="clear" w:color="auto" w:fill="auto"/>
            <w:vAlign w:val="center"/>
          </w:tcPr>
          <w:p w:rsidR="008F4F32" w:rsidRPr="000A39B0" w:rsidRDefault="008F4F32" w:rsidP="006D45A9">
            <w:pPr>
              <w:spacing w:after="0"/>
              <w:jc w:val="center"/>
              <w:rPr>
                <w:sz w:val="16"/>
                <w:szCs w:val="16"/>
                <w:lang w:val="en-US"/>
              </w:rPr>
            </w:pPr>
            <w:r w:rsidRPr="000A39B0">
              <w:rPr>
                <w:sz w:val="16"/>
                <w:szCs w:val="16"/>
                <w:lang w:val="en-US"/>
              </w:rPr>
              <w:t>70</w:t>
            </w:r>
          </w:p>
        </w:tc>
        <w:tc>
          <w:tcPr>
            <w:tcW w:w="2098" w:type="dxa"/>
            <w:shd w:val="clear" w:color="auto" w:fill="auto"/>
            <w:vAlign w:val="center"/>
          </w:tcPr>
          <w:p w:rsidR="008F4F32" w:rsidRPr="000A39B0" w:rsidRDefault="008F4F32" w:rsidP="006D45A9">
            <w:pPr>
              <w:spacing w:after="0"/>
              <w:jc w:val="center"/>
              <w:rPr>
                <w:sz w:val="16"/>
                <w:szCs w:val="16"/>
                <w:lang w:val="en-US"/>
              </w:rPr>
            </w:pPr>
            <w:r w:rsidRPr="000A39B0">
              <w:rPr>
                <w:sz w:val="16"/>
                <w:szCs w:val="16"/>
                <w:lang w:val="en-US"/>
              </w:rPr>
              <w:t>84 585</w:t>
            </w:r>
          </w:p>
        </w:tc>
        <w:tc>
          <w:tcPr>
            <w:tcW w:w="2098" w:type="dxa"/>
            <w:vAlign w:val="center"/>
          </w:tcPr>
          <w:p w:rsidR="008F4F32" w:rsidRPr="008F4F32" w:rsidRDefault="008F4F32" w:rsidP="006D45A9">
            <w:pPr>
              <w:spacing w:after="0"/>
              <w:jc w:val="center"/>
              <w:rPr>
                <w:color w:val="000000"/>
                <w:sz w:val="16"/>
                <w:szCs w:val="16"/>
              </w:rPr>
            </w:pPr>
            <w:r>
              <w:rPr>
                <w:color w:val="000000"/>
                <w:sz w:val="16"/>
                <w:szCs w:val="16"/>
              </w:rPr>
              <w:t xml:space="preserve">93 </w:t>
            </w:r>
            <w:r w:rsidRPr="008F4F32">
              <w:rPr>
                <w:color w:val="000000"/>
                <w:sz w:val="16"/>
                <w:szCs w:val="16"/>
              </w:rPr>
              <w:t>492</w:t>
            </w:r>
          </w:p>
        </w:tc>
      </w:tr>
      <w:tr w:rsidR="008F4F32" w:rsidRPr="000A39B0" w:rsidTr="006D45A9">
        <w:tc>
          <w:tcPr>
            <w:tcW w:w="2802" w:type="dxa"/>
            <w:shd w:val="clear" w:color="auto" w:fill="auto"/>
            <w:vAlign w:val="center"/>
          </w:tcPr>
          <w:p w:rsidR="008F4F32" w:rsidRPr="000A39B0" w:rsidRDefault="008F4F32" w:rsidP="006D45A9">
            <w:pPr>
              <w:spacing w:before="120" w:after="120"/>
              <w:rPr>
                <w:sz w:val="16"/>
                <w:szCs w:val="16"/>
                <w:lang w:val="en-US"/>
              </w:rPr>
            </w:pPr>
            <w:r w:rsidRPr="000A39B0">
              <w:rPr>
                <w:sz w:val="16"/>
                <w:szCs w:val="16"/>
                <w:lang w:val="en-US"/>
              </w:rPr>
              <w:t>Chair of Committees</w:t>
            </w:r>
          </w:p>
        </w:tc>
        <w:tc>
          <w:tcPr>
            <w:tcW w:w="2098" w:type="dxa"/>
            <w:shd w:val="clear" w:color="auto" w:fill="auto"/>
            <w:vAlign w:val="center"/>
          </w:tcPr>
          <w:p w:rsidR="008F4F32" w:rsidRPr="000A39B0" w:rsidRDefault="008F4F32" w:rsidP="006D45A9">
            <w:pPr>
              <w:spacing w:after="0"/>
              <w:jc w:val="center"/>
              <w:rPr>
                <w:sz w:val="16"/>
                <w:szCs w:val="16"/>
                <w:lang w:val="en-US"/>
              </w:rPr>
            </w:pPr>
            <w:r w:rsidRPr="000A39B0">
              <w:rPr>
                <w:sz w:val="16"/>
                <w:szCs w:val="16"/>
                <w:lang w:val="en-US"/>
              </w:rPr>
              <w:t>20</w:t>
            </w:r>
          </w:p>
        </w:tc>
        <w:tc>
          <w:tcPr>
            <w:tcW w:w="2098" w:type="dxa"/>
            <w:shd w:val="clear" w:color="auto" w:fill="auto"/>
            <w:vAlign w:val="center"/>
          </w:tcPr>
          <w:p w:rsidR="008F4F32" w:rsidRPr="000A39B0" w:rsidRDefault="008F4F32" w:rsidP="006D45A9">
            <w:pPr>
              <w:spacing w:after="0"/>
              <w:jc w:val="center"/>
              <w:rPr>
                <w:sz w:val="16"/>
                <w:szCs w:val="16"/>
                <w:lang w:val="en-US"/>
              </w:rPr>
            </w:pPr>
            <w:r w:rsidRPr="000A39B0">
              <w:rPr>
                <w:sz w:val="16"/>
                <w:szCs w:val="16"/>
                <w:lang w:val="en-US"/>
              </w:rPr>
              <w:t>24 167</w:t>
            </w:r>
          </w:p>
        </w:tc>
        <w:tc>
          <w:tcPr>
            <w:tcW w:w="2098" w:type="dxa"/>
            <w:vAlign w:val="center"/>
          </w:tcPr>
          <w:p w:rsidR="008F4F32" w:rsidRPr="008F4F32" w:rsidRDefault="008F4F32" w:rsidP="006D45A9">
            <w:pPr>
              <w:spacing w:after="0"/>
              <w:jc w:val="center"/>
              <w:rPr>
                <w:color w:val="000000"/>
                <w:sz w:val="16"/>
                <w:szCs w:val="16"/>
              </w:rPr>
            </w:pPr>
            <w:r>
              <w:rPr>
                <w:color w:val="000000"/>
                <w:sz w:val="16"/>
                <w:szCs w:val="16"/>
              </w:rPr>
              <w:t xml:space="preserve">26 </w:t>
            </w:r>
            <w:r w:rsidRPr="008F4F32">
              <w:rPr>
                <w:color w:val="000000"/>
                <w:sz w:val="16"/>
                <w:szCs w:val="16"/>
              </w:rPr>
              <w:t>712</w:t>
            </w:r>
          </w:p>
        </w:tc>
      </w:tr>
      <w:tr w:rsidR="008F4F32" w:rsidRPr="000A39B0" w:rsidTr="006D45A9">
        <w:tc>
          <w:tcPr>
            <w:tcW w:w="2802" w:type="dxa"/>
            <w:tcBorders>
              <w:bottom w:val="single" w:sz="4" w:space="0" w:color="auto"/>
            </w:tcBorders>
            <w:shd w:val="clear" w:color="auto" w:fill="auto"/>
            <w:vAlign w:val="center"/>
          </w:tcPr>
          <w:p w:rsidR="008F4F32" w:rsidRPr="000A39B0" w:rsidRDefault="008F4F32" w:rsidP="006D45A9">
            <w:pPr>
              <w:spacing w:before="120" w:after="120"/>
              <w:rPr>
                <w:sz w:val="16"/>
                <w:szCs w:val="16"/>
                <w:lang w:val="en-US"/>
              </w:rPr>
            </w:pPr>
            <w:r w:rsidRPr="000A39B0">
              <w:rPr>
                <w:sz w:val="16"/>
                <w:szCs w:val="16"/>
                <w:lang w:val="en-US"/>
              </w:rPr>
              <w:t>Deputy Leader for the Government</w:t>
            </w:r>
          </w:p>
        </w:tc>
        <w:tc>
          <w:tcPr>
            <w:tcW w:w="2098" w:type="dxa"/>
            <w:tcBorders>
              <w:bottom w:val="single" w:sz="4" w:space="0" w:color="auto"/>
            </w:tcBorders>
            <w:shd w:val="clear" w:color="auto" w:fill="auto"/>
            <w:vAlign w:val="center"/>
          </w:tcPr>
          <w:p w:rsidR="008F4F32" w:rsidRPr="000A39B0" w:rsidRDefault="008F4F32" w:rsidP="006D45A9">
            <w:pPr>
              <w:spacing w:after="0"/>
              <w:jc w:val="center"/>
              <w:rPr>
                <w:sz w:val="16"/>
                <w:szCs w:val="16"/>
                <w:lang w:val="en-US"/>
              </w:rPr>
            </w:pPr>
            <w:r w:rsidRPr="000A39B0">
              <w:rPr>
                <w:sz w:val="16"/>
                <w:szCs w:val="16"/>
                <w:lang w:val="en-US"/>
              </w:rPr>
              <w:t>35</w:t>
            </w:r>
          </w:p>
        </w:tc>
        <w:tc>
          <w:tcPr>
            <w:tcW w:w="2098" w:type="dxa"/>
            <w:tcBorders>
              <w:bottom w:val="single" w:sz="4" w:space="0" w:color="auto"/>
            </w:tcBorders>
            <w:shd w:val="clear" w:color="auto" w:fill="auto"/>
            <w:vAlign w:val="center"/>
          </w:tcPr>
          <w:p w:rsidR="008F4F32" w:rsidRPr="000A39B0" w:rsidRDefault="008F4F32" w:rsidP="006D45A9">
            <w:pPr>
              <w:spacing w:after="0"/>
              <w:jc w:val="center"/>
              <w:rPr>
                <w:sz w:val="16"/>
                <w:szCs w:val="16"/>
                <w:lang w:val="en-US"/>
              </w:rPr>
            </w:pPr>
            <w:r w:rsidRPr="000A39B0">
              <w:rPr>
                <w:sz w:val="16"/>
                <w:szCs w:val="16"/>
                <w:lang w:val="en-US"/>
              </w:rPr>
              <w:t>42 292</w:t>
            </w:r>
          </w:p>
        </w:tc>
        <w:tc>
          <w:tcPr>
            <w:tcW w:w="2098" w:type="dxa"/>
            <w:tcBorders>
              <w:bottom w:val="single" w:sz="4" w:space="0" w:color="auto"/>
            </w:tcBorders>
            <w:vAlign w:val="center"/>
          </w:tcPr>
          <w:p w:rsidR="008F4F32" w:rsidRPr="008F4F32" w:rsidRDefault="008F4F32" w:rsidP="006D45A9">
            <w:pPr>
              <w:spacing w:after="0"/>
              <w:jc w:val="center"/>
              <w:rPr>
                <w:color w:val="000000"/>
                <w:sz w:val="16"/>
                <w:szCs w:val="16"/>
              </w:rPr>
            </w:pPr>
            <w:r>
              <w:rPr>
                <w:color w:val="000000"/>
                <w:sz w:val="16"/>
                <w:szCs w:val="16"/>
              </w:rPr>
              <w:t xml:space="preserve">46 </w:t>
            </w:r>
            <w:r w:rsidRPr="008F4F32">
              <w:rPr>
                <w:color w:val="000000"/>
                <w:sz w:val="16"/>
                <w:szCs w:val="16"/>
              </w:rPr>
              <w:t>746</w:t>
            </w:r>
          </w:p>
        </w:tc>
      </w:tr>
      <w:tr w:rsidR="008F4F32" w:rsidRPr="000A39B0" w:rsidTr="006D45A9">
        <w:tc>
          <w:tcPr>
            <w:tcW w:w="2802" w:type="dxa"/>
            <w:tcBorders>
              <w:left w:val="nil"/>
            </w:tcBorders>
            <w:shd w:val="clear" w:color="auto" w:fill="auto"/>
            <w:vAlign w:val="center"/>
          </w:tcPr>
          <w:p w:rsidR="008F4F32" w:rsidRPr="000A39B0" w:rsidRDefault="008F4F32" w:rsidP="006D45A9">
            <w:pPr>
              <w:spacing w:before="120" w:after="120"/>
              <w:rPr>
                <w:i/>
                <w:sz w:val="16"/>
                <w:szCs w:val="16"/>
                <w:lang w:val="en-US"/>
              </w:rPr>
            </w:pPr>
            <w:r w:rsidRPr="000A39B0">
              <w:rPr>
                <w:i/>
                <w:sz w:val="16"/>
                <w:szCs w:val="16"/>
                <w:lang w:val="en-US"/>
              </w:rPr>
              <w:t>House of Assembly</w:t>
            </w:r>
          </w:p>
        </w:tc>
        <w:tc>
          <w:tcPr>
            <w:tcW w:w="2098" w:type="dxa"/>
            <w:tcBorders>
              <w:right w:val="nil"/>
            </w:tcBorders>
            <w:shd w:val="clear" w:color="auto" w:fill="auto"/>
            <w:vAlign w:val="center"/>
          </w:tcPr>
          <w:p w:rsidR="008F4F32" w:rsidRPr="000A39B0" w:rsidRDefault="008F4F32" w:rsidP="006D45A9">
            <w:pPr>
              <w:spacing w:after="0"/>
              <w:jc w:val="center"/>
              <w:rPr>
                <w:i/>
                <w:sz w:val="16"/>
                <w:szCs w:val="16"/>
                <w:lang w:val="en-US"/>
              </w:rPr>
            </w:pPr>
          </w:p>
        </w:tc>
        <w:tc>
          <w:tcPr>
            <w:tcW w:w="2098" w:type="dxa"/>
            <w:tcBorders>
              <w:left w:val="nil"/>
              <w:right w:val="nil"/>
            </w:tcBorders>
            <w:shd w:val="clear" w:color="auto" w:fill="auto"/>
            <w:vAlign w:val="center"/>
          </w:tcPr>
          <w:p w:rsidR="008F4F32" w:rsidRPr="000A39B0" w:rsidRDefault="008F4F32" w:rsidP="006D45A9">
            <w:pPr>
              <w:spacing w:after="0"/>
              <w:jc w:val="center"/>
              <w:rPr>
                <w:i/>
                <w:sz w:val="16"/>
                <w:szCs w:val="16"/>
                <w:lang w:val="en-US"/>
              </w:rPr>
            </w:pPr>
          </w:p>
        </w:tc>
        <w:tc>
          <w:tcPr>
            <w:tcW w:w="2098" w:type="dxa"/>
            <w:tcBorders>
              <w:left w:val="nil"/>
              <w:right w:val="nil"/>
            </w:tcBorders>
            <w:vAlign w:val="center"/>
          </w:tcPr>
          <w:p w:rsidR="008F4F32" w:rsidRPr="008F4F32" w:rsidRDefault="008F4F32" w:rsidP="006D45A9">
            <w:pPr>
              <w:spacing w:after="0"/>
              <w:jc w:val="center"/>
              <w:rPr>
                <w:color w:val="000000"/>
                <w:sz w:val="16"/>
                <w:szCs w:val="16"/>
              </w:rPr>
            </w:pPr>
          </w:p>
        </w:tc>
      </w:tr>
      <w:tr w:rsidR="008F4F32" w:rsidRPr="000A39B0" w:rsidTr="006D45A9">
        <w:tc>
          <w:tcPr>
            <w:tcW w:w="2802" w:type="dxa"/>
            <w:shd w:val="clear" w:color="auto" w:fill="auto"/>
            <w:vAlign w:val="center"/>
          </w:tcPr>
          <w:p w:rsidR="008F4F32" w:rsidRPr="000A39B0" w:rsidRDefault="008F4F32" w:rsidP="006D45A9">
            <w:pPr>
              <w:spacing w:before="120" w:after="120"/>
              <w:rPr>
                <w:sz w:val="16"/>
                <w:szCs w:val="16"/>
                <w:lang w:val="en-US"/>
              </w:rPr>
            </w:pPr>
            <w:r w:rsidRPr="000A39B0">
              <w:rPr>
                <w:sz w:val="16"/>
                <w:szCs w:val="16"/>
                <w:lang w:val="en-US"/>
              </w:rPr>
              <w:t>Speaker</w:t>
            </w:r>
          </w:p>
        </w:tc>
        <w:tc>
          <w:tcPr>
            <w:tcW w:w="2098" w:type="dxa"/>
            <w:shd w:val="clear" w:color="auto" w:fill="auto"/>
            <w:vAlign w:val="center"/>
          </w:tcPr>
          <w:p w:rsidR="008F4F32" w:rsidRPr="000A39B0" w:rsidRDefault="008F4F32" w:rsidP="006D45A9">
            <w:pPr>
              <w:spacing w:after="0"/>
              <w:jc w:val="center"/>
              <w:rPr>
                <w:sz w:val="16"/>
                <w:szCs w:val="16"/>
                <w:lang w:val="en-US"/>
              </w:rPr>
            </w:pPr>
            <w:r w:rsidRPr="000A39B0">
              <w:rPr>
                <w:sz w:val="16"/>
                <w:szCs w:val="16"/>
                <w:lang w:val="en-US"/>
              </w:rPr>
              <w:t>35</w:t>
            </w:r>
          </w:p>
        </w:tc>
        <w:tc>
          <w:tcPr>
            <w:tcW w:w="2098" w:type="dxa"/>
            <w:shd w:val="clear" w:color="auto" w:fill="auto"/>
            <w:vAlign w:val="center"/>
          </w:tcPr>
          <w:p w:rsidR="008F4F32" w:rsidRPr="000A39B0" w:rsidRDefault="008F4F32" w:rsidP="006D45A9">
            <w:pPr>
              <w:spacing w:after="0"/>
              <w:jc w:val="center"/>
              <w:rPr>
                <w:sz w:val="16"/>
                <w:szCs w:val="16"/>
                <w:lang w:val="en-US"/>
              </w:rPr>
            </w:pPr>
            <w:r w:rsidRPr="000A39B0">
              <w:rPr>
                <w:sz w:val="16"/>
                <w:szCs w:val="16"/>
                <w:lang w:val="en-US"/>
              </w:rPr>
              <w:t>42 292</w:t>
            </w:r>
          </w:p>
        </w:tc>
        <w:tc>
          <w:tcPr>
            <w:tcW w:w="2098" w:type="dxa"/>
            <w:vAlign w:val="center"/>
          </w:tcPr>
          <w:p w:rsidR="008F4F32" w:rsidRPr="008F4F32" w:rsidRDefault="008F4F32" w:rsidP="006D45A9">
            <w:pPr>
              <w:spacing w:after="0"/>
              <w:jc w:val="center"/>
              <w:rPr>
                <w:color w:val="000000"/>
                <w:sz w:val="16"/>
                <w:szCs w:val="16"/>
              </w:rPr>
            </w:pPr>
            <w:r>
              <w:rPr>
                <w:color w:val="000000"/>
                <w:sz w:val="16"/>
                <w:szCs w:val="16"/>
              </w:rPr>
              <w:t xml:space="preserve">46 </w:t>
            </w:r>
            <w:r w:rsidRPr="008F4F32">
              <w:rPr>
                <w:color w:val="000000"/>
                <w:sz w:val="16"/>
                <w:szCs w:val="16"/>
              </w:rPr>
              <w:t>746</w:t>
            </w:r>
          </w:p>
        </w:tc>
      </w:tr>
      <w:tr w:rsidR="008F4F32" w:rsidRPr="000A39B0" w:rsidTr="006D45A9">
        <w:tc>
          <w:tcPr>
            <w:tcW w:w="2802" w:type="dxa"/>
            <w:shd w:val="clear" w:color="auto" w:fill="auto"/>
            <w:vAlign w:val="center"/>
          </w:tcPr>
          <w:p w:rsidR="008F4F32" w:rsidRPr="000A39B0" w:rsidRDefault="008F4F32" w:rsidP="006D45A9">
            <w:pPr>
              <w:spacing w:before="120" w:after="120"/>
              <w:rPr>
                <w:sz w:val="16"/>
                <w:szCs w:val="16"/>
                <w:lang w:val="en-US"/>
              </w:rPr>
            </w:pPr>
            <w:r w:rsidRPr="000A39B0">
              <w:rPr>
                <w:sz w:val="16"/>
                <w:szCs w:val="16"/>
                <w:lang w:val="en-US"/>
              </w:rPr>
              <w:t>Chair of Committees</w:t>
            </w:r>
          </w:p>
        </w:tc>
        <w:tc>
          <w:tcPr>
            <w:tcW w:w="2098" w:type="dxa"/>
            <w:shd w:val="clear" w:color="auto" w:fill="auto"/>
            <w:vAlign w:val="center"/>
          </w:tcPr>
          <w:p w:rsidR="008F4F32" w:rsidRPr="000A39B0" w:rsidRDefault="008F4F32" w:rsidP="006D45A9">
            <w:pPr>
              <w:spacing w:after="0"/>
              <w:jc w:val="center"/>
              <w:rPr>
                <w:sz w:val="16"/>
                <w:szCs w:val="16"/>
                <w:lang w:val="en-US"/>
              </w:rPr>
            </w:pPr>
            <w:r w:rsidRPr="000A39B0">
              <w:rPr>
                <w:sz w:val="16"/>
                <w:szCs w:val="16"/>
                <w:lang w:val="en-US"/>
              </w:rPr>
              <w:t>20</w:t>
            </w:r>
          </w:p>
        </w:tc>
        <w:tc>
          <w:tcPr>
            <w:tcW w:w="2098" w:type="dxa"/>
            <w:shd w:val="clear" w:color="auto" w:fill="auto"/>
            <w:vAlign w:val="center"/>
          </w:tcPr>
          <w:p w:rsidR="008F4F32" w:rsidRPr="000A39B0" w:rsidRDefault="008F4F32" w:rsidP="006D45A9">
            <w:pPr>
              <w:spacing w:after="0"/>
              <w:jc w:val="center"/>
              <w:rPr>
                <w:sz w:val="16"/>
                <w:szCs w:val="16"/>
                <w:lang w:val="en-US"/>
              </w:rPr>
            </w:pPr>
            <w:r w:rsidRPr="000A39B0">
              <w:rPr>
                <w:sz w:val="16"/>
                <w:szCs w:val="16"/>
                <w:lang w:val="en-US"/>
              </w:rPr>
              <w:t>24 167</w:t>
            </w:r>
          </w:p>
        </w:tc>
        <w:tc>
          <w:tcPr>
            <w:tcW w:w="2098" w:type="dxa"/>
            <w:vAlign w:val="center"/>
          </w:tcPr>
          <w:p w:rsidR="008F4F32" w:rsidRPr="008F4F32" w:rsidRDefault="008F4F32" w:rsidP="006D45A9">
            <w:pPr>
              <w:spacing w:after="0"/>
              <w:jc w:val="center"/>
              <w:rPr>
                <w:color w:val="000000"/>
                <w:sz w:val="16"/>
                <w:szCs w:val="16"/>
              </w:rPr>
            </w:pPr>
            <w:r>
              <w:rPr>
                <w:color w:val="000000"/>
                <w:sz w:val="16"/>
                <w:szCs w:val="16"/>
              </w:rPr>
              <w:t xml:space="preserve">26 </w:t>
            </w:r>
            <w:r w:rsidRPr="008F4F32">
              <w:rPr>
                <w:color w:val="000000"/>
                <w:sz w:val="16"/>
                <w:szCs w:val="16"/>
              </w:rPr>
              <w:t>712</w:t>
            </w:r>
          </w:p>
        </w:tc>
      </w:tr>
      <w:tr w:rsidR="008F4F32" w:rsidRPr="000A39B0" w:rsidTr="006D45A9">
        <w:tc>
          <w:tcPr>
            <w:tcW w:w="2802" w:type="dxa"/>
            <w:shd w:val="clear" w:color="auto" w:fill="auto"/>
            <w:vAlign w:val="center"/>
          </w:tcPr>
          <w:p w:rsidR="008F4F32" w:rsidRPr="000A39B0" w:rsidRDefault="008F4F32" w:rsidP="006D45A9">
            <w:pPr>
              <w:spacing w:before="120" w:after="120"/>
              <w:rPr>
                <w:sz w:val="16"/>
                <w:szCs w:val="16"/>
                <w:lang w:val="en-US"/>
              </w:rPr>
            </w:pPr>
            <w:r w:rsidRPr="000A39B0">
              <w:rPr>
                <w:sz w:val="16"/>
                <w:szCs w:val="16"/>
                <w:lang w:val="en-US"/>
              </w:rPr>
              <w:t>Leader of the Opposition</w:t>
            </w:r>
          </w:p>
        </w:tc>
        <w:tc>
          <w:tcPr>
            <w:tcW w:w="2098" w:type="dxa"/>
            <w:shd w:val="clear" w:color="auto" w:fill="auto"/>
            <w:vAlign w:val="center"/>
          </w:tcPr>
          <w:p w:rsidR="008F4F32" w:rsidRPr="000A39B0" w:rsidRDefault="008F4F32" w:rsidP="006D45A9">
            <w:pPr>
              <w:spacing w:after="0"/>
              <w:jc w:val="center"/>
              <w:rPr>
                <w:sz w:val="16"/>
                <w:szCs w:val="16"/>
                <w:lang w:val="en-US"/>
              </w:rPr>
            </w:pPr>
            <w:r w:rsidRPr="000A39B0">
              <w:rPr>
                <w:sz w:val="16"/>
                <w:szCs w:val="16"/>
                <w:lang w:val="en-US"/>
              </w:rPr>
              <w:t>70</w:t>
            </w:r>
          </w:p>
        </w:tc>
        <w:tc>
          <w:tcPr>
            <w:tcW w:w="2098" w:type="dxa"/>
            <w:shd w:val="clear" w:color="auto" w:fill="auto"/>
            <w:vAlign w:val="center"/>
          </w:tcPr>
          <w:p w:rsidR="008F4F32" w:rsidRPr="000A39B0" w:rsidRDefault="008F4F32" w:rsidP="006D45A9">
            <w:pPr>
              <w:spacing w:after="0"/>
              <w:jc w:val="center"/>
              <w:rPr>
                <w:sz w:val="16"/>
                <w:szCs w:val="16"/>
                <w:lang w:val="en-US"/>
              </w:rPr>
            </w:pPr>
            <w:r w:rsidRPr="000A39B0">
              <w:rPr>
                <w:sz w:val="16"/>
                <w:szCs w:val="16"/>
                <w:lang w:val="en-US"/>
              </w:rPr>
              <w:t>84 585</w:t>
            </w:r>
          </w:p>
        </w:tc>
        <w:tc>
          <w:tcPr>
            <w:tcW w:w="2098" w:type="dxa"/>
            <w:vAlign w:val="center"/>
          </w:tcPr>
          <w:p w:rsidR="008F4F32" w:rsidRPr="008F4F32" w:rsidRDefault="008F4F32" w:rsidP="006D45A9">
            <w:pPr>
              <w:spacing w:after="0"/>
              <w:jc w:val="center"/>
              <w:rPr>
                <w:color w:val="000000"/>
                <w:sz w:val="16"/>
                <w:szCs w:val="16"/>
              </w:rPr>
            </w:pPr>
            <w:r>
              <w:rPr>
                <w:color w:val="000000"/>
                <w:sz w:val="16"/>
                <w:szCs w:val="16"/>
              </w:rPr>
              <w:t xml:space="preserve">93 </w:t>
            </w:r>
            <w:r w:rsidRPr="008F4F32">
              <w:rPr>
                <w:color w:val="000000"/>
                <w:sz w:val="16"/>
                <w:szCs w:val="16"/>
              </w:rPr>
              <w:t>492</w:t>
            </w:r>
          </w:p>
        </w:tc>
      </w:tr>
      <w:tr w:rsidR="008F4F32" w:rsidRPr="000A39B0" w:rsidTr="006D45A9">
        <w:tc>
          <w:tcPr>
            <w:tcW w:w="2802" w:type="dxa"/>
            <w:shd w:val="clear" w:color="auto" w:fill="auto"/>
            <w:vAlign w:val="center"/>
          </w:tcPr>
          <w:p w:rsidR="008F4F32" w:rsidRPr="000A39B0" w:rsidRDefault="008F4F32" w:rsidP="006D45A9">
            <w:pPr>
              <w:spacing w:before="120" w:after="120"/>
              <w:rPr>
                <w:sz w:val="16"/>
                <w:szCs w:val="16"/>
                <w:lang w:val="en-US"/>
              </w:rPr>
            </w:pPr>
            <w:r w:rsidRPr="000A39B0">
              <w:rPr>
                <w:sz w:val="16"/>
                <w:szCs w:val="16"/>
                <w:lang w:val="en-US"/>
              </w:rPr>
              <w:t>Deputy Leader of the Opposition</w:t>
            </w:r>
          </w:p>
        </w:tc>
        <w:tc>
          <w:tcPr>
            <w:tcW w:w="2098" w:type="dxa"/>
            <w:shd w:val="clear" w:color="auto" w:fill="auto"/>
            <w:vAlign w:val="center"/>
          </w:tcPr>
          <w:p w:rsidR="008F4F32" w:rsidRPr="000A39B0" w:rsidRDefault="008F4F32" w:rsidP="006D45A9">
            <w:pPr>
              <w:spacing w:after="0"/>
              <w:jc w:val="center"/>
              <w:rPr>
                <w:sz w:val="16"/>
                <w:szCs w:val="16"/>
                <w:lang w:val="en-US"/>
              </w:rPr>
            </w:pPr>
            <w:r w:rsidRPr="000A39B0">
              <w:rPr>
                <w:sz w:val="16"/>
                <w:szCs w:val="16"/>
                <w:lang w:val="en-US"/>
              </w:rPr>
              <w:t>35</w:t>
            </w:r>
          </w:p>
        </w:tc>
        <w:tc>
          <w:tcPr>
            <w:tcW w:w="2098" w:type="dxa"/>
            <w:shd w:val="clear" w:color="auto" w:fill="auto"/>
            <w:vAlign w:val="center"/>
          </w:tcPr>
          <w:p w:rsidR="008F4F32" w:rsidRPr="000A39B0" w:rsidRDefault="008F4F32" w:rsidP="006D45A9">
            <w:pPr>
              <w:spacing w:after="0"/>
              <w:jc w:val="center"/>
              <w:rPr>
                <w:sz w:val="16"/>
                <w:szCs w:val="16"/>
                <w:lang w:val="en-US"/>
              </w:rPr>
            </w:pPr>
            <w:r w:rsidRPr="000A39B0">
              <w:rPr>
                <w:sz w:val="16"/>
                <w:szCs w:val="16"/>
                <w:lang w:val="en-US"/>
              </w:rPr>
              <w:t>42 292</w:t>
            </w:r>
          </w:p>
        </w:tc>
        <w:tc>
          <w:tcPr>
            <w:tcW w:w="2098" w:type="dxa"/>
            <w:vAlign w:val="center"/>
          </w:tcPr>
          <w:p w:rsidR="008F4F32" w:rsidRPr="008F4F32" w:rsidRDefault="008F4F32" w:rsidP="006D45A9">
            <w:pPr>
              <w:spacing w:after="0"/>
              <w:jc w:val="center"/>
              <w:rPr>
                <w:color w:val="000000"/>
                <w:sz w:val="16"/>
                <w:szCs w:val="16"/>
              </w:rPr>
            </w:pPr>
            <w:r>
              <w:rPr>
                <w:color w:val="000000"/>
                <w:sz w:val="16"/>
                <w:szCs w:val="16"/>
              </w:rPr>
              <w:t xml:space="preserve">46 </w:t>
            </w:r>
            <w:r w:rsidRPr="008F4F32">
              <w:rPr>
                <w:color w:val="000000"/>
                <w:sz w:val="16"/>
                <w:szCs w:val="16"/>
              </w:rPr>
              <w:t>746</w:t>
            </w:r>
          </w:p>
        </w:tc>
      </w:tr>
      <w:tr w:rsidR="008F4F32" w:rsidRPr="000A39B0" w:rsidTr="006D45A9">
        <w:tc>
          <w:tcPr>
            <w:tcW w:w="2802" w:type="dxa"/>
            <w:shd w:val="clear" w:color="auto" w:fill="auto"/>
            <w:vAlign w:val="center"/>
          </w:tcPr>
          <w:p w:rsidR="008F4F32" w:rsidRPr="000A39B0" w:rsidRDefault="008F4F32" w:rsidP="006D45A9">
            <w:pPr>
              <w:spacing w:before="120" w:after="120"/>
              <w:rPr>
                <w:sz w:val="16"/>
                <w:szCs w:val="16"/>
                <w:lang w:val="en-US"/>
              </w:rPr>
            </w:pPr>
            <w:r w:rsidRPr="000A39B0">
              <w:rPr>
                <w:sz w:val="16"/>
                <w:szCs w:val="16"/>
                <w:lang w:val="en-US"/>
              </w:rPr>
              <w:t>Government Whip</w:t>
            </w:r>
          </w:p>
        </w:tc>
        <w:tc>
          <w:tcPr>
            <w:tcW w:w="2098" w:type="dxa"/>
            <w:shd w:val="clear" w:color="auto" w:fill="auto"/>
            <w:vAlign w:val="center"/>
          </w:tcPr>
          <w:p w:rsidR="008F4F32" w:rsidRPr="000A39B0" w:rsidRDefault="008F4F32" w:rsidP="006D45A9">
            <w:pPr>
              <w:spacing w:after="0"/>
              <w:jc w:val="center"/>
              <w:rPr>
                <w:sz w:val="16"/>
                <w:szCs w:val="16"/>
                <w:lang w:val="en-US"/>
              </w:rPr>
            </w:pPr>
            <w:r w:rsidRPr="000A39B0">
              <w:rPr>
                <w:sz w:val="16"/>
                <w:szCs w:val="16"/>
                <w:lang w:val="en-US"/>
              </w:rPr>
              <w:t>6</w:t>
            </w:r>
          </w:p>
        </w:tc>
        <w:tc>
          <w:tcPr>
            <w:tcW w:w="2098" w:type="dxa"/>
            <w:shd w:val="clear" w:color="auto" w:fill="auto"/>
            <w:vAlign w:val="center"/>
          </w:tcPr>
          <w:p w:rsidR="008F4F32" w:rsidRPr="000A39B0" w:rsidRDefault="008F4F32" w:rsidP="006D45A9">
            <w:pPr>
              <w:spacing w:after="0"/>
              <w:jc w:val="center"/>
              <w:rPr>
                <w:sz w:val="16"/>
                <w:szCs w:val="16"/>
                <w:lang w:val="en-US"/>
              </w:rPr>
            </w:pPr>
            <w:r w:rsidRPr="000A39B0">
              <w:rPr>
                <w:sz w:val="16"/>
                <w:szCs w:val="16"/>
                <w:lang w:val="en-US"/>
              </w:rPr>
              <w:t>7 250</w:t>
            </w:r>
          </w:p>
        </w:tc>
        <w:tc>
          <w:tcPr>
            <w:tcW w:w="2098" w:type="dxa"/>
            <w:vAlign w:val="center"/>
          </w:tcPr>
          <w:p w:rsidR="008F4F32" w:rsidRPr="008F4F32" w:rsidRDefault="008F4F32" w:rsidP="006D45A9">
            <w:pPr>
              <w:spacing w:after="0"/>
              <w:jc w:val="center"/>
              <w:rPr>
                <w:color w:val="000000"/>
                <w:sz w:val="16"/>
                <w:szCs w:val="16"/>
              </w:rPr>
            </w:pPr>
            <w:r>
              <w:rPr>
                <w:color w:val="000000"/>
                <w:sz w:val="16"/>
                <w:szCs w:val="16"/>
              </w:rPr>
              <w:t xml:space="preserve">8 </w:t>
            </w:r>
            <w:r w:rsidRPr="008F4F32">
              <w:rPr>
                <w:color w:val="000000"/>
                <w:sz w:val="16"/>
                <w:szCs w:val="16"/>
              </w:rPr>
              <w:t>014</w:t>
            </w:r>
          </w:p>
        </w:tc>
      </w:tr>
      <w:tr w:rsidR="008F4F32" w:rsidRPr="000A39B0" w:rsidTr="006D45A9">
        <w:tc>
          <w:tcPr>
            <w:tcW w:w="2802" w:type="dxa"/>
            <w:shd w:val="clear" w:color="auto" w:fill="auto"/>
            <w:vAlign w:val="center"/>
          </w:tcPr>
          <w:p w:rsidR="008F4F32" w:rsidRPr="000A39B0" w:rsidRDefault="008F4F32" w:rsidP="006D45A9">
            <w:pPr>
              <w:spacing w:before="120" w:after="120"/>
              <w:rPr>
                <w:sz w:val="16"/>
                <w:szCs w:val="16"/>
                <w:lang w:val="en-US"/>
              </w:rPr>
            </w:pPr>
            <w:r w:rsidRPr="000A39B0">
              <w:rPr>
                <w:sz w:val="16"/>
                <w:szCs w:val="16"/>
                <w:lang w:val="en-US"/>
              </w:rPr>
              <w:t>Opposition Whip</w:t>
            </w:r>
          </w:p>
        </w:tc>
        <w:tc>
          <w:tcPr>
            <w:tcW w:w="2098" w:type="dxa"/>
            <w:shd w:val="clear" w:color="auto" w:fill="auto"/>
            <w:vAlign w:val="center"/>
          </w:tcPr>
          <w:p w:rsidR="008F4F32" w:rsidRPr="000A39B0" w:rsidRDefault="008F4F32" w:rsidP="006D45A9">
            <w:pPr>
              <w:spacing w:after="0"/>
              <w:jc w:val="center"/>
              <w:rPr>
                <w:sz w:val="16"/>
                <w:szCs w:val="16"/>
                <w:lang w:val="en-US"/>
              </w:rPr>
            </w:pPr>
            <w:r w:rsidRPr="000A39B0">
              <w:rPr>
                <w:sz w:val="16"/>
                <w:szCs w:val="16"/>
                <w:lang w:val="en-US"/>
              </w:rPr>
              <w:t>6</w:t>
            </w:r>
          </w:p>
        </w:tc>
        <w:tc>
          <w:tcPr>
            <w:tcW w:w="2098" w:type="dxa"/>
            <w:shd w:val="clear" w:color="auto" w:fill="auto"/>
            <w:vAlign w:val="center"/>
          </w:tcPr>
          <w:p w:rsidR="008F4F32" w:rsidRPr="000A39B0" w:rsidRDefault="008F4F32" w:rsidP="006D45A9">
            <w:pPr>
              <w:spacing w:after="0"/>
              <w:jc w:val="center"/>
              <w:rPr>
                <w:sz w:val="16"/>
                <w:szCs w:val="16"/>
                <w:lang w:val="en-US"/>
              </w:rPr>
            </w:pPr>
            <w:r w:rsidRPr="000A39B0">
              <w:rPr>
                <w:sz w:val="16"/>
                <w:szCs w:val="16"/>
                <w:lang w:val="en-US"/>
              </w:rPr>
              <w:t>7 250</w:t>
            </w:r>
          </w:p>
        </w:tc>
        <w:tc>
          <w:tcPr>
            <w:tcW w:w="2098" w:type="dxa"/>
            <w:vAlign w:val="center"/>
          </w:tcPr>
          <w:p w:rsidR="008F4F32" w:rsidRPr="008F4F32" w:rsidRDefault="008F4F32" w:rsidP="006D45A9">
            <w:pPr>
              <w:spacing w:after="0"/>
              <w:jc w:val="center"/>
              <w:rPr>
                <w:color w:val="000000"/>
                <w:sz w:val="16"/>
                <w:szCs w:val="16"/>
              </w:rPr>
            </w:pPr>
            <w:r>
              <w:rPr>
                <w:color w:val="000000"/>
                <w:sz w:val="16"/>
                <w:szCs w:val="16"/>
              </w:rPr>
              <w:t xml:space="preserve">8 </w:t>
            </w:r>
            <w:r w:rsidRPr="008F4F32">
              <w:rPr>
                <w:color w:val="000000"/>
                <w:sz w:val="16"/>
                <w:szCs w:val="16"/>
              </w:rPr>
              <w:t>014</w:t>
            </w:r>
          </w:p>
        </w:tc>
      </w:tr>
      <w:tr w:rsidR="008F4F32" w:rsidRPr="000A39B0" w:rsidTr="006D45A9">
        <w:tc>
          <w:tcPr>
            <w:tcW w:w="2802" w:type="dxa"/>
            <w:shd w:val="clear" w:color="auto" w:fill="auto"/>
            <w:vAlign w:val="center"/>
          </w:tcPr>
          <w:p w:rsidR="008F4F32" w:rsidRPr="000A39B0" w:rsidRDefault="008F4F32" w:rsidP="006D45A9">
            <w:pPr>
              <w:spacing w:before="120" w:after="120"/>
              <w:rPr>
                <w:sz w:val="16"/>
                <w:szCs w:val="16"/>
                <w:lang w:val="en-US"/>
              </w:rPr>
            </w:pPr>
            <w:r w:rsidRPr="000A39B0">
              <w:rPr>
                <w:sz w:val="16"/>
                <w:szCs w:val="16"/>
                <w:lang w:val="en-US"/>
              </w:rPr>
              <w:t>Leader of a recognised non-government party, other than the Opposition</w:t>
            </w:r>
          </w:p>
        </w:tc>
        <w:tc>
          <w:tcPr>
            <w:tcW w:w="2098" w:type="dxa"/>
            <w:shd w:val="clear" w:color="auto" w:fill="auto"/>
            <w:vAlign w:val="center"/>
          </w:tcPr>
          <w:p w:rsidR="008F4F32" w:rsidRPr="000A39B0" w:rsidRDefault="008F4F32" w:rsidP="006D45A9">
            <w:pPr>
              <w:spacing w:after="0"/>
              <w:jc w:val="center"/>
              <w:rPr>
                <w:sz w:val="16"/>
                <w:szCs w:val="16"/>
                <w:lang w:val="en-US"/>
              </w:rPr>
            </w:pPr>
            <w:r w:rsidRPr="000A39B0">
              <w:rPr>
                <w:sz w:val="16"/>
                <w:szCs w:val="16"/>
                <w:lang w:val="en-US"/>
              </w:rPr>
              <w:t>35</w:t>
            </w:r>
          </w:p>
        </w:tc>
        <w:tc>
          <w:tcPr>
            <w:tcW w:w="2098" w:type="dxa"/>
            <w:shd w:val="clear" w:color="auto" w:fill="auto"/>
            <w:vAlign w:val="center"/>
          </w:tcPr>
          <w:p w:rsidR="008F4F32" w:rsidRPr="000A39B0" w:rsidRDefault="008F4F32" w:rsidP="006D45A9">
            <w:pPr>
              <w:spacing w:after="0"/>
              <w:jc w:val="center"/>
              <w:rPr>
                <w:sz w:val="16"/>
                <w:szCs w:val="16"/>
                <w:lang w:val="en-US"/>
              </w:rPr>
            </w:pPr>
            <w:r w:rsidRPr="000A39B0">
              <w:rPr>
                <w:sz w:val="16"/>
                <w:szCs w:val="16"/>
                <w:lang w:val="en-US"/>
              </w:rPr>
              <w:t>42 292</w:t>
            </w:r>
          </w:p>
        </w:tc>
        <w:tc>
          <w:tcPr>
            <w:tcW w:w="2098" w:type="dxa"/>
            <w:vAlign w:val="center"/>
          </w:tcPr>
          <w:p w:rsidR="008F4F32" w:rsidRPr="008F4F32" w:rsidRDefault="008F4F32" w:rsidP="006D45A9">
            <w:pPr>
              <w:spacing w:after="0"/>
              <w:jc w:val="center"/>
              <w:rPr>
                <w:color w:val="000000"/>
                <w:sz w:val="16"/>
                <w:szCs w:val="16"/>
              </w:rPr>
            </w:pPr>
            <w:r>
              <w:rPr>
                <w:color w:val="000000"/>
                <w:sz w:val="16"/>
                <w:szCs w:val="16"/>
              </w:rPr>
              <w:t xml:space="preserve">46 </w:t>
            </w:r>
            <w:r w:rsidRPr="008F4F32">
              <w:rPr>
                <w:color w:val="000000"/>
                <w:sz w:val="16"/>
                <w:szCs w:val="16"/>
              </w:rPr>
              <w:t>746</w:t>
            </w:r>
          </w:p>
        </w:tc>
      </w:tr>
    </w:tbl>
    <w:p w:rsidR="0059519B" w:rsidRDefault="0059519B" w:rsidP="00E62E58">
      <w:pPr>
        <w:jc w:val="both"/>
        <w:rPr>
          <w:lang w:val="en-US"/>
        </w:rPr>
      </w:pPr>
    </w:p>
    <w:p w:rsidR="00D75A2B" w:rsidRDefault="00D75A2B" w:rsidP="00F324DE">
      <w:pPr>
        <w:pStyle w:val="textbasic"/>
      </w:pPr>
      <w:r>
        <w:t xml:space="preserve">Table </w:t>
      </w:r>
      <w:r w:rsidR="0033523C">
        <w:t>9</w:t>
      </w:r>
      <w:r>
        <w:t xml:space="preserve"> provides a comparison of the additional salaries paid to various office holders in the different Australian jurisdictions.</w:t>
      </w:r>
    </w:p>
    <w:p w:rsidR="00D75A2B" w:rsidRDefault="00D75A2B" w:rsidP="00E62E58">
      <w:pPr>
        <w:jc w:val="both"/>
        <w:rPr>
          <w:lang w:val="en-US"/>
        </w:rPr>
      </w:pPr>
    </w:p>
    <w:p w:rsidR="00FF483D" w:rsidRDefault="00FF483D" w:rsidP="00E62E58">
      <w:pPr>
        <w:jc w:val="both"/>
        <w:rPr>
          <w:lang w:val="en-US"/>
        </w:rPr>
        <w:sectPr w:rsidR="00FF483D">
          <w:footerReference w:type="default" r:id="rId19"/>
          <w:pgSz w:w="11906" w:h="16838"/>
          <w:pgMar w:top="1440" w:right="1440" w:bottom="1440" w:left="1440" w:header="708" w:footer="708" w:gutter="0"/>
          <w:cols w:space="708"/>
          <w:docGrid w:linePitch="360"/>
        </w:sectPr>
      </w:pPr>
    </w:p>
    <w:p w:rsidR="00AF09C8" w:rsidRPr="00FF483D" w:rsidRDefault="00AF09C8" w:rsidP="0033523C">
      <w:pPr>
        <w:pStyle w:val="TableTitlemain"/>
      </w:pPr>
      <w:r w:rsidRPr="00FF483D">
        <w:lastRenderedPageBreak/>
        <w:t>Table</w:t>
      </w:r>
      <w:r w:rsidR="00D75A2B">
        <w:t xml:space="preserve"> </w:t>
      </w:r>
      <w:r w:rsidR="0033523C">
        <w:t>9</w:t>
      </w:r>
      <w:r w:rsidR="007663CC">
        <w:tab/>
      </w:r>
      <w:r w:rsidR="005C560E">
        <w:t>C</w:t>
      </w:r>
      <w:r w:rsidR="00FF483D" w:rsidRPr="00FF483D">
        <w:t xml:space="preserve">omparison </w:t>
      </w:r>
      <w:r w:rsidR="005C560E">
        <w:t xml:space="preserve">by </w:t>
      </w:r>
      <w:r w:rsidR="007A0059">
        <w:t xml:space="preserve">Parliamentary Jurisdiction </w:t>
      </w:r>
      <w:r w:rsidR="005C560E">
        <w:t xml:space="preserve">of </w:t>
      </w:r>
      <w:r w:rsidR="007A0059">
        <w:t xml:space="preserve">Additional Salary Entitlements </w:t>
      </w:r>
      <w:r w:rsidR="007663CC">
        <w:t xml:space="preserve">(expressed as a percentage of basic salary) </w:t>
      </w:r>
      <w:r w:rsidR="005C560E">
        <w:t>for</w:t>
      </w:r>
      <w:r w:rsidR="00FF483D" w:rsidRPr="00FF483D">
        <w:t xml:space="preserve"> </w:t>
      </w:r>
      <w:r w:rsidR="007A0059" w:rsidRPr="00FF483D">
        <w:t>Selected Offices</w:t>
      </w:r>
    </w:p>
    <w:tbl>
      <w:tblPr>
        <w:tblW w:w="1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013"/>
        <w:gridCol w:w="1056"/>
        <w:gridCol w:w="1056"/>
        <w:gridCol w:w="1056"/>
        <w:gridCol w:w="1056"/>
        <w:gridCol w:w="1063"/>
        <w:gridCol w:w="1063"/>
        <w:gridCol w:w="1063"/>
        <w:gridCol w:w="1063"/>
        <w:gridCol w:w="1056"/>
        <w:gridCol w:w="1056"/>
        <w:gridCol w:w="1056"/>
        <w:gridCol w:w="1056"/>
      </w:tblGrid>
      <w:tr w:rsidR="004B0449" w:rsidRPr="002D5C92" w:rsidTr="00327CCC">
        <w:trPr>
          <w:cantSplit/>
          <w:tblHeader/>
        </w:trPr>
        <w:tc>
          <w:tcPr>
            <w:tcW w:w="1101" w:type="dxa"/>
            <w:tcBorders>
              <w:bottom w:val="nil"/>
            </w:tcBorders>
            <w:shd w:val="clear" w:color="auto" w:fill="D9D9D9" w:themeFill="background1" w:themeFillShade="D9"/>
            <w:vAlign w:val="center"/>
          </w:tcPr>
          <w:p w:rsidR="004B0449" w:rsidRPr="002D5C92" w:rsidRDefault="004B0449" w:rsidP="00020D0F">
            <w:pPr>
              <w:spacing w:after="120"/>
              <w:rPr>
                <w:b/>
                <w:sz w:val="16"/>
                <w:szCs w:val="16"/>
              </w:rPr>
            </w:pPr>
            <w:r w:rsidRPr="002D5C92">
              <w:rPr>
                <w:b/>
                <w:sz w:val="16"/>
                <w:szCs w:val="16"/>
              </w:rPr>
              <w:t>Office</w:t>
            </w:r>
          </w:p>
        </w:tc>
        <w:tc>
          <w:tcPr>
            <w:tcW w:w="1013" w:type="dxa"/>
            <w:shd w:val="clear" w:color="auto" w:fill="D9D9D9" w:themeFill="background1" w:themeFillShade="D9"/>
            <w:vAlign w:val="center"/>
          </w:tcPr>
          <w:p w:rsidR="004B0449" w:rsidRPr="002D5C92" w:rsidRDefault="004B0449" w:rsidP="00020D0F">
            <w:pPr>
              <w:spacing w:after="120"/>
              <w:rPr>
                <w:b/>
                <w:sz w:val="16"/>
                <w:szCs w:val="16"/>
              </w:rPr>
            </w:pPr>
            <w:r>
              <w:rPr>
                <w:b/>
                <w:sz w:val="16"/>
                <w:szCs w:val="16"/>
              </w:rPr>
              <w:t>Cm</w:t>
            </w:r>
            <w:r w:rsidRPr="002D5C92">
              <w:rPr>
                <w:b/>
                <w:sz w:val="16"/>
                <w:szCs w:val="16"/>
              </w:rPr>
              <w:t>wlth</w:t>
            </w:r>
            <w:r w:rsidRPr="002D5C92">
              <w:rPr>
                <w:b/>
                <w:sz w:val="16"/>
                <w:szCs w:val="16"/>
                <w:vertAlign w:val="superscript"/>
              </w:rPr>
              <w:footnoteReference w:id="50"/>
            </w:r>
          </w:p>
        </w:tc>
        <w:tc>
          <w:tcPr>
            <w:tcW w:w="1056" w:type="dxa"/>
            <w:shd w:val="clear" w:color="auto" w:fill="D9D9D9" w:themeFill="background1" w:themeFillShade="D9"/>
            <w:vAlign w:val="center"/>
          </w:tcPr>
          <w:p w:rsidR="004B0449" w:rsidRPr="002D5C92" w:rsidRDefault="004B0449" w:rsidP="00020D0F">
            <w:pPr>
              <w:spacing w:after="120"/>
              <w:rPr>
                <w:b/>
                <w:sz w:val="16"/>
                <w:szCs w:val="16"/>
              </w:rPr>
            </w:pPr>
            <w:r w:rsidRPr="002D5C92">
              <w:rPr>
                <w:b/>
                <w:sz w:val="16"/>
                <w:szCs w:val="16"/>
              </w:rPr>
              <w:t>ACT</w:t>
            </w:r>
            <w:r w:rsidRPr="002D5C92">
              <w:rPr>
                <w:b/>
                <w:sz w:val="16"/>
                <w:szCs w:val="16"/>
                <w:vertAlign w:val="superscript"/>
              </w:rPr>
              <w:footnoteReference w:id="51"/>
            </w:r>
          </w:p>
        </w:tc>
        <w:tc>
          <w:tcPr>
            <w:tcW w:w="2112" w:type="dxa"/>
            <w:gridSpan w:val="2"/>
            <w:shd w:val="clear" w:color="auto" w:fill="D9D9D9" w:themeFill="background1" w:themeFillShade="D9"/>
            <w:vAlign w:val="center"/>
          </w:tcPr>
          <w:p w:rsidR="004B0449" w:rsidRPr="002D5C92" w:rsidRDefault="004B0449" w:rsidP="00020D0F">
            <w:pPr>
              <w:spacing w:after="120"/>
              <w:rPr>
                <w:b/>
                <w:sz w:val="16"/>
                <w:szCs w:val="16"/>
              </w:rPr>
            </w:pPr>
            <w:r w:rsidRPr="002D5C92">
              <w:rPr>
                <w:b/>
                <w:sz w:val="16"/>
                <w:szCs w:val="16"/>
              </w:rPr>
              <w:t>NSW</w:t>
            </w:r>
            <w:r w:rsidRPr="002D5C92">
              <w:rPr>
                <w:b/>
                <w:sz w:val="16"/>
                <w:szCs w:val="16"/>
                <w:vertAlign w:val="superscript"/>
              </w:rPr>
              <w:footnoteReference w:id="52"/>
            </w:r>
          </w:p>
        </w:tc>
        <w:tc>
          <w:tcPr>
            <w:tcW w:w="1056" w:type="dxa"/>
            <w:shd w:val="clear" w:color="auto" w:fill="D9D9D9" w:themeFill="background1" w:themeFillShade="D9"/>
            <w:vAlign w:val="center"/>
          </w:tcPr>
          <w:p w:rsidR="004B0449" w:rsidRPr="002D5C92" w:rsidRDefault="004B0449" w:rsidP="00020D0F">
            <w:pPr>
              <w:spacing w:after="120"/>
              <w:rPr>
                <w:b/>
                <w:sz w:val="16"/>
                <w:szCs w:val="16"/>
              </w:rPr>
            </w:pPr>
            <w:r w:rsidRPr="002D5C92">
              <w:rPr>
                <w:b/>
                <w:sz w:val="16"/>
                <w:szCs w:val="16"/>
              </w:rPr>
              <w:t>NT</w:t>
            </w:r>
            <w:r w:rsidRPr="002D5C92">
              <w:rPr>
                <w:b/>
                <w:sz w:val="16"/>
                <w:szCs w:val="16"/>
                <w:vertAlign w:val="superscript"/>
              </w:rPr>
              <w:footnoteReference w:id="53"/>
            </w:r>
          </w:p>
        </w:tc>
        <w:tc>
          <w:tcPr>
            <w:tcW w:w="1063" w:type="dxa"/>
            <w:shd w:val="clear" w:color="auto" w:fill="D9D9D9" w:themeFill="background1" w:themeFillShade="D9"/>
            <w:vAlign w:val="center"/>
          </w:tcPr>
          <w:p w:rsidR="004B0449" w:rsidRPr="002D5C92" w:rsidRDefault="004B0449" w:rsidP="00020D0F">
            <w:pPr>
              <w:spacing w:after="120"/>
              <w:rPr>
                <w:b/>
                <w:sz w:val="16"/>
                <w:szCs w:val="16"/>
              </w:rPr>
            </w:pPr>
            <w:r w:rsidRPr="002D5C92">
              <w:rPr>
                <w:b/>
                <w:sz w:val="16"/>
                <w:szCs w:val="16"/>
              </w:rPr>
              <w:t>Qld</w:t>
            </w:r>
            <w:r w:rsidRPr="002D5C92">
              <w:rPr>
                <w:b/>
                <w:sz w:val="16"/>
                <w:szCs w:val="16"/>
                <w:vertAlign w:val="superscript"/>
              </w:rPr>
              <w:footnoteReference w:id="54"/>
            </w:r>
          </w:p>
        </w:tc>
        <w:tc>
          <w:tcPr>
            <w:tcW w:w="2126" w:type="dxa"/>
            <w:gridSpan w:val="2"/>
            <w:shd w:val="clear" w:color="auto" w:fill="D9D9D9" w:themeFill="background1" w:themeFillShade="D9"/>
            <w:vAlign w:val="center"/>
          </w:tcPr>
          <w:p w:rsidR="004B0449" w:rsidRPr="002D5C92" w:rsidRDefault="004B0449" w:rsidP="00020D0F">
            <w:pPr>
              <w:spacing w:after="120"/>
              <w:rPr>
                <w:b/>
                <w:sz w:val="16"/>
                <w:szCs w:val="16"/>
              </w:rPr>
            </w:pPr>
            <w:r w:rsidRPr="002D5C92">
              <w:rPr>
                <w:b/>
                <w:sz w:val="16"/>
                <w:szCs w:val="16"/>
              </w:rPr>
              <w:t>SA</w:t>
            </w:r>
            <w:r w:rsidRPr="002D5C92">
              <w:rPr>
                <w:b/>
                <w:sz w:val="16"/>
                <w:szCs w:val="16"/>
                <w:vertAlign w:val="superscript"/>
              </w:rPr>
              <w:footnoteReference w:id="55"/>
            </w:r>
          </w:p>
        </w:tc>
        <w:tc>
          <w:tcPr>
            <w:tcW w:w="2119" w:type="dxa"/>
            <w:gridSpan w:val="2"/>
            <w:shd w:val="clear" w:color="auto" w:fill="D9D9D9" w:themeFill="background1" w:themeFillShade="D9"/>
            <w:vAlign w:val="center"/>
          </w:tcPr>
          <w:p w:rsidR="004B0449" w:rsidRPr="002D5C92" w:rsidRDefault="004B0449" w:rsidP="00020D0F">
            <w:pPr>
              <w:spacing w:after="120"/>
              <w:rPr>
                <w:b/>
                <w:sz w:val="16"/>
                <w:szCs w:val="16"/>
              </w:rPr>
            </w:pPr>
            <w:r w:rsidRPr="002D5C92">
              <w:rPr>
                <w:b/>
                <w:sz w:val="16"/>
                <w:szCs w:val="16"/>
              </w:rPr>
              <w:t>Tas</w:t>
            </w:r>
            <w:r w:rsidRPr="002D5C92">
              <w:rPr>
                <w:b/>
                <w:sz w:val="16"/>
                <w:szCs w:val="16"/>
                <w:vertAlign w:val="superscript"/>
              </w:rPr>
              <w:footnoteReference w:id="56"/>
            </w:r>
          </w:p>
        </w:tc>
        <w:tc>
          <w:tcPr>
            <w:tcW w:w="2112" w:type="dxa"/>
            <w:gridSpan w:val="2"/>
            <w:shd w:val="clear" w:color="auto" w:fill="D9D9D9" w:themeFill="background1" w:themeFillShade="D9"/>
            <w:vAlign w:val="center"/>
          </w:tcPr>
          <w:p w:rsidR="004B0449" w:rsidRPr="002D5C92" w:rsidRDefault="004B0449" w:rsidP="00020D0F">
            <w:pPr>
              <w:spacing w:after="120"/>
              <w:rPr>
                <w:b/>
                <w:sz w:val="16"/>
                <w:szCs w:val="16"/>
              </w:rPr>
            </w:pPr>
            <w:r w:rsidRPr="002D5C92">
              <w:rPr>
                <w:b/>
                <w:sz w:val="16"/>
                <w:szCs w:val="16"/>
              </w:rPr>
              <w:t>Victoria</w:t>
            </w:r>
            <w:r w:rsidRPr="002D5C92">
              <w:rPr>
                <w:b/>
                <w:sz w:val="16"/>
                <w:szCs w:val="16"/>
                <w:vertAlign w:val="superscript"/>
              </w:rPr>
              <w:footnoteReference w:id="57"/>
            </w:r>
          </w:p>
        </w:tc>
        <w:tc>
          <w:tcPr>
            <w:tcW w:w="1056" w:type="dxa"/>
            <w:shd w:val="clear" w:color="auto" w:fill="D9D9D9" w:themeFill="background1" w:themeFillShade="D9"/>
            <w:vAlign w:val="center"/>
          </w:tcPr>
          <w:p w:rsidR="004B0449" w:rsidRPr="002D5C92" w:rsidRDefault="004B0449" w:rsidP="00020D0F">
            <w:pPr>
              <w:spacing w:after="120"/>
              <w:rPr>
                <w:b/>
                <w:sz w:val="16"/>
                <w:szCs w:val="16"/>
              </w:rPr>
            </w:pPr>
            <w:r w:rsidRPr="002D5C92">
              <w:rPr>
                <w:b/>
                <w:sz w:val="16"/>
                <w:szCs w:val="16"/>
              </w:rPr>
              <w:t>WA</w:t>
            </w:r>
            <w:r w:rsidRPr="002D5C92">
              <w:rPr>
                <w:b/>
                <w:sz w:val="16"/>
                <w:szCs w:val="16"/>
                <w:vertAlign w:val="superscript"/>
              </w:rPr>
              <w:footnoteReference w:id="58"/>
            </w:r>
          </w:p>
        </w:tc>
      </w:tr>
      <w:tr w:rsidR="004B0449" w:rsidRPr="002D5C92" w:rsidTr="00327CCC">
        <w:trPr>
          <w:cantSplit/>
          <w:tblHeader/>
        </w:trPr>
        <w:tc>
          <w:tcPr>
            <w:tcW w:w="1101" w:type="dxa"/>
            <w:tcBorders>
              <w:top w:val="nil"/>
            </w:tcBorders>
            <w:shd w:val="clear" w:color="auto" w:fill="D9D9D9" w:themeFill="background1" w:themeFillShade="D9"/>
          </w:tcPr>
          <w:p w:rsidR="004B0449" w:rsidRPr="002D5C92" w:rsidRDefault="004B0449" w:rsidP="00020D0F">
            <w:pPr>
              <w:spacing w:after="120"/>
              <w:rPr>
                <w:b/>
                <w:sz w:val="16"/>
                <w:szCs w:val="16"/>
              </w:rPr>
            </w:pPr>
          </w:p>
        </w:tc>
        <w:tc>
          <w:tcPr>
            <w:tcW w:w="1013" w:type="dxa"/>
            <w:shd w:val="clear" w:color="auto" w:fill="D9D9D9" w:themeFill="background1" w:themeFillShade="D9"/>
          </w:tcPr>
          <w:p w:rsidR="004B0449" w:rsidRPr="002D5C92" w:rsidRDefault="004B0449" w:rsidP="000535D7">
            <w:pPr>
              <w:spacing w:after="120"/>
              <w:rPr>
                <w:sz w:val="16"/>
                <w:szCs w:val="16"/>
              </w:rPr>
            </w:pPr>
            <w:r w:rsidRPr="002D5C92">
              <w:rPr>
                <w:sz w:val="16"/>
                <w:szCs w:val="16"/>
              </w:rPr>
              <w:t>additional salary</w:t>
            </w:r>
          </w:p>
        </w:tc>
        <w:tc>
          <w:tcPr>
            <w:tcW w:w="1056" w:type="dxa"/>
            <w:shd w:val="clear" w:color="auto" w:fill="D9D9D9" w:themeFill="background1" w:themeFillShade="D9"/>
          </w:tcPr>
          <w:p w:rsidR="004B0449" w:rsidRPr="002D5C92" w:rsidRDefault="004B0449" w:rsidP="00020D0F">
            <w:pPr>
              <w:spacing w:after="120"/>
              <w:rPr>
                <w:sz w:val="16"/>
                <w:szCs w:val="16"/>
              </w:rPr>
            </w:pPr>
            <w:r w:rsidRPr="002D5C92">
              <w:rPr>
                <w:sz w:val="16"/>
                <w:szCs w:val="16"/>
              </w:rPr>
              <w:t>additional salary</w:t>
            </w:r>
          </w:p>
        </w:tc>
        <w:tc>
          <w:tcPr>
            <w:tcW w:w="1056" w:type="dxa"/>
            <w:shd w:val="clear" w:color="auto" w:fill="D9D9D9" w:themeFill="background1" w:themeFillShade="D9"/>
          </w:tcPr>
          <w:p w:rsidR="004B0449" w:rsidRPr="002D5C92" w:rsidRDefault="004B0449" w:rsidP="00020D0F">
            <w:pPr>
              <w:spacing w:after="120"/>
              <w:rPr>
                <w:sz w:val="16"/>
                <w:szCs w:val="16"/>
              </w:rPr>
            </w:pPr>
            <w:r w:rsidRPr="002D5C92">
              <w:rPr>
                <w:sz w:val="16"/>
                <w:szCs w:val="16"/>
              </w:rPr>
              <w:t>additional salary</w:t>
            </w:r>
          </w:p>
        </w:tc>
        <w:tc>
          <w:tcPr>
            <w:tcW w:w="1056" w:type="dxa"/>
            <w:shd w:val="clear" w:color="auto" w:fill="D9D9D9" w:themeFill="background1" w:themeFillShade="D9"/>
          </w:tcPr>
          <w:p w:rsidR="004B0449" w:rsidRPr="002D5C92" w:rsidRDefault="004B0449" w:rsidP="00020D0F">
            <w:pPr>
              <w:spacing w:after="120"/>
              <w:rPr>
                <w:sz w:val="16"/>
                <w:szCs w:val="16"/>
              </w:rPr>
            </w:pPr>
            <w:r w:rsidRPr="002D5C92">
              <w:rPr>
                <w:sz w:val="16"/>
                <w:szCs w:val="16"/>
              </w:rPr>
              <w:t>expenses of office</w:t>
            </w:r>
          </w:p>
        </w:tc>
        <w:tc>
          <w:tcPr>
            <w:tcW w:w="1056" w:type="dxa"/>
            <w:shd w:val="clear" w:color="auto" w:fill="D9D9D9" w:themeFill="background1" w:themeFillShade="D9"/>
          </w:tcPr>
          <w:p w:rsidR="004B0449" w:rsidRPr="002D5C92" w:rsidRDefault="004B0449" w:rsidP="00020D0F">
            <w:pPr>
              <w:spacing w:after="120"/>
              <w:rPr>
                <w:sz w:val="16"/>
                <w:szCs w:val="16"/>
              </w:rPr>
            </w:pPr>
            <w:r w:rsidRPr="002D5C92">
              <w:rPr>
                <w:sz w:val="16"/>
                <w:szCs w:val="16"/>
              </w:rPr>
              <w:t>additional salary</w:t>
            </w:r>
          </w:p>
        </w:tc>
        <w:tc>
          <w:tcPr>
            <w:tcW w:w="1063" w:type="dxa"/>
            <w:shd w:val="clear" w:color="auto" w:fill="D9D9D9" w:themeFill="background1" w:themeFillShade="D9"/>
          </w:tcPr>
          <w:p w:rsidR="004B0449" w:rsidRPr="002D5C92" w:rsidRDefault="004B0449" w:rsidP="00020D0F">
            <w:pPr>
              <w:spacing w:after="120"/>
              <w:rPr>
                <w:sz w:val="16"/>
                <w:szCs w:val="16"/>
              </w:rPr>
            </w:pPr>
            <w:r w:rsidRPr="002D5C92">
              <w:rPr>
                <w:sz w:val="16"/>
                <w:szCs w:val="16"/>
              </w:rPr>
              <w:t>additional salary</w:t>
            </w:r>
          </w:p>
        </w:tc>
        <w:tc>
          <w:tcPr>
            <w:tcW w:w="1063" w:type="dxa"/>
            <w:shd w:val="clear" w:color="auto" w:fill="D9D9D9" w:themeFill="background1" w:themeFillShade="D9"/>
          </w:tcPr>
          <w:p w:rsidR="004B0449" w:rsidRPr="002D5C92" w:rsidRDefault="004B0449" w:rsidP="00020D0F">
            <w:pPr>
              <w:spacing w:after="120"/>
              <w:rPr>
                <w:sz w:val="16"/>
                <w:szCs w:val="16"/>
              </w:rPr>
            </w:pPr>
            <w:r w:rsidRPr="002D5C92">
              <w:rPr>
                <w:sz w:val="16"/>
                <w:szCs w:val="16"/>
              </w:rPr>
              <w:t>additional salary</w:t>
            </w:r>
          </w:p>
        </w:tc>
        <w:tc>
          <w:tcPr>
            <w:tcW w:w="1063" w:type="dxa"/>
            <w:shd w:val="clear" w:color="auto" w:fill="D9D9D9" w:themeFill="background1" w:themeFillShade="D9"/>
          </w:tcPr>
          <w:p w:rsidR="004B0449" w:rsidRPr="002D5C92" w:rsidRDefault="004B0449" w:rsidP="00020D0F">
            <w:pPr>
              <w:spacing w:after="120"/>
              <w:rPr>
                <w:sz w:val="16"/>
                <w:szCs w:val="16"/>
              </w:rPr>
            </w:pPr>
            <w:r w:rsidRPr="002D5C92">
              <w:rPr>
                <w:sz w:val="16"/>
                <w:szCs w:val="16"/>
              </w:rPr>
              <w:t>expenses of office</w:t>
            </w:r>
          </w:p>
        </w:tc>
        <w:tc>
          <w:tcPr>
            <w:tcW w:w="1063" w:type="dxa"/>
            <w:shd w:val="clear" w:color="auto" w:fill="D9D9D9" w:themeFill="background1" w:themeFillShade="D9"/>
          </w:tcPr>
          <w:p w:rsidR="004B0449" w:rsidRPr="002D5C92" w:rsidRDefault="004B0449" w:rsidP="00020D0F">
            <w:pPr>
              <w:spacing w:after="120"/>
              <w:rPr>
                <w:sz w:val="16"/>
                <w:szCs w:val="16"/>
              </w:rPr>
            </w:pPr>
            <w:r w:rsidRPr="002D5C92">
              <w:rPr>
                <w:sz w:val="16"/>
                <w:szCs w:val="16"/>
              </w:rPr>
              <w:t>additional salary</w:t>
            </w:r>
          </w:p>
        </w:tc>
        <w:tc>
          <w:tcPr>
            <w:tcW w:w="1056" w:type="dxa"/>
            <w:shd w:val="clear" w:color="auto" w:fill="D9D9D9" w:themeFill="background1" w:themeFillShade="D9"/>
          </w:tcPr>
          <w:p w:rsidR="004B0449" w:rsidRPr="002D5C92" w:rsidRDefault="004B0449" w:rsidP="00020D0F">
            <w:pPr>
              <w:spacing w:after="120"/>
              <w:rPr>
                <w:sz w:val="16"/>
                <w:szCs w:val="16"/>
              </w:rPr>
            </w:pPr>
            <w:r w:rsidRPr="002D5C92">
              <w:rPr>
                <w:sz w:val="16"/>
                <w:szCs w:val="16"/>
              </w:rPr>
              <w:t>expenses of office</w:t>
            </w:r>
            <w:r>
              <w:rPr>
                <w:rStyle w:val="FootnoteReference"/>
                <w:sz w:val="16"/>
                <w:szCs w:val="16"/>
              </w:rPr>
              <w:footnoteReference w:id="59"/>
            </w:r>
          </w:p>
        </w:tc>
        <w:tc>
          <w:tcPr>
            <w:tcW w:w="1056" w:type="dxa"/>
            <w:shd w:val="clear" w:color="auto" w:fill="D9D9D9" w:themeFill="background1" w:themeFillShade="D9"/>
          </w:tcPr>
          <w:p w:rsidR="004B0449" w:rsidRPr="002D5C92" w:rsidRDefault="004B0449" w:rsidP="00020D0F">
            <w:pPr>
              <w:spacing w:after="120"/>
              <w:rPr>
                <w:sz w:val="16"/>
                <w:szCs w:val="16"/>
              </w:rPr>
            </w:pPr>
            <w:r w:rsidRPr="002D5C92">
              <w:rPr>
                <w:sz w:val="16"/>
                <w:szCs w:val="16"/>
              </w:rPr>
              <w:t>additional salary</w:t>
            </w:r>
          </w:p>
        </w:tc>
        <w:tc>
          <w:tcPr>
            <w:tcW w:w="1056" w:type="dxa"/>
            <w:shd w:val="clear" w:color="auto" w:fill="D9D9D9" w:themeFill="background1" w:themeFillShade="D9"/>
          </w:tcPr>
          <w:p w:rsidR="004B0449" w:rsidRPr="002D5C92" w:rsidRDefault="004B0449" w:rsidP="00020D0F">
            <w:pPr>
              <w:spacing w:after="120"/>
              <w:rPr>
                <w:sz w:val="16"/>
                <w:szCs w:val="16"/>
              </w:rPr>
            </w:pPr>
            <w:r>
              <w:rPr>
                <w:sz w:val="16"/>
                <w:szCs w:val="16"/>
              </w:rPr>
              <w:t>e</w:t>
            </w:r>
            <w:r w:rsidRPr="002D5C92">
              <w:rPr>
                <w:sz w:val="16"/>
                <w:szCs w:val="16"/>
              </w:rPr>
              <w:t>xpenses of office</w:t>
            </w:r>
          </w:p>
        </w:tc>
        <w:tc>
          <w:tcPr>
            <w:tcW w:w="1056" w:type="dxa"/>
            <w:shd w:val="clear" w:color="auto" w:fill="D9D9D9" w:themeFill="background1" w:themeFillShade="D9"/>
          </w:tcPr>
          <w:p w:rsidR="004B0449" w:rsidRPr="002D5C92" w:rsidRDefault="004B0449" w:rsidP="00020D0F">
            <w:pPr>
              <w:spacing w:after="120"/>
              <w:rPr>
                <w:sz w:val="16"/>
                <w:szCs w:val="16"/>
              </w:rPr>
            </w:pPr>
            <w:r w:rsidRPr="002D5C92">
              <w:rPr>
                <w:sz w:val="16"/>
                <w:szCs w:val="16"/>
              </w:rPr>
              <w:t>additional salary</w:t>
            </w:r>
          </w:p>
        </w:tc>
      </w:tr>
      <w:tr w:rsidR="004B0449" w:rsidRPr="002D5C92" w:rsidTr="00E35D0D">
        <w:trPr>
          <w:cantSplit/>
        </w:trPr>
        <w:tc>
          <w:tcPr>
            <w:tcW w:w="1101" w:type="dxa"/>
            <w:shd w:val="clear" w:color="auto" w:fill="auto"/>
          </w:tcPr>
          <w:p w:rsidR="004B0449" w:rsidRPr="007663CC" w:rsidRDefault="004B0449" w:rsidP="00F45DAD">
            <w:pPr>
              <w:spacing w:before="60" w:after="60"/>
              <w:rPr>
                <w:sz w:val="16"/>
                <w:szCs w:val="16"/>
              </w:rPr>
            </w:pPr>
            <w:r w:rsidRPr="007663CC">
              <w:rPr>
                <w:sz w:val="16"/>
                <w:szCs w:val="16"/>
              </w:rPr>
              <w:t>First Minister</w:t>
            </w:r>
            <w:r w:rsidRPr="007663CC">
              <w:rPr>
                <w:rStyle w:val="FootnoteReference"/>
                <w:sz w:val="16"/>
                <w:szCs w:val="16"/>
              </w:rPr>
              <w:footnoteReference w:id="60"/>
            </w:r>
          </w:p>
        </w:tc>
        <w:tc>
          <w:tcPr>
            <w:tcW w:w="1013" w:type="dxa"/>
            <w:shd w:val="clear" w:color="auto" w:fill="auto"/>
          </w:tcPr>
          <w:p w:rsidR="004B0449" w:rsidRPr="002D5C92" w:rsidRDefault="004B0449" w:rsidP="00F45DAD">
            <w:pPr>
              <w:spacing w:before="60" w:after="60"/>
              <w:rPr>
                <w:sz w:val="16"/>
                <w:szCs w:val="16"/>
              </w:rPr>
            </w:pPr>
            <w:r w:rsidRPr="002D5C92">
              <w:rPr>
                <w:sz w:val="16"/>
                <w:szCs w:val="16"/>
              </w:rPr>
              <w:t>160</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110</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95</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45</w:t>
            </w:r>
            <w:r w:rsidR="000535D7">
              <w:rPr>
                <w:rStyle w:val="FootnoteReference"/>
                <w:sz w:val="16"/>
                <w:szCs w:val="16"/>
              </w:rPr>
              <w:footnoteReference w:id="61"/>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100</w:t>
            </w:r>
          </w:p>
        </w:tc>
        <w:tc>
          <w:tcPr>
            <w:tcW w:w="1063" w:type="dxa"/>
          </w:tcPr>
          <w:p w:rsidR="004B0449" w:rsidRPr="002D5C92" w:rsidRDefault="004B0449" w:rsidP="00F45DAD">
            <w:pPr>
              <w:spacing w:before="60" w:after="60"/>
              <w:rPr>
                <w:sz w:val="16"/>
                <w:szCs w:val="16"/>
              </w:rPr>
            </w:pPr>
            <w:r w:rsidRPr="002D5C92">
              <w:rPr>
                <w:sz w:val="16"/>
                <w:szCs w:val="16"/>
              </w:rPr>
              <w:t>154.7</w:t>
            </w:r>
          </w:p>
        </w:tc>
        <w:tc>
          <w:tcPr>
            <w:tcW w:w="1063" w:type="dxa"/>
          </w:tcPr>
          <w:p w:rsidR="004B0449" w:rsidRPr="002D5C92" w:rsidRDefault="004B0449" w:rsidP="00F45DAD">
            <w:pPr>
              <w:spacing w:before="60" w:after="60"/>
              <w:rPr>
                <w:sz w:val="16"/>
                <w:szCs w:val="16"/>
              </w:rPr>
            </w:pPr>
            <w:r w:rsidRPr="002D5C92">
              <w:rPr>
                <w:sz w:val="16"/>
                <w:szCs w:val="16"/>
              </w:rPr>
              <w:t>100</w:t>
            </w:r>
          </w:p>
        </w:tc>
        <w:tc>
          <w:tcPr>
            <w:tcW w:w="1063" w:type="dxa"/>
          </w:tcPr>
          <w:p w:rsidR="004B0449" w:rsidRPr="002D5C92" w:rsidRDefault="004B0449" w:rsidP="00F45DAD">
            <w:pPr>
              <w:spacing w:before="60" w:after="60"/>
              <w:rPr>
                <w:sz w:val="16"/>
                <w:szCs w:val="16"/>
              </w:rPr>
            </w:pPr>
            <w:r w:rsidRPr="002D5C92">
              <w:rPr>
                <w:sz w:val="16"/>
                <w:szCs w:val="16"/>
              </w:rPr>
              <w:t>5.4</w:t>
            </w:r>
          </w:p>
        </w:tc>
        <w:tc>
          <w:tcPr>
            <w:tcW w:w="1063" w:type="dxa"/>
            <w:shd w:val="clear" w:color="auto" w:fill="auto"/>
          </w:tcPr>
          <w:p w:rsidR="004B0449" w:rsidRPr="002D5C92" w:rsidRDefault="004B0449" w:rsidP="00F45DAD">
            <w:pPr>
              <w:spacing w:before="60" w:after="60"/>
              <w:rPr>
                <w:sz w:val="16"/>
                <w:szCs w:val="16"/>
              </w:rPr>
            </w:pPr>
            <w:r w:rsidRPr="002D5C92">
              <w:rPr>
                <w:sz w:val="16"/>
                <w:szCs w:val="16"/>
              </w:rPr>
              <w:t>115</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12</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100</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42</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127.2</w:t>
            </w:r>
          </w:p>
        </w:tc>
      </w:tr>
      <w:tr w:rsidR="004B0449" w:rsidRPr="002D5C92" w:rsidTr="00E35D0D">
        <w:trPr>
          <w:cantSplit/>
        </w:trPr>
        <w:tc>
          <w:tcPr>
            <w:tcW w:w="1101" w:type="dxa"/>
            <w:shd w:val="clear" w:color="auto" w:fill="auto"/>
          </w:tcPr>
          <w:p w:rsidR="004B0449" w:rsidRPr="007663CC" w:rsidRDefault="004B0449" w:rsidP="00A129FF">
            <w:pPr>
              <w:spacing w:before="60" w:after="60"/>
              <w:rPr>
                <w:sz w:val="16"/>
                <w:szCs w:val="16"/>
              </w:rPr>
            </w:pPr>
            <w:r w:rsidRPr="007663CC">
              <w:rPr>
                <w:sz w:val="16"/>
                <w:szCs w:val="16"/>
              </w:rPr>
              <w:t>Dep First Minister</w:t>
            </w:r>
          </w:p>
        </w:tc>
        <w:tc>
          <w:tcPr>
            <w:tcW w:w="1013" w:type="dxa"/>
            <w:shd w:val="clear" w:color="auto" w:fill="auto"/>
          </w:tcPr>
          <w:p w:rsidR="004B0449" w:rsidRPr="002D5C92" w:rsidRDefault="004B0449" w:rsidP="00F45DAD">
            <w:pPr>
              <w:spacing w:before="60" w:after="60"/>
              <w:rPr>
                <w:sz w:val="16"/>
                <w:szCs w:val="16"/>
              </w:rPr>
            </w:pPr>
            <w:r w:rsidRPr="002D5C92">
              <w:rPr>
                <w:sz w:val="16"/>
                <w:szCs w:val="16"/>
              </w:rPr>
              <w:t>105</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80</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76</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27</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80</w:t>
            </w:r>
          </w:p>
        </w:tc>
        <w:tc>
          <w:tcPr>
            <w:tcW w:w="1063" w:type="dxa"/>
          </w:tcPr>
          <w:p w:rsidR="004B0449" w:rsidRPr="002D5C92" w:rsidRDefault="004B0449" w:rsidP="00F45DAD">
            <w:pPr>
              <w:spacing w:before="60" w:after="60"/>
              <w:rPr>
                <w:sz w:val="16"/>
                <w:szCs w:val="16"/>
              </w:rPr>
            </w:pPr>
            <w:r w:rsidRPr="002D5C92">
              <w:rPr>
                <w:sz w:val="16"/>
                <w:szCs w:val="16"/>
              </w:rPr>
              <w:t>123.8</w:t>
            </w:r>
          </w:p>
        </w:tc>
        <w:tc>
          <w:tcPr>
            <w:tcW w:w="1063" w:type="dxa"/>
          </w:tcPr>
          <w:p w:rsidR="004B0449" w:rsidRPr="002D5C92" w:rsidRDefault="004B0449" w:rsidP="00F45DAD">
            <w:pPr>
              <w:spacing w:before="60" w:after="60"/>
              <w:rPr>
                <w:sz w:val="16"/>
                <w:szCs w:val="16"/>
              </w:rPr>
            </w:pPr>
            <w:r w:rsidRPr="002D5C92">
              <w:rPr>
                <w:sz w:val="16"/>
                <w:szCs w:val="16"/>
              </w:rPr>
              <w:t>85</w:t>
            </w:r>
          </w:p>
        </w:tc>
        <w:tc>
          <w:tcPr>
            <w:tcW w:w="1063" w:type="dxa"/>
          </w:tcPr>
          <w:p w:rsidR="004B0449" w:rsidRPr="002D5C92" w:rsidRDefault="004B0449" w:rsidP="00F45DAD">
            <w:pPr>
              <w:spacing w:before="60" w:after="60"/>
              <w:rPr>
                <w:sz w:val="16"/>
                <w:szCs w:val="16"/>
              </w:rPr>
            </w:pPr>
            <w:r w:rsidRPr="002D5C92">
              <w:rPr>
                <w:sz w:val="16"/>
                <w:szCs w:val="16"/>
              </w:rPr>
              <w:t>4.5</w:t>
            </w:r>
          </w:p>
        </w:tc>
        <w:tc>
          <w:tcPr>
            <w:tcW w:w="1063" w:type="dxa"/>
            <w:shd w:val="clear" w:color="auto" w:fill="auto"/>
          </w:tcPr>
          <w:p w:rsidR="004B0449" w:rsidRPr="002D5C92" w:rsidRDefault="004B0449" w:rsidP="00F45DAD">
            <w:pPr>
              <w:spacing w:before="60" w:after="60"/>
              <w:rPr>
                <w:sz w:val="16"/>
                <w:szCs w:val="16"/>
              </w:rPr>
            </w:pPr>
            <w:r w:rsidRPr="002D5C92">
              <w:rPr>
                <w:sz w:val="16"/>
                <w:szCs w:val="16"/>
              </w:rPr>
              <w:t>82</w:t>
            </w:r>
          </w:p>
        </w:tc>
        <w:tc>
          <w:tcPr>
            <w:tcW w:w="1056" w:type="dxa"/>
            <w:shd w:val="clear" w:color="auto" w:fill="auto"/>
          </w:tcPr>
          <w:p w:rsidR="004B0449" w:rsidRPr="002D5C92" w:rsidRDefault="004B0449" w:rsidP="00F45DAD">
            <w:pPr>
              <w:spacing w:before="60" w:after="60"/>
              <w:rPr>
                <w:sz w:val="16"/>
                <w:szCs w:val="16"/>
              </w:rPr>
            </w:pP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85</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21</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93.5</w:t>
            </w:r>
          </w:p>
        </w:tc>
      </w:tr>
      <w:tr w:rsidR="004B0449" w:rsidRPr="002D5C92" w:rsidTr="00E35D0D">
        <w:trPr>
          <w:cantSplit/>
        </w:trPr>
        <w:tc>
          <w:tcPr>
            <w:tcW w:w="1101" w:type="dxa"/>
            <w:shd w:val="clear" w:color="auto" w:fill="auto"/>
          </w:tcPr>
          <w:p w:rsidR="004B0449" w:rsidRPr="007663CC" w:rsidRDefault="004B0449" w:rsidP="00F45DAD">
            <w:pPr>
              <w:spacing w:before="60" w:after="60"/>
              <w:rPr>
                <w:sz w:val="16"/>
                <w:szCs w:val="16"/>
              </w:rPr>
            </w:pPr>
            <w:r w:rsidRPr="007663CC">
              <w:rPr>
                <w:sz w:val="16"/>
                <w:szCs w:val="16"/>
              </w:rPr>
              <w:t>Ministers</w:t>
            </w:r>
          </w:p>
        </w:tc>
        <w:tc>
          <w:tcPr>
            <w:tcW w:w="1013" w:type="dxa"/>
            <w:shd w:val="clear" w:color="auto" w:fill="auto"/>
          </w:tcPr>
          <w:p w:rsidR="004B0449" w:rsidRPr="002D5C92" w:rsidRDefault="004B0449" w:rsidP="00F45DAD">
            <w:pPr>
              <w:spacing w:before="60" w:after="60"/>
              <w:rPr>
                <w:sz w:val="16"/>
                <w:szCs w:val="16"/>
              </w:rPr>
            </w:pPr>
            <w:r w:rsidRPr="002D5C92">
              <w:rPr>
                <w:sz w:val="16"/>
                <w:szCs w:val="16"/>
              </w:rPr>
              <w:t>72.5</w:t>
            </w:r>
          </w:p>
          <w:p w:rsidR="004B0449" w:rsidRPr="002D5C92" w:rsidRDefault="004B0449" w:rsidP="00F45DAD">
            <w:pPr>
              <w:spacing w:before="60" w:after="60"/>
              <w:rPr>
                <w:sz w:val="16"/>
                <w:szCs w:val="16"/>
              </w:rPr>
            </w:pPr>
            <w:r w:rsidRPr="002D5C92">
              <w:rPr>
                <w:sz w:val="16"/>
                <w:szCs w:val="16"/>
              </w:rPr>
              <w:t>57.5</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70</w:t>
            </w:r>
          </w:p>
          <w:p w:rsidR="004B0449" w:rsidRPr="002D5C92" w:rsidRDefault="004B0449" w:rsidP="00F45DAD">
            <w:pPr>
              <w:spacing w:before="60" w:after="60"/>
              <w:rPr>
                <w:sz w:val="16"/>
                <w:szCs w:val="16"/>
              </w:rPr>
            </w:pP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67</w:t>
            </w:r>
          </w:p>
          <w:p w:rsidR="004B0449" w:rsidRPr="002D5C92" w:rsidRDefault="004B0449" w:rsidP="00F45DAD">
            <w:pPr>
              <w:spacing w:before="60" w:after="60"/>
              <w:rPr>
                <w:sz w:val="16"/>
                <w:szCs w:val="16"/>
              </w:rPr>
            </w:pPr>
            <w:r w:rsidRPr="002D5C92">
              <w:rPr>
                <w:sz w:val="16"/>
                <w:szCs w:val="16"/>
              </w:rPr>
              <w:t>57</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26</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65</w:t>
            </w:r>
          </w:p>
        </w:tc>
        <w:tc>
          <w:tcPr>
            <w:tcW w:w="1063" w:type="dxa"/>
          </w:tcPr>
          <w:p w:rsidR="004B0449" w:rsidRPr="002D5C92" w:rsidRDefault="004B0449" w:rsidP="00F45DAD">
            <w:pPr>
              <w:spacing w:before="60" w:after="60"/>
              <w:rPr>
                <w:sz w:val="16"/>
                <w:szCs w:val="16"/>
              </w:rPr>
            </w:pPr>
            <w:r w:rsidRPr="002D5C92">
              <w:rPr>
                <w:sz w:val="16"/>
                <w:szCs w:val="16"/>
              </w:rPr>
              <w:t>108.3</w:t>
            </w:r>
          </w:p>
        </w:tc>
        <w:tc>
          <w:tcPr>
            <w:tcW w:w="1063" w:type="dxa"/>
          </w:tcPr>
          <w:p w:rsidR="004B0449" w:rsidRPr="002D5C92" w:rsidRDefault="004B0449" w:rsidP="00F45DAD">
            <w:pPr>
              <w:spacing w:before="60" w:after="60"/>
              <w:rPr>
                <w:sz w:val="16"/>
                <w:szCs w:val="16"/>
              </w:rPr>
            </w:pPr>
            <w:r w:rsidRPr="002D5C92">
              <w:rPr>
                <w:sz w:val="16"/>
                <w:szCs w:val="16"/>
              </w:rPr>
              <w:t>75</w:t>
            </w:r>
          </w:p>
          <w:p w:rsidR="004B0449" w:rsidRPr="002D5C92" w:rsidRDefault="004B0449" w:rsidP="00F45DAD">
            <w:pPr>
              <w:spacing w:before="60" w:after="60"/>
              <w:rPr>
                <w:sz w:val="16"/>
                <w:szCs w:val="16"/>
              </w:rPr>
            </w:pPr>
            <w:r w:rsidRPr="002D5C92">
              <w:rPr>
                <w:sz w:val="16"/>
                <w:szCs w:val="16"/>
              </w:rPr>
              <w:t>41</w:t>
            </w:r>
          </w:p>
        </w:tc>
        <w:tc>
          <w:tcPr>
            <w:tcW w:w="1063" w:type="dxa"/>
          </w:tcPr>
          <w:p w:rsidR="004B0449" w:rsidRPr="002D5C92" w:rsidRDefault="004B0449" w:rsidP="00F45DAD">
            <w:pPr>
              <w:spacing w:before="60" w:after="60"/>
              <w:rPr>
                <w:sz w:val="16"/>
                <w:szCs w:val="16"/>
              </w:rPr>
            </w:pPr>
            <w:r w:rsidRPr="002D5C92">
              <w:rPr>
                <w:sz w:val="16"/>
                <w:szCs w:val="16"/>
              </w:rPr>
              <w:t>3.8</w:t>
            </w:r>
          </w:p>
        </w:tc>
        <w:tc>
          <w:tcPr>
            <w:tcW w:w="1063" w:type="dxa"/>
            <w:shd w:val="clear" w:color="auto" w:fill="auto"/>
          </w:tcPr>
          <w:p w:rsidR="004B0449" w:rsidRPr="002D5C92" w:rsidRDefault="004B0449" w:rsidP="00F45DAD">
            <w:pPr>
              <w:spacing w:before="60" w:after="60"/>
              <w:rPr>
                <w:sz w:val="16"/>
                <w:szCs w:val="16"/>
              </w:rPr>
            </w:pPr>
            <w:r w:rsidRPr="002D5C92">
              <w:rPr>
                <w:sz w:val="16"/>
                <w:szCs w:val="16"/>
              </w:rPr>
              <w:t>70</w:t>
            </w:r>
          </w:p>
        </w:tc>
        <w:tc>
          <w:tcPr>
            <w:tcW w:w="1056" w:type="dxa"/>
            <w:shd w:val="clear" w:color="auto" w:fill="auto"/>
          </w:tcPr>
          <w:p w:rsidR="004B0449" w:rsidRPr="002D5C92" w:rsidRDefault="004B0449" w:rsidP="00F45DAD">
            <w:pPr>
              <w:spacing w:before="60" w:after="60"/>
              <w:rPr>
                <w:sz w:val="16"/>
                <w:szCs w:val="16"/>
              </w:rPr>
            </w:pP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75</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18</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77.1</w:t>
            </w:r>
          </w:p>
        </w:tc>
      </w:tr>
      <w:tr w:rsidR="004B0449" w:rsidRPr="002D5C92" w:rsidTr="00E35D0D">
        <w:trPr>
          <w:cantSplit/>
        </w:trPr>
        <w:tc>
          <w:tcPr>
            <w:tcW w:w="1101" w:type="dxa"/>
            <w:shd w:val="clear" w:color="auto" w:fill="auto"/>
          </w:tcPr>
          <w:p w:rsidR="004B0449" w:rsidRPr="007663CC" w:rsidRDefault="004B0449" w:rsidP="00F45DAD">
            <w:pPr>
              <w:spacing w:before="60" w:after="60"/>
              <w:rPr>
                <w:sz w:val="16"/>
                <w:szCs w:val="16"/>
              </w:rPr>
            </w:pPr>
            <w:r w:rsidRPr="007663CC">
              <w:rPr>
                <w:sz w:val="16"/>
                <w:szCs w:val="16"/>
              </w:rPr>
              <w:t xml:space="preserve">President </w:t>
            </w:r>
          </w:p>
        </w:tc>
        <w:tc>
          <w:tcPr>
            <w:tcW w:w="1013" w:type="dxa"/>
            <w:shd w:val="clear" w:color="auto" w:fill="auto"/>
          </w:tcPr>
          <w:p w:rsidR="004B0449" w:rsidRPr="002D5C92" w:rsidRDefault="004B0449" w:rsidP="00F45DAD">
            <w:pPr>
              <w:spacing w:before="60" w:after="60"/>
              <w:rPr>
                <w:sz w:val="16"/>
                <w:szCs w:val="16"/>
              </w:rPr>
            </w:pPr>
            <w:r w:rsidRPr="002D5C92">
              <w:rPr>
                <w:sz w:val="16"/>
                <w:szCs w:val="16"/>
              </w:rPr>
              <w:t>75</w:t>
            </w:r>
          </w:p>
        </w:tc>
        <w:tc>
          <w:tcPr>
            <w:tcW w:w="1056" w:type="dxa"/>
            <w:shd w:val="clear" w:color="auto" w:fill="auto"/>
          </w:tcPr>
          <w:p w:rsidR="004B0449" w:rsidRPr="002D5C92" w:rsidRDefault="004B0449" w:rsidP="00F45DAD">
            <w:pPr>
              <w:spacing w:before="60" w:after="60"/>
              <w:rPr>
                <w:sz w:val="16"/>
                <w:szCs w:val="16"/>
              </w:rPr>
            </w:pP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57</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26</w:t>
            </w:r>
          </w:p>
        </w:tc>
        <w:tc>
          <w:tcPr>
            <w:tcW w:w="1056" w:type="dxa"/>
            <w:shd w:val="clear" w:color="auto" w:fill="auto"/>
          </w:tcPr>
          <w:p w:rsidR="004B0449" w:rsidRPr="002D5C92" w:rsidRDefault="004B0449" w:rsidP="00F45DAD">
            <w:pPr>
              <w:spacing w:before="60" w:after="60"/>
              <w:rPr>
                <w:sz w:val="16"/>
                <w:szCs w:val="16"/>
              </w:rPr>
            </w:pPr>
          </w:p>
        </w:tc>
        <w:tc>
          <w:tcPr>
            <w:tcW w:w="1063" w:type="dxa"/>
          </w:tcPr>
          <w:p w:rsidR="004B0449" w:rsidRPr="002D5C92" w:rsidRDefault="004B0449" w:rsidP="00F45DAD">
            <w:pPr>
              <w:spacing w:before="60" w:after="60"/>
              <w:rPr>
                <w:sz w:val="16"/>
                <w:szCs w:val="16"/>
              </w:rPr>
            </w:pPr>
          </w:p>
        </w:tc>
        <w:tc>
          <w:tcPr>
            <w:tcW w:w="1063" w:type="dxa"/>
          </w:tcPr>
          <w:p w:rsidR="004B0449" w:rsidRPr="002D5C92" w:rsidRDefault="004B0449" w:rsidP="00F45DAD">
            <w:pPr>
              <w:spacing w:before="60" w:after="60"/>
              <w:rPr>
                <w:sz w:val="16"/>
                <w:szCs w:val="16"/>
              </w:rPr>
            </w:pPr>
            <w:r w:rsidRPr="002D5C92">
              <w:rPr>
                <w:sz w:val="16"/>
                <w:szCs w:val="16"/>
              </w:rPr>
              <w:t>75</w:t>
            </w:r>
          </w:p>
        </w:tc>
        <w:tc>
          <w:tcPr>
            <w:tcW w:w="1063" w:type="dxa"/>
          </w:tcPr>
          <w:p w:rsidR="004B0449" w:rsidRPr="002D5C92" w:rsidRDefault="004B0449" w:rsidP="00F45DAD">
            <w:pPr>
              <w:spacing w:before="60" w:after="60"/>
              <w:rPr>
                <w:sz w:val="16"/>
                <w:szCs w:val="16"/>
              </w:rPr>
            </w:pPr>
            <w:r w:rsidRPr="002D5C92">
              <w:rPr>
                <w:sz w:val="16"/>
                <w:szCs w:val="16"/>
              </w:rPr>
              <w:t>2.1</w:t>
            </w:r>
          </w:p>
        </w:tc>
        <w:tc>
          <w:tcPr>
            <w:tcW w:w="1063" w:type="dxa"/>
            <w:shd w:val="clear" w:color="auto" w:fill="auto"/>
          </w:tcPr>
          <w:p w:rsidR="004B0449" w:rsidRPr="002D5C92" w:rsidRDefault="004B0449" w:rsidP="00F45DAD">
            <w:pPr>
              <w:spacing w:before="60" w:after="60"/>
              <w:rPr>
                <w:sz w:val="16"/>
                <w:szCs w:val="16"/>
              </w:rPr>
            </w:pPr>
            <w:r w:rsidRPr="002D5C92">
              <w:rPr>
                <w:sz w:val="16"/>
                <w:szCs w:val="16"/>
              </w:rPr>
              <w:t>35</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6</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65</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12</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77.1</w:t>
            </w:r>
          </w:p>
        </w:tc>
      </w:tr>
      <w:tr w:rsidR="004B0449" w:rsidRPr="002D5C92" w:rsidTr="00E35D0D">
        <w:trPr>
          <w:cantSplit/>
        </w:trPr>
        <w:tc>
          <w:tcPr>
            <w:tcW w:w="1101" w:type="dxa"/>
            <w:shd w:val="clear" w:color="auto" w:fill="auto"/>
          </w:tcPr>
          <w:p w:rsidR="004B0449" w:rsidRPr="007663CC" w:rsidRDefault="004B0449" w:rsidP="00F45DAD">
            <w:pPr>
              <w:spacing w:before="60" w:after="60"/>
              <w:rPr>
                <w:sz w:val="16"/>
                <w:szCs w:val="16"/>
              </w:rPr>
            </w:pPr>
            <w:r w:rsidRPr="007663CC">
              <w:rPr>
                <w:sz w:val="16"/>
                <w:szCs w:val="16"/>
              </w:rPr>
              <w:t>Speaker</w:t>
            </w:r>
          </w:p>
        </w:tc>
        <w:tc>
          <w:tcPr>
            <w:tcW w:w="1013" w:type="dxa"/>
            <w:shd w:val="clear" w:color="auto" w:fill="auto"/>
          </w:tcPr>
          <w:p w:rsidR="004B0449" w:rsidRPr="002D5C92" w:rsidRDefault="004B0449" w:rsidP="00F45DAD">
            <w:pPr>
              <w:spacing w:before="60" w:after="60"/>
              <w:rPr>
                <w:sz w:val="16"/>
                <w:szCs w:val="16"/>
              </w:rPr>
            </w:pPr>
            <w:r w:rsidRPr="002D5C92">
              <w:rPr>
                <w:sz w:val="16"/>
                <w:szCs w:val="16"/>
              </w:rPr>
              <w:t>75</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55</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57</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26</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65</w:t>
            </w:r>
          </w:p>
        </w:tc>
        <w:tc>
          <w:tcPr>
            <w:tcW w:w="1063" w:type="dxa"/>
          </w:tcPr>
          <w:p w:rsidR="004B0449" w:rsidRPr="002D5C92" w:rsidRDefault="004B0449" w:rsidP="00F45DAD">
            <w:pPr>
              <w:spacing w:before="60" w:after="60"/>
              <w:rPr>
                <w:sz w:val="16"/>
                <w:szCs w:val="16"/>
              </w:rPr>
            </w:pPr>
            <w:r w:rsidRPr="002D5C92">
              <w:rPr>
                <w:sz w:val="16"/>
                <w:szCs w:val="16"/>
              </w:rPr>
              <w:t>92.8</w:t>
            </w:r>
          </w:p>
        </w:tc>
        <w:tc>
          <w:tcPr>
            <w:tcW w:w="1063" w:type="dxa"/>
          </w:tcPr>
          <w:p w:rsidR="004B0449" w:rsidRPr="002D5C92" w:rsidRDefault="004B0449" w:rsidP="00F45DAD">
            <w:pPr>
              <w:spacing w:before="60" w:after="60"/>
              <w:rPr>
                <w:sz w:val="16"/>
                <w:szCs w:val="16"/>
              </w:rPr>
            </w:pPr>
            <w:r w:rsidRPr="002D5C92">
              <w:rPr>
                <w:sz w:val="16"/>
                <w:szCs w:val="16"/>
              </w:rPr>
              <w:t>75</w:t>
            </w:r>
          </w:p>
        </w:tc>
        <w:tc>
          <w:tcPr>
            <w:tcW w:w="1063" w:type="dxa"/>
          </w:tcPr>
          <w:p w:rsidR="004B0449" w:rsidRPr="002D5C92" w:rsidRDefault="004B0449" w:rsidP="00F45DAD">
            <w:pPr>
              <w:spacing w:before="60" w:after="60"/>
              <w:rPr>
                <w:sz w:val="16"/>
                <w:szCs w:val="16"/>
              </w:rPr>
            </w:pPr>
            <w:r w:rsidRPr="002D5C92">
              <w:rPr>
                <w:sz w:val="16"/>
                <w:szCs w:val="16"/>
              </w:rPr>
              <w:t>2.1</w:t>
            </w:r>
          </w:p>
        </w:tc>
        <w:tc>
          <w:tcPr>
            <w:tcW w:w="1063" w:type="dxa"/>
            <w:shd w:val="clear" w:color="auto" w:fill="auto"/>
          </w:tcPr>
          <w:p w:rsidR="004B0449" w:rsidRPr="002D5C92" w:rsidRDefault="004B0449" w:rsidP="00F45DAD">
            <w:pPr>
              <w:spacing w:before="60" w:after="60"/>
              <w:rPr>
                <w:sz w:val="16"/>
                <w:szCs w:val="16"/>
              </w:rPr>
            </w:pPr>
            <w:r w:rsidRPr="002D5C92">
              <w:rPr>
                <w:sz w:val="16"/>
                <w:szCs w:val="16"/>
              </w:rPr>
              <w:t>35</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6</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65</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12</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63.6</w:t>
            </w:r>
          </w:p>
        </w:tc>
      </w:tr>
      <w:tr w:rsidR="004B0449" w:rsidRPr="002D5C92" w:rsidTr="00E35D0D">
        <w:trPr>
          <w:cantSplit/>
        </w:trPr>
        <w:tc>
          <w:tcPr>
            <w:tcW w:w="1101" w:type="dxa"/>
            <w:shd w:val="clear" w:color="auto" w:fill="auto"/>
          </w:tcPr>
          <w:p w:rsidR="004B0449" w:rsidRPr="007663CC" w:rsidRDefault="004B0449" w:rsidP="00F45DAD">
            <w:pPr>
              <w:spacing w:before="60" w:after="60"/>
              <w:rPr>
                <w:sz w:val="16"/>
                <w:szCs w:val="16"/>
              </w:rPr>
            </w:pPr>
            <w:r w:rsidRPr="007663CC">
              <w:rPr>
                <w:sz w:val="16"/>
                <w:szCs w:val="16"/>
              </w:rPr>
              <w:t>Leader of Opp</w:t>
            </w:r>
          </w:p>
        </w:tc>
        <w:tc>
          <w:tcPr>
            <w:tcW w:w="1013" w:type="dxa"/>
            <w:shd w:val="clear" w:color="auto" w:fill="auto"/>
          </w:tcPr>
          <w:p w:rsidR="004B0449" w:rsidRPr="002D5C92" w:rsidRDefault="004B0449" w:rsidP="00F45DAD">
            <w:pPr>
              <w:spacing w:before="60" w:after="60"/>
              <w:rPr>
                <w:sz w:val="16"/>
                <w:szCs w:val="16"/>
              </w:rPr>
            </w:pPr>
            <w:r w:rsidRPr="002D5C92">
              <w:rPr>
                <w:sz w:val="16"/>
                <w:szCs w:val="16"/>
              </w:rPr>
              <w:t>85</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70</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57</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26</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65</w:t>
            </w:r>
          </w:p>
        </w:tc>
        <w:tc>
          <w:tcPr>
            <w:tcW w:w="1063" w:type="dxa"/>
          </w:tcPr>
          <w:p w:rsidR="004B0449" w:rsidRPr="002D5C92" w:rsidRDefault="004B0449" w:rsidP="00F45DAD">
            <w:pPr>
              <w:spacing w:before="60" w:after="60"/>
              <w:rPr>
                <w:sz w:val="16"/>
                <w:szCs w:val="16"/>
              </w:rPr>
            </w:pPr>
            <w:r w:rsidRPr="002D5C92">
              <w:rPr>
                <w:sz w:val="16"/>
                <w:szCs w:val="16"/>
              </w:rPr>
              <w:t>108.3</w:t>
            </w:r>
          </w:p>
        </w:tc>
        <w:tc>
          <w:tcPr>
            <w:tcW w:w="1063" w:type="dxa"/>
          </w:tcPr>
          <w:p w:rsidR="004B0449" w:rsidRPr="002D5C92" w:rsidRDefault="004B0449" w:rsidP="00F45DAD">
            <w:pPr>
              <w:spacing w:before="60" w:after="60"/>
              <w:rPr>
                <w:sz w:val="16"/>
                <w:szCs w:val="16"/>
              </w:rPr>
            </w:pPr>
            <w:r w:rsidRPr="002D5C92">
              <w:rPr>
                <w:sz w:val="16"/>
                <w:szCs w:val="16"/>
              </w:rPr>
              <w:t>75</w:t>
            </w:r>
          </w:p>
        </w:tc>
        <w:tc>
          <w:tcPr>
            <w:tcW w:w="1063" w:type="dxa"/>
          </w:tcPr>
          <w:p w:rsidR="004B0449" w:rsidRPr="002D5C92" w:rsidRDefault="004B0449" w:rsidP="00F45DAD">
            <w:pPr>
              <w:spacing w:before="60" w:after="60"/>
              <w:rPr>
                <w:sz w:val="16"/>
                <w:szCs w:val="16"/>
              </w:rPr>
            </w:pPr>
            <w:r w:rsidRPr="002D5C92">
              <w:rPr>
                <w:sz w:val="16"/>
                <w:szCs w:val="16"/>
              </w:rPr>
              <w:t>3.8</w:t>
            </w:r>
          </w:p>
        </w:tc>
        <w:tc>
          <w:tcPr>
            <w:tcW w:w="1063" w:type="dxa"/>
            <w:shd w:val="clear" w:color="auto" w:fill="auto"/>
          </w:tcPr>
          <w:p w:rsidR="004B0449" w:rsidRPr="002D5C92" w:rsidRDefault="004B0449" w:rsidP="00F45DAD">
            <w:pPr>
              <w:spacing w:before="60" w:after="60"/>
              <w:rPr>
                <w:sz w:val="16"/>
                <w:szCs w:val="16"/>
              </w:rPr>
            </w:pPr>
            <w:r w:rsidRPr="002D5C92">
              <w:rPr>
                <w:sz w:val="16"/>
                <w:szCs w:val="16"/>
              </w:rPr>
              <w:t>70</w:t>
            </w:r>
          </w:p>
        </w:tc>
        <w:tc>
          <w:tcPr>
            <w:tcW w:w="1056" w:type="dxa"/>
            <w:shd w:val="clear" w:color="auto" w:fill="auto"/>
          </w:tcPr>
          <w:p w:rsidR="004B0449" w:rsidRPr="002D5C92" w:rsidRDefault="004B0449" w:rsidP="00F45DAD">
            <w:pPr>
              <w:spacing w:before="60" w:after="60"/>
              <w:rPr>
                <w:sz w:val="16"/>
                <w:szCs w:val="16"/>
              </w:rPr>
            </w:pP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75</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18</w:t>
            </w:r>
          </w:p>
        </w:tc>
        <w:tc>
          <w:tcPr>
            <w:tcW w:w="1056" w:type="dxa"/>
            <w:shd w:val="clear" w:color="auto" w:fill="auto"/>
          </w:tcPr>
          <w:p w:rsidR="004B0449" w:rsidRPr="002D5C92" w:rsidRDefault="004B0449" w:rsidP="00F45DAD">
            <w:pPr>
              <w:spacing w:before="60" w:after="60"/>
              <w:rPr>
                <w:sz w:val="16"/>
                <w:szCs w:val="16"/>
              </w:rPr>
            </w:pPr>
            <w:r w:rsidRPr="002D5C92">
              <w:rPr>
                <w:sz w:val="16"/>
                <w:szCs w:val="16"/>
              </w:rPr>
              <w:t>63.6</w:t>
            </w:r>
          </w:p>
        </w:tc>
      </w:tr>
      <w:tr w:rsidR="004B0449" w:rsidRPr="007663CC" w:rsidTr="00E35D0D">
        <w:trPr>
          <w:cantSplit/>
        </w:trPr>
        <w:tc>
          <w:tcPr>
            <w:tcW w:w="1101" w:type="dxa"/>
            <w:shd w:val="clear" w:color="auto" w:fill="auto"/>
          </w:tcPr>
          <w:p w:rsidR="004B0449" w:rsidRPr="007663CC" w:rsidRDefault="00020D0F" w:rsidP="00F45DAD">
            <w:pPr>
              <w:spacing w:before="60" w:after="60"/>
              <w:rPr>
                <w:sz w:val="16"/>
                <w:szCs w:val="16"/>
              </w:rPr>
            </w:pPr>
            <w:r>
              <w:rPr>
                <w:sz w:val="16"/>
                <w:szCs w:val="16"/>
              </w:rPr>
              <w:t xml:space="preserve">Most </w:t>
            </w:r>
            <w:r w:rsidR="00F45DAD">
              <w:rPr>
                <w:sz w:val="16"/>
                <w:szCs w:val="16"/>
              </w:rPr>
              <w:t xml:space="preserve">Senior </w:t>
            </w:r>
            <w:r w:rsidR="004B0449" w:rsidRPr="007663CC">
              <w:rPr>
                <w:sz w:val="16"/>
                <w:szCs w:val="16"/>
              </w:rPr>
              <w:t>Govt Whip</w:t>
            </w:r>
          </w:p>
        </w:tc>
        <w:tc>
          <w:tcPr>
            <w:tcW w:w="1013" w:type="dxa"/>
            <w:shd w:val="clear" w:color="auto" w:fill="auto"/>
          </w:tcPr>
          <w:p w:rsidR="004B0449" w:rsidRPr="007663CC" w:rsidRDefault="004B0449" w:rsidP="00F45DAD">
            <w:pPr>
              <w:spacing w:before="60" w:after="60"/>
              <w:rPr>
                <w:sz w:val="16"/>
                <w:szCs w:val="16"/>
              </w:rPr>
            </w:pPr>
            <w:r w:rsidRPr="007663CC">
              <w:rPr>
                <w:sz w:val="16"/>
                <w:szCs w:val="16"/>
              </w:rPr>
              <w:t>26</w:t>
            </w:r>
          </w:p>
        </w:tc>
        <w:tc>
          <w:tcPr>
            <w:tcW w:w="1056" w:type="dxa"/>
            <w:shd w:val="clear" w:color="auto" w:fill="auto"/>
          </w:tcPr>
          <w:p w:rsidR="004B0449" w:rsidRPr="007663CC" w:rsidRDefault="004B0449" w:rsidP="00F45DAD">
            <w:pPr>
              <w:spacing w:before="60" w:after="60"/>
              <w:rPr>
                <w:sz w:val="16"/>
                <w:szCs w:val="16"/>
              </w:rPr>
            </w:pPr>
            <w:r w:rsidRPr="007663CC">
              <w:rPr>
                <w:sz w:val="16"/>
                <w:szCs w:val="16"/>
              </w:rPr>
              <w:t>10</w:t>
            </w:r>
          </w:p>
        </w:tc>
        <w:tc>
          <w:tcPr>
            <w:tcW w:w="1056" w:type="dxa"/>
            <w:shd w:val="clear" w:color="auto" w:fill="auto"/>
          </w:tcPr>
          <w:p w:rsidR="004B0449" w:rsidRPr="007663CC" w:rsidRDefault="004B0449" w:rsidP="00F45DAD">
            <w:pPr>
              <w:spacing w:before="60" w:after="60"/>
              <w:rPr>
                <w:sz w:val="16"/>
                <w:szCs w:val="16"/>
              </w:rPr>
            </w:pPr>
            <w:r w:rsidRPr="007663CC">
              <w:rPr>
                <w:sz w:val="16"/>
                <w:szCs w:val="16"/>
              </w:rPr>
              <w:t>13</w:t>
            </w:r>
          </w:p>
        </w:tc>
        <w:tc>
          <w:tcPr>
            <w:tcW w:w="1056" w:type="dxa"/>
            <w:shd w:val="clear" w:color="auto" w:fill="auto"/>
          </w:tcPr>
          <w:p w:rsidR="004B0449" w:rsidRPr="007663CC" w:rsidRDefault="004B0449" w:rsidP="00F45DAD">
            <w:pPr>
              <w:spacing w:before="60" w:after="60"/>
              <w:rPr>
                <w:sz w:val="16"/>
                <w:szCs w:val="16"/>
              </w:rPr>
            </w:pPr>
            <w:r w:rsidRPr="007663CC">
              <w:rPr>
                <w:sz w:val="16"/>
                <w:szCs w:val="16"/>
              </w:rPr>
              <w:t>7</w:t>
            </w:r>
          </w:p>
        </w:tc>
        <w:tc>
          <w:tcPr>
            <w:tcW w:w="1056" w:type="dxa"/>
            <w:shd w:val="clear" w:color="auto" w:fill="auto"/>
          </w:tcPr>
          <w:p w:rsidR="004B0449" w:rsidRPr="007663CC" w:rsidRDefault="004B0449" w:rsidP="00F45DAD">
            <w:pPr>
              <w:spacing w:before="60" w:after="60"/>
              <w:rPr>
                <w:sz w:val="16"/>
                <w:szCs w:val="16"/>
              </w:rPr>
            </w:pPr>
            <w:r w:rsidRPr="007663CC">
              <w:rPr>
                <w:sz w:val="16"/>
                <w:szCs w:val="16"/>
              </w:rPr>
              <w:t>15</w:t>
            </w:r>
          </w:p>
        </w:tc>
        <w:tc>
          <w:tcPr>
            <w:tcW w:w="1063" w:type="dxa"/>
          </w:tcPr>
          <w:p w:rsidR="004B0449" w:rsidRPr="007663CC" w:rsidRDefault="004B0449" w:rsidP="00F45DAD">
            <w:pPr>
              <w:spacing w:before="60" w:after="60"/>
              <w:rPr>
                <w:sz w:val="16"/>
                <w:szCs w:val="16"/>
              </w:rPr>
            </w:pPr>
            <w:r w:rsidRPr="007663CC">
              <w:rPr>
                <w:sz w:val="16"/>
                <w:szCs w:val="16"/>
              </w:rPr>
              <w:t>54.2</w:t>
            </w:r>
          </w:p>
        </w:tc>
        <w:tc>
          <w:tcPr>
            <w:tcW w:w="1063" w:type="dxa"/>
          </w:tcPr>
          <w:p w:rsidR="004B0449" w:rsidRPr="007663CC" w:rsidRDefault="004B0449" w:rsidP="00F45DAD">
            <w:pPr>
              <w:spacing w:before="60" w:after="60"/>
              <w:rPr>
                <w:sz w:val="16"/>
                <w:szCs w:val="16"/>
              </w:rPr>
            </w:pPr>
            <w:r w:rsidRPr="007663CC">
              <w:rPr>
                <w:sz w:val="16"/>
                <w:szCs w:val="16"/>
              </w:rPr>
              <w:t>18</w:t>
            </w:r>
          </w:p>
        </w:tc>
        <w:tc>
          <w:tcPr>
            <w:tcW w:w="1063" w:type="dxa"/>
          </w:tcPr>
          <w:p w:rsidR="004B0449" w:rsidRPr="007663CC" w:rsidRDefault="004B0449" w:rsidP="00F45DAD">
            <w:pPr>
              <w:spacing w:before="60" w:after="60"/>
              <w:rPr>
                <w:sz w:val="16"/>
                <w:szCs w:val="16"/>
              </w:rPr>
            </w:pPr>
          </w:p>
        </w:tc>
        <w:tc>
          <w:tcPr>
            <w:tcW w:w="1063" w:type="dxa"/>
            <w:shd w:val="clear" w:color="auto" w:fill="auto"/>
          </w:tcPr>
          <w:p w:rsidR="004B0449" w:rsidRPr="007663CC" w:rsidRDefault="004B0449" w:rsidP="00F45DAD">
            <w:pPr>
              <w:spacing w:before="60" w:after="60"/>
              <w:rPr>
                <w:sz w:val="16"/>
                <w:szCs w:val="16"/>
              </w:rPr>
            </w:pPr>
            <w:r w:rsidRPr="007663CC">
              <w:rPr>
                <w:sz w:val="16"/>
                <w:szCs w:val="16"/>
              </w:rPr>
              <w:t>6</w:t>
            </w:r>
          </w:p>
        </w:tc>
        <w:tc>
          <w:tcPr>
            <w:tcW w:w="1056" w:type="dxa"/>
            <w:shd w:val="clear" w:color="auto" w:fill="auto"/>
          </w:tcPr>
          <w:p w:rsidR="004B0449" w:rsidRPr="007663CC" w:rsidRDefault="004B0449" w:rsidP="00F45DAD">
            <w:pPr>
              <w:spacing w:before="60" w:after="60"/>
              <w:rPr>
                <w:sz w:val="16"/>
                <w:szCs w:val="16"/>
              </w:rPr>
            </w:pPr>
          </w:p>
        </w:tc>
        <w:tc>
          <w:tcPr>
            <w:tcW w:w="1056" w:type="dxa"/>
            <w:shd w:val="clear" w:color="auto" w:fill="auto"/>
          </w:tcPr>
          <w:p w:rsidR="004B0449" w:rsidRPr="007663CC" w:rsidRDefault="004B0449" w:rsidP="00F45DAD">
            <w:pPr>
              <w:spacing w:before="60" w:after="60"/>
              <w:rPr>
                <w:sz w:val="16"/>
                <w:szCs w:val="16"/>
              </w:rPr>
            </w:pPr>
            <w:r w:rsidRPr="007663CC">
              <w:rPr>
                <w:sz w:val="16"/>
                <w:szCs w:val="16"/>
              </w:rPr>
              <w:t>18</w:t>
            </w:r>
          </w:p>
        </w:tc>
        <w:tc>
          <w:tcPr>
            <w:tcW w:w="1056" w:type="dxa"/>
            <w:shd w:val="clear" w:color="auto" w:fill="auto"/>
          </w:tcPr>
          <w:p w:rsidR="004B0449" w:rsidRPr="007663CC" w:rsidRDefault="004B0449" w:rsidP="00F45DAD">
            <w:pPr>
              <w:spacing w:before="60" w:after="60"/>
              <w:rPr>
                <w:sz w:val="16"/>
                <w:szCs w:val="16"/>
              </w:rPr>
            </w:pPr>
          </w:p>
        </w:tc>
        <w:tc>
          <w:tcPr>
            <w:tcW w:w="1056" w:type="dxa"/>
            <w:shd w:val="clear" w:color="auto" w:fill="auto"/>
          </w:tcPr>
          <w:p w:rsidR="004B0449" w:rsidRPr="007663CC" w:rsidRDefault="004B0449" w:rsidP="00F45DAD">
            <w:pPr>
              <w:spacing w:before="60" w:after="60"/>
              <w:rPr>
                <w:sz w:val="16"/>
                <w:szCs w:val="16"/>
              </w:rPr>
            </w:pPr>
            <w:r w:rsidRPr="007663CC">
              <w:rPr>
                <w:sz w:val="16"/>
                <w:szCs w:val="16"/>
              </w:rPr>
              <w:t>17.3</w:t>
            </w:r>
          </w:p>
        </w:tc>
      </w:tr>
      <w:tr w:rsidR="004B0449" w:rsidRPr="007663CC" w:rsidTr="00E35D0D">
        <w:trPr>
          <w:cantSplit/>
        </w:trPr>
        <w:tc>
          <w:tcPr>
            <w:tcW w:w="1101" w:type="dxa"/>
            <w:shd w:val="clear" w:color="auto" w:fill="auto"/>
          </w:tcPr>
          <w:p w:rsidR="004B0449" w:rsidRPr="007663CC" w:rsidRDefault="00020D0F" w:rsidP="00F45DAD">
            <w:pPr>
              <w:spacing w:before="60" w:after="60"/>
              <w:rPr>
                <w:sz w:val="16"/>
                <w:szCs w:val="16"/>
              </w:rPr>
            </w:pPr>
            <w:r>
              <w:rPr>
                <w:sz w:val="16"/>
                <w:szCs w:val="16"/>
              </w:rPr>
              <w:t xml:space="preserve">Most </w:t>
            </w:r>
            <w:r w:rsidR="00F45DAD">
              <w:rPr>
                <w:sz w:val="16"/>
                <w:szCs w:val="16"/>
              </w:rPr>
              <w:t xml:space="preserve">Senior </w:t>
            </w:r>
            <w:r w:rsidR="004B0449" w:rsidRPr="007663CC">
              <w:rPr>
                <w:sz w:val="16"/>
                <w:szCs w:val="16"/>
              </w:rPr>
              <w:t>Opp Whip</w:t>
            </w:r>
          </w:p>
        </w:tc>
        <w:tc>
          <w:tcPr>
            <w:tcW w:w="1013" w:type="dxa"/>
            <w:shd w:val="clear" w:color="auto" w:fill="auto"/>
          </w:tcPr>
          <w:p w:rsidR="004B0449" w:rsidRPr="007663CC" w:rsidRDefault="004B0449" w:rsidP="00F45DAD">
            <w:pPr>
              <w:spacing w:before="60" w:after="60"/>
              <w:rPr>
                <w:sz w:val="16"/>
                <w:szCs w:val="16"/>
              </w:rPr>
            </w:pPr>
            <w:r w:rsidRPr="007663CC">
              <w:rPr>
                <w:sz w:val="16"/>
                <w:szCs w:val="16"/>
              </w:rPr>
              <w:t>23</w:t>
            </w:r>
          </w:p>
        </w:tc>
        <w:tc>
          <w:tcPr>
            <w:tcW w:w="1056" w:type="dxa"/>
            <w:shd w:val="clear" w:color="auto" w:fill="auto"/>
          </w:tcPr>
          <w:p w:rsidR="004B0449" w:rsidRPr="007663CC" w:rsidRDefault="004B0449" w:rsidP="00F45DAD">
            <w:pPr>
              <w:spacing w:before="60" w:after="60"/>
              <w:rPr>
                <w:sz w:val="16"/>
                <w:szCs w:val="16"/>
              </w:rPr>
            </w:pPr>
            <w:r w:rsidRPr="007663CC">
              <w:rPr>
                <w:sz w:val="16"/>
                <w:szCs w:val="16"/>
              </w:rPr>
              <w:t>10</w:t>
            </w:r>
          </w:p>
        </w:tc>
        <w:tc>
          <w:tcPr>
            <w:tcW w:w="1056" w:type="dxa"/>
            <w:shd w:val="clear" w:color="auto" w:fill="auto"/>
          </w:tcPr>
          <w:p w:rsidR="004B0449" w:rsidRPr="007663CC" w:rsidRDefault="004B0449" w:rsidP="00F45DAD">
            <w:pPr>
              <w:spacing w:before="60" w:after="60"/>
              <w:rPr>
                <w:sz w:val="16"/>
                <w:szCs w:val="16"/>
              </w:rPr>
            </w:pPr>
            <w:r w:rsidRPr="007663CC">
              <w:rPr>
                <w:sz w:val="16"/>
                <w:szCs w:val="16"/>
              </w:rPr>
              <w:t>13</w:t>
            </w:r>
          </w:p>
        </w:tc>
        <w:tc>
          <w:tcPr>
            <w:tcW w:w="1056" w:type="dxa"/>
            <w:shd w:val="clear" w:color="auto" w:fill="auto"/>
          </w:tcPr>
          <w:p w:rsidR="004B0449" w:rsidRPr="007663CC" w:rsidRDefault="004B0449" w:rsidP="00F45DAD">
            <w:pPr>
              <w:spacing w:before="60" w:after="60"/>
              <w:rPr>
                <w:sz w:val="16"/>
                <w:szCs w:val="16"/>
              </w:rPr>
            </w:pPr>
            <w:r w:rsidRPr="007663CC">
              <w:rPr>
                <w:sz w:val="16"/>
                <w:szCs w:val="16"/>
              </w:rPr>
              <w:t>7</w:t>
            </w:r>
          </w:p>
        </w:tc>
        <w:tc>
          <w:tcPr>
            <w:tcW w:w="1056" w:type="dxa"/>
            <w:shd w:val="clear" w:color="auto" w:fill="auto"/>
          </w:tcPr>
          <w:p w:rsidR="004B0449" w:rsidRPr="007663CC" w:rsidRDefault="004B0449" w:rsidP="00F45DAD">
            <w:pPr>
              <w:spacing w:before="60" w:after="60"/>
              <w:rPr>
                <w:sz w:val="16"/>
                <w:szCs w:val="16"/>
              </w:rPr>
            </w:pPr>
            <w:r w:rsidRPr="007663CC">
              <w:rPr>
                <w:sz w:val="16"/>
                <w:szCs w:val="16"/>
              </w:rPr>
              <w:t>15</w:t>
            </w:r>
          </w:p>
        </w:tc>
        <w:tc>
          <w:tcPr>
            <w:tcW w:w="1063" w:type="dxa"/>
          </w:tcPr>
          <w:p w:rsidR="004B0449" w:rsidRPr="007663CC" w:rsidRDefault="004B0449" w:rsidP="00F45DAD">
            <w:pPr>
              <w:spacing w:before="60" w:after="60"/>
              <w:rPr>
                <w:sz w:val="16"/>
                <w:szCs w:val="16"/>
              </w:rPr>
            </w:pPr>
            <w:r w:rsidRPr="007663CC">
              <w:rPr>
                <w:sz w:val="16"/>
                <w:szCs w:val="16"/>
              </w:rPr>
              <w:t>23.2</w:t>
            </w:r>
          </w:p>
        </w:tc>
        <w:tc>
          <w:tcPr>
            <w:tcW w:w="1063" w:type="dxa"/>
          </w:tcPr>
          <w:p w:rsidR="004B0449" w:rsidRPr="007663CC" w:rsidRDefault="004B0449" w:rsidP="00F45DAD">
            <w:pPr>
              <w:spacing w:before="60" w:after="60"/>
              <w:rPr>
                <w:sz w:val="16"/>
                <w:szCs w:val="16"/>
              </w:rPr>
            </w:pPr>
            <w:r w:rsidRPr="007663CC">
              <w:rPr>
                <w:sz w:val="16"/>
                <w:szCs w:val="16"/>
              </w:rPr>
              <w:t>18</w:t>
            </w:r>
          </w:p>
        </w:tc>
        <w:tc>
          <w:tcPr>
            <w:tcW w:w="1063" w:type="dxa"/>
          </w:tcPr>
          <w:p w:rsidR="004B0449" w:rsidRPr="007663CC" w:rsidRDefault="004B0449" w:rsidP="00F45DAD">
            <w:pPr>
              <w:spacing w:before="60" w:after="60"/>
              <w:rPr>
                <w:sz w:val="16"/>
                <w:szCs w:val="16"/>
              </w:rPr>
            </w:pPr>
          </w:p>
        </w:tc>
        <w:tc>
          <w:tcPr>
            <w:tcW w:w="1063" w:type="dxa"/>
            <w:shd w:val="clear" w:color="auto" w:fill="auto"/>
          </w:tcPr>
          <w:p w:rsidR="004B0449" w:rsidRPr="007663CC" w:rsidRDefault="004B0449" w:rsidP="00F45DAD">
            <w:pPr>
              <w:spacing w:before="60" w:after="60"/>
              <w:rPr>
                <w:sz w:val="16"/>
                <w:szCs w:val="16"/>
              </w:rPr>
            </w:pPr>
            <w:r w:rsidRPr="007663CC">
              <w:rPr>
                <w:sz w:val="16"/>
                <w:szCs w:val="16"/>
              </w:rPr>
              <w:t>6</w:t>
            </w:r>
          </w:p>
        </w:tc>
        <w:tc>
          <w:tcPr>
            <w:tcW w:w="1056" w:type="dxa"/>
            <w:shd w:val="clear" w:color="auto" w:fill="auto"/>
          </w:tcPr>
          <w:p w:rsidR="004B0449" w:rsidRPr="007663CC" w:rsidRDefault="004B0449" w:rsidP="00F45DAD">
            <w:pPr>
              <w:spacing w:before="60" w:after="60"/>
              <w:rPr>
                <w:sz w:val="16"/>
                <w:szCs w:val="16"/>
              </w:rPr>
            </w:pPr>
          </w:p>
        </w:tc>
        <w:tc>
          <w:tcPr>
            <w:tcW w:w="1056" w:type="dxa"/>
            <w:shd w:val="clear" w:color="auto" w:fill="auto"/>
          </w:tcPr>
          <w:p w:rsidR="004B0449" w:rsidRPr="007663CC" w:rsidRDefault="004B0449" w:rsidP="00F45DAD">
            <w:pPr>
              <w:spacing w:before="60" w:after="60"/>
              <w:rPr>
                <w:sz w:val="16"/>
                <w:szCs w:val="16"/>
              </w:rPr>
            </w:pPr>
            <w:r w:rsidRPr="007663CC">
              <w:rPr>
                <w:sz w:val="16"/>
                <w:szCs w:val="16"/>
              </w:rPr>
              <w:t>11</w:t>
            </w:r>
          </w:p>
        </w:tc>
        <w:tc>
          <w:tcPr>
            <w:tcW w:w="1056" w:type="dxa"/>
            <w:shd w:val="clear" w:color="auto" w:fill="auto"/>
          </w:tcPr>
          <w:p w:rsidR="004B0449" w:rsidRPr="007663CC" w:rsidRDefault="004B0449" w:rsidP="00F45DAD">
            <w:pPr>
              <w:spacing w:before="60" w:after="60"/>
              <w:rPr>
                <w:sz w:val="16"/>
                <w:szCs w:val="16"/>
              </w:rPr>
            </w:pPr>
          </w:p>
        </w:tc>
        <w:tc>
          <w:tcPr>
            <w:tcW w:w="1056" w:type="dxa"/>
            <w:shd w:val="clear" w:color="auto" w:fill="auto"/>
          </w:tcPr>
          <w:p w:rsidR="004B0449" w:rsidRPr="007663CC" w:rsidRDefault="004B0449" w:rsidP="00F45DAD">
            <w:pPr>
              <w:spacing w:before="60" w:after="60"/>
              <w:rPr>
                <w:sz w:val="16"/>
                <w:szCs w:val="16"/>
              </w:rPr>
            </w:pPr>
            <w:r w:rsidRPr="007663CC">
              <w:rPr>
                <w:sz w:val="16"/>
                <w:szCs w:val="16"/>
              </w:rPr>
              <w:t>17.3</w:t>
            </w:r>
          </w:p>
        </w:tc>
      </w:tr>
    </w:tbl>
    <w:p w:rsidR="00FF483D" w:rsidRPr="00FF483D" w:rsidRDefault="00FF483D" w:rsidP="00F45DAD">
      <w:pPr>
        <w:spacing w:before="60" w:after="60"/>
        <w:jc w:val="both"/>
        <w:rPr>
          <w:lang w:val="en-US"/>
        </w:rPr>
      </w:pPr>
    </w:p>
    <w:p w:rsidR="00FF483D" w:rsidRPr="00FF483D" w:rsidRDefault="00FF483D" w:rsidP="00E62E58">
      <w:pPr>
        <w:jc w:val="both"/>
        <w:rPr>
          <w:lang w:val="en-US"/>
        </w:rPr>
        <w:sectPr w:rsidR="00FF483D" w:rsidRPr="00FF483D" w:rsidSect="00FF483D">
          <w:footerReference w:type="default" r:id="rId20"/>
          <w:pgSz w:w="16838" w:h="11906" w:orient="landscape"/>
          <w:pgMar w:top="1440" w:right="1440" w:bottom="1440" w:left="1440" w:header="708" w:footer="708" w:gutter="0"/>
          <w:cols w:space="708"/>
          <w:docGrid w:linePitch="360"/>
        </w:sectPr>
      </w:pPr>
    </w:p>
    <w:p w:rsidR="005C560E" w:rsidRDefault="005C560E" w:rsidP="00F324DE">
      <w:pPr>
        <w:pStyle w:val="textbasic"/>
      </w:pPr>
      <w:r>
        <w:lastRenderedPageBreak/>
        <w:t xml:space="preserve">As can be seen from Table </w:t>
      </w:r>
      <w:r w:rsidR="0033523C">
        <w:t>9</w:t>
      </w:r>
      <w:r w:rsidR="0064763B">
        <w:t>,</w:t>
      </w:r>
      <w:r>
        <w:t xml:space="preserve"> some jurisdictions provide for a specific expense</w:t>
      </w:r>
      <w:r w:rsidR="0064763B">
        <w:t>s</w:t>
      </w:r>
      <w:r>
        <w:t xml:space="preserve"> of office allowance as well as the defined amount of additional salary.</w:t>
      </w:r>
      <w:r w:rsidRPr="005C560E">
        <w:t xml:space="preserve"> </w:t>
      </w:r>
      <w:r w:rsidR="00B91C4D">
        <w:t>Some jurisdictions have a range of additional salary points for Ministers depending on seniority or the attachment of additional responsibility</w:t>
      </w:r>
      <w:r w:rsidR="0064763B">
        <w:t>,</w:t>
      </w:r>
      <w:r w:rsidR="00B91C4D">
        <w:t xml:space="preserve"> such as Leader for or Manager of Government Business in a House.</w:t>
      </w:r>
    </w:p>
    <w:p w:rsidR="00AF09C8" w:rsidRPr="00FF483D" w:rsidRDefault="005C560E" w:rsidP="00F324DE">
      <w:pPr>
        <w:pStyle w:val="textbasic"/>
      </w:pPr>
      <w:r w:rsidRPr="00FF483D">
        <w:t xml:space="preserve">Submissions </w:t>
      </w:r>
      <w:r w:rsidR="00284906">
        <w:t>were sought</w:t>
      </w:r>
      <w:r w:rsidRPr="00FF483D">
        <w:t xml:space="preserve"> as to whether or not the existing additional salary amounts </w:t>
      </w:r>
      <w:r w:rsidR="00CD22A4">
        <w:t xml:space="preserve">in </w:t>
      </w:r>
      <w:r w:rsidR="00AF5B7F">
        <w:t xml:space="preserve">Tasmania </w:t>
      </w:r>
      <w:r w:rsidRPr="00FF483D">
        <w:t>are appropriate.</w:t>
      </w:r>
      <w:r>
        <w:t xml:space="preserve">  </w:t>
      </w:r>
    </w:p>
    <w:p w:rsidR="00B91C4D" w:rsidRDefault="00FF483D" w:rsidP="00F324DE">
      <w:pPr>
        <w:pStyle w:val="textbasic"/>
      </w:pPr>
      <w:r w:rsidRPr="00FF483D">
        <w:t xml:space="preserve">One </w:t>
      </w:r>
      <w:r w:rsidR="0038643A">
        <w:t>relevant matter to</w:t>
      </w:r>
      <w:r w:rsidRPr="00FF483D">
        <w:t xml:space="preserve"> the Commission’s </w:t>
      </w:r>
      <w:r w:rsidR="0038643A" w:rsidRPr="00FF483D">
        <w:t xml:space="preserve">Inquiry </w:t>
      </w:r>
      <w:r w:rsidR="0038643A">
        <w:t>i</w:t>
      </w:r>
      <w:r w:rsidRPr="00FF483D">
        <w:t>s to consider if there are other offices of the Parliament that are currently not remunerated with additional salary</w:t>
      </w:r>
      <w:r w:rsidR="007F25E8">
        <w:rPr>
          <w:rStyle w:val="FootnoteReference"/>
        </w:rPr>
        <w:footnoteReference w:id="62"/>
      </w:r>
      <w:r w:rsidRPr="00FF483D">
        <w:t>.  Many of the other jurisdictions pay additional salary for other offices</w:t>
      </w:r>
      <w:r w:rsidR="005C560E">
        <w:t xml:space="preserve"> not remunerated in Tasmania</w:t>
      </w:r>
      <w:r w:rsidR="00B74A76">
        <w:t>, for example</w:t>
      </w:r>
      <w:r w:rsidR="00B91C4D">
        <w:t xml:space="preserve"> Parliamentary Secretary </w:t>
      </w:r>
      <w:r w:rsidR="00B74A76">
        <w:t>or</w:t>
      </w:r>
      <w:r w:rsidR="00B91C4D">
        <w:t xml:space="preserve"> Shadow Minister.  These ‘offices’</w:t>
      </w:r>
      <w:r w:rsidR="0064763B">
        <w:t>, however,</w:t>
      </w:r>
      <w:r w:rsidR="00B91C4D">
        <w:t xml:space="preserve"> are administrative constructions in Tasmania and not currently recognised in the Constitution or the </w:t>
      </w:r>
      <w:r w:rsidR="009C2293">
        <w:t>2012 Act</w:t>
      </w:r>
      <w:r w:rsidR="00B91C4D">
        <w:t xml:space="preserve"> – unlike the office of Secretary to Cabinet</w:t>
      </w:r>
      <w:r w:rsidR="0064763B">
        <w:t>,</w:t>
      </w:r>
      <w:r w:rsidR="00B91C4D">
        <w:t xml:space="preserve"> for instance</w:t>
      </w:r>
      <w:r w:rsidR="001175B8">
        <w:t>.</w:t>
      </w:r>
      <w:r w:rsidR="00B91C4D">
        <w:rPr>
          <w:rStyle w:val="FootnoteReference"/>
        </w:rPr>
        <w:footnoteReference w:id="63"/>
      </w:r>
    </w:p>
    <w:p w:rsidR="00FF483D" w:rsidRPr="007F25E8" w:rsidRDefault="00FF483D" w:rsidP="00F324DE">
      <w:pPr>
        <w:pStyle w:val="textbasic"/>
      </w:pPr>
      <w:r w:rsidRPr="007F25E8">
        <w:t>The reference</w:t>
      </w:r>
      <w:r w:rsidR="005C560E" w:rsidRPr="007F25E8">
        <w:t>s</w:t>
      </w:r>
      <w:r w:rsidRPr="007F25E8">
        <w:t xml:space="preserve"> cited </w:t>
      </w:r>
      <w:r w:rsidR="005C560E" w:rsidRPr="007F25E8">
        <w:t xml:space="preserve">for Table </w:t>
      </w:r>
      <w:r w:rsidR="0033523C">
        <w:t>9</w:t>
      </w:r>
      <w:r w:rsidR="005C560E" w:rsidRPr="007F25E8">
        <w:t xml:space="preserve"> provide sources of information about the type of offices that are paid additional salary in other jurisdictions, and the amount of that additional salary.</w:t>
      </w:r>
    </w:p>
    <w:p w:rsidR="005C560E" w:rsidRPr="007F25E8" w:rsidRDefault="005C560E" w:rsidP="00F324DE">
      <w:pPr>
        <w:pStyle w:val="textbasic"/>
      </w:pPr>
      <w:r w:rsidRPr="007F25E8">
        <w:t xml:space="preserve">Submissions </w:t>
      </w:r>
      <w:r w:rsidR="00284906" w:rsidRPr="007F25E8">
        <w:t>we</w:t>
      </w:r>
      <w:r w:rsidRPr="007F25E8">
        <w:t xml:space="preserve">re invited as to whether there are offices in Tasmania for which the payment of an additional salary amount </w:t>
      </w:r>
      <w:r w:rsidR="00B74A76" w:rsidRPr="007F25E8">
        <w:t>may</w:t>
      </w:r>
      <w:r w:rsidR="00B575E6">
        <w:t xml:space="preserve"> </w:t>
      </w:r>
      <w:r w:rsidR="00B74A76" w:rsidRPr="007F25E8">
        <w:t>be</w:t>
      </w:r>
      <w:r w:rsidRPr="007F25E8">
        <w:t xml:space="preserve"> appropriate, but for which additional salary is not currently provided.  </w:t>
      </w:r>
    </w:p>
    <w:p w:rsidR="00284906" w:rsidRPr="007F25E8" w:rsidRDefault="00F455A9" w:rsidP="00F324DE">
      <w:pPr>
        <w:pStyle w:val="textbasic"/>
      </w:pPr>
      <w:r w:rsidRPr="007F25E8">
        <w:t>There was only one submission</w:t>
      </w:r>
      <w:r w:rsidR="007F25E8" w:rsidRPr="007F25E8">
        <w:t xml:space="preserve">, from </w:t>
      </w:r>
      <w:r w:rsidRPr="007F25E8">
        <w:rPr>
          <w:b/>
        </w:rPr>
        <w:t>Mr Lindsay</w:t>
      </w:r>
      <w:r w:rsidR="007F25E8" w:rsidRPr="007F25E8">
        <w:rPr>
          <w:b/>
        </w:rPr>
        <w:t>,</w:t>
      </w:r>
      <w:r w:rsidRPr="007F25E8">
        <w:t xml:space="preserve"> </w:t>
      </w:r>
      <w:r w:rsidR="00284906" w:rsidRPr="007F25E8">
        <w:t>which addresse</w:t>
      </w:r>
      <w:r w:rsidR="00B575E6">
        <w:t>s</w:t>
      </w:r>
      <w:r w:rsidR="00284906" w:rsidRPr="007F25E8">
        <w:t xml:space="preserve"> the adequacy or otherwise of the current additional salary levels</w:t>
      </w:r>
      <w:r w:rsidRPr="007F25E8">
        <w:t xml:space="preserve">. </w:t>
      </w:r>
      <w:r w:rsidR="00284906" w:rsidRPr="007F25E8">
        <w:t xml:space="preserve"> </w:t>
      </w:r>
      <w:r w:rsidRPr="007F25E8">
        <w:t xml:space="preserve">There </w:t>
      </w:r>
      <w:r w:rsidR="00B575E6">
        <w:t>i</w:t>
      </w:r>
      <w:r w:rsidRPr="007F25E8">
        <w:t>s no submission that suggest</w:t>
      </w:r>
      <w:r w:rsidR="00B575E6">
        <w:t>s</w:t>
      </w:r>
      <w:r w:rsidRPr="007F25E8">
        <w:t xml:space="preserve"> </w:t>
      </w:r>
      <w:r w:rsidR="00284906" w:rsidRPr="007F25E8">
        <w:t xml:space="preserve">there are any other offices </w:t>
      </w:r>
      <w:r w:rsidR="00B575E6">
        <w:t xml:space="preserve">currently </w:t>
      </w:r>
      <w:r w:rsidR="00B575E6" w:rsidRPr="007F25E8">
        <w:t xml:space="preserve">not </w:t>
      </w:r>
      <w:r w:rsidR="00284906" w:rsidRPr="007F25E8">
        <w:t>remunerated with additional salary which should be included.</w:t>
      </w:r>
    </w:p>
    <w:p w:rsidR="00501E11" w:rsidRDefault="00F455A9" w:rsidP="00F324DE">
      <w:pPr>
        <w:pStyle w:val="textbasic"/>
      </w:pPr>
      <w:r w:rsidRPr="007F25E8">
        <w:rPr>
          <w:b/>
        </w:rPr>
        <w:t>Mr Lindsay</w:t>
      </w:r>
      <w:r w:rsidRPr="007F25E8">
        <w:t xml:space="preserve"> </w:t>
      </w:r>
      <w:r w:rsidR="00B575E6">
        <w:t>i</w:t>
      </w:r>
      <w:r w:rsidRPr="007F25E8">
        <w:t xml:space="preserve">s concerned that there </w:t>
      </w:r>
      <w:r w:rsidR="00B575E6">
        <w:t>i</w:t>
      </w:r>
      <w:r w:rsidRPr="007F25E8">
        <w:t>s no justification, as far as he could ascertain, for the payment of additional salaries</w:t>
      </w:r>
      <w:r w:rsidR="0064763B">
        <w:t xml:space="preserve"> -</w:t>
      </w:r>
      <w:r w:rsidRPr="007F25E8">
        <w:t xml:space="preserve"> for example</w:t>
      </w:r>
      <w:r w:rsidR="0064763B">
        <w:t>,</w:t>
      </w:r>
      <w:r w:rsidRPr="007F25E8">
        <w:t xml:space="preserve"> what were the duties and responsibilities of a </w:t>
      </w:r>
      <w:r w:rsidR="00B575E6" w:rsidRPr="007F25E8">
        <w:t xml:space="preserve">Deputy </w:t>
      </w:r>
      <w:r w:rsidRPr="007F25E8">
        <w:t>Premier that led the incumbent of that office to be paid an additional salary of $99 085 pa.  He also question</w:t>
      </w:r>
      <w:r w:rsidR="00B575E6">
        <w:t>s:</w:t>
      </w:r>
      <w:r w:rsidRPr="007F25E8">
        <w:t xml:space="preserve"> </w:t>
      </w:r>
    </w:p>
    <w:p w:rsidR="00F455A9" w:rsidRPr="007F25E8" w:rsidRDefault="00F455A9" w:rsidP="00501E11">
      <w:pPr>
        <w:pStyle w:val="quoteitalics1"/>
      </w:pPr>
      <w:r w:rsidRPr="007F25E8">
        <w:t>“</w:t>
      </w:r>
      <w:r w:rsidR="00501E11">
        <w:tab/>
      </w:r>
      <w:r w:rsidR="00E86B39">
        <w:t>W</w:t>
      </w:r>
      <w:r w:rsidRPr="007F25E8">
        <w:t xml:space="preserve">hy </w:t>
      </w:r>
      <w:r w:rsidR="005A5562" w:rsidRPr="007F25E8">
        <w:t xml:space="preserve">should </w:t>
      </w:r>
      <w:r w:rsidRPr="007F25E8">
        <w:t xml:space="preserve">whips receive additional salary when their work is for the </w:t>
      </w:r>
      <w:r w:rsidR="005A5562" w:rsidRPr="007F25E8">
        <w:t>benefit</w:t>
      </w:r>
      <w:r w:rsidRPr="007F25E8">
        <w:t xml:space="preserve"> of a political party rather than a House </w:t>
      </w:r>
      <w:r w:rsidR="00E86B39" w:rsidRPr="00E86B39">
        <w:rPr>
          <w:i w:val="0"/>
        </w:rPr>
        <w:t>[</w:t>
      </w:r>
      <w:r w:rsidRPr="00E86B39">
        <w:rPr>
          <w:i w:val="0"/>
        </w:rPr>
        <w:t>of Parliament</w:t>
      </w:r>
      <w:r w:rsidR="00E86B39" w:rsidRPr="00E86B39">
        <w:rPr>
          <w:i w:val="0"/>
        </w:rPr>
        <w:t>]</w:t>
      </w:r>
      <w:r w:rsidRPr="007F25E8">
        <w:t xml:space="preserve"> per se?”</w:t>
      </w:r>
    </w:p>
    <w:p w:rsidR="00284906" w:rsidRPr="007F25E8" w:rsidRDefault="00284906" w:rsidP="00F324DE">
      <w:pPr>
        <w:pStyle w:val="textbasic"/>
      </w:pPr>
      <w:r w:rsidRPr="007F25E8">
        <w:t xml:space="preserve">An analysis of </w:t>
      </w:r>
      <w:r w:rsidR="00501E11">
        <w:t xml:space="preserve">the information presented in </w:t>
      </w:r>
      <w:r w:rsidR="007F25E8" w:rsidRPr="007F25E8">
        <w:t xml:space="preserve">Table </w:t>
      </w:r>
      <w:r w:rsidR="00501E11">
        <w:t>9</w:t>
      </w:r>
      <w:r w:rsidRPr="007F25E8">
        <w:t xml:space="preserve"> suggests that the level of additional salary for most of the offices is broadly consistent with </w:t>
      </w:r>
      <w:r w:rsidR="007F25E8">
        <w:t xml:space="preserve">similar loadings paid in </w:t>
      </w:r>
      <w:r w:rsidRPr="007F25E8">
        <w:t>the other Australian parliaments.</w:t>
      </w:r>
    </w:p>
    <w:p w:rsidR="00284906" w:rsidRPr="007F25E8" w:rsidRDefault="00284906" w:rsidP="00F324DE">
      <w:pPr>
        <w:pStyle w:val="textbasic"/>
      </w:pPr>
      <w:r w:rsidRPr="007F25E8">
        <w:t>There are however two exceptions</w:t>
      </w:r>
      <w:r w:rsidR="00B575E6">
        <w:t>,</w:t>
      </w:r>
      <w:r w:rsidRPr="007F25E8">
        <w:t xml:space="preserve"> being the President of the </w:t>
      </w:r>
      <w:r w:rsidR="00C03939" w:rsidRPr="007F25E8">
        <w:t xml:space="preserve">Legislative </w:t>
      </w:r>
      <w:r w:rsidRPr="007F25E8">
        <w:t>Council and the Speaker of the House of Assembly. Both offices attract an additional salary of 35 per cent whereas the additional loading in the other jurisdictions is more closely aligned with that of Ministers.</w:t>
      </w:r>
    </w:p>
    <w:p w:rsidR="00284906" w:rsidRPr="007F25E8" w:rsidRDefault="00284906" w:rsidP="00F324DE">
      <w:pPr>
        <w:pStyle w:val="textbasic"/>
      </w:pPr>
      <w:r w:rsidRPr="007F25E8">
        <w:t>We note that</w:t>
      </w:r>
      <w:r w:rsidR="0064763B">
        <w:t>,</w:t>
      </w:r>
      <w:r w:rsidRPr="007F25E8">
        <w:t xml:space="preserve"> for the purposes of the Financial Management Bill 2015</w:t>
      </w:r>
      <w:r w:rsidR="006872D7">
        <w:rPr>
          <w:rStyle w:val="FootnoteReference"/>
        </w:rPr>
        <w:footnoteReference w:id="64"/>
      </w:r>
      <w:r w:rsidRPr="007F25E8">
        <w:t xml:space="preserve">, both the </w:t>
      </w:r>
      <w:r w:rsidR="00501E11" w:rsidRPr="007F25E8">
        <w:t xml:space="preserve">President </w:t>
      </w:r>
      <w:r w:rsidRPr="007F25E8">
        <w:t xml:space="preserve">and the </w:t>
      </w:r>
      <w:r w:rsidR="00501E11" w:rsidRPr="007F25E8">
        <w:t xml:space="preserve">Speaker </w:t>
      </w:r>
      <w:r w:rsidRPr="007F25E8">
        <w:t xml:space="preserve">are deemed to be the </w:t>
      </w:r>
      <w:r w:rsidRPr="00501E11">
        <w:t>“</w:t>
      </w:r>
      <w:r w:rsidRPr="007F25E8">
        <w:t>appropriate Minis</w:t>
      </w:r>
      <w:r w:rsidR="00501E11">
        <w:t>ter” for their respective House</w:t>
      </w:r>
      <w:r w:rsidRPr="007F25E8">
        <w:t xml:space="preserve"> of Parliament. In the absence of more information as to the additional responsibilities of these two offices, it would be unsafe to propose any change at this point. We do</w:t>
      </w:r>
      <w:r w:rsidR="0064763B">
        <w:t>,</w:t>
      </w:r>
      <w:r w:rsidRPr="007F25E8">
        <w:t xml:space="preserve"> however</w:t>
      </w:r>
      <w:r w:rsidR="0064763B">
        <w:t>,</w:t>
      </w:r>
      <w:r w:rsidRPr="007F25E8">
        <w:t xml:space="preserve"> flag that there appears to be a prima facie case for a consideration of the additional </w:t>
      </w:r>
      <w:r w:rsidR="00C03939" w:rsidRPr="007F25E8">
        <w:t>salary</w:t>
      </w:r>
      <w:r w:rsidRPr="007F25E8">
        <w:t xml:space="preserve"> paid to these two offices during the 2017-18 review.</w:t>
      </w:r>
    </w:p>
    <w:p w:rsidR="00E21AA7" w:rsidRPr="00FB43A8" w:rsidRDefault="005A5562" w:rsidP="00F324DE">
      <w:pPr>
        <w:pStyle w:val="textbasic"/>
        <w:rPr>
          <w:lang w:eastAsia="en-AU"/>
        </w:rPr>
      </w:pPr>
      <w:r w:rsidRPr="007F25E8">
        <w:lastRenderedPageBreak/>
        <w:t>In relation to the office of Whip, we note that</w:t>
      </w:r>
      <w:r w:rsidR="0064763B">
        <w:t>,</w:t>
      </w:r>
      <w:r w:rsidRPr="007F25E8">
        <w:t xml:space="preserve"> although there are </w:t>
      </w:r>
      <w:r w:rsidRPr="007F25E8">
        <w:rPr>
          <w:lang w:eastAsia="en-AU"/>
        </w:rPr>
        <w:t>both Government and Opposition Whips</w:t>
      </w:r>
      <w:r w:rsidRPr="007F25E8">
        <w:rPr>
          <w:rFonts w:cs="Trebuchet-BoldItalic"/>
          <w:bCs/>
          <w:iCs/>
          <w:lang w:eastAsia="en-AU"/>
        </w:rPr>
        <w:t xml:space="preserve"> and </w:t>
      </w:r>
      <w:r w:rsidR="007F25E8" w:rsidRPr="007F25E8">
        <w:rPr>
          <w:rFonts w:cs="Trebuchet-BoldItalic"/>
          <w:bCs/>
          <w:iCs/>
          <w:lang w:eastAsia="en-AU"/>
        </w:rPr>
        <w:t xml:space="preserve">that </w:t>
      </w:r>
      <w:r w:rsidRPr="007F25E8">
        <w:rPr>
          <w:rFonts w:cs="Trebuchet-BoldItalic"/>
          <w:bCs/>
          <w:iCs/>
          <w:lang w:eastAsia="en-AU"/>
        </w:rPr>
        <w:t xml:space="preserve">they may be seen as </w:t>
      </w:r>
      <w:r w:rsidRPr="007F25E8">
        <w:rPr>
          <w:lang w:eastAsia="en-AU"/>
        </w:rPr>
        <w:t>political party managers</w:t>
      </w:r>
      <w:r w:rsidRPr="007F25E8">
        <w:rPr>
          <w:rFonts w:cs="Trebuchet-BoldItalic"/>
          <w:bCs/>
          <w:iCs/>
          <w:lang w:eastAsia="en-AU"/>
        </w:rPr>
        <w:t xml:space="preserve">, </w:t>
      </w:r>
      <w:r w:rsidRPr="007F25E8">
        <w:rPr>
          <w:lang w:eastAsia="en-AU"/>
        </w:rPr>
        <w:t xml:space="preserve">Whips do have important roles in relation to the </w:t>
      </w:r>
      <w:r w:rsidR="007F25E8" w:rsidRPr="007F25E8">
        <w:rPr>
          <w:lang w:eastAsia="en-AU"/>
        </w:rPr>
        <w:t>proper</w:t>
      </w:r>
      <w:r w:rsidRPr="007F25E8">
        <w:rPr>
          <w:lang w:eastAsia="en-AU"/>
        </w:rPr>
        <w:t xml:space="preserve"> administration of the Parliament.  They make sure that</w:t>
      </w:r>
      <w:r w:rsidR="0064763B">
        <w:rPr>
          <w:lang w:eastAsia="en-AU"/>
        </w:rPr>
        <w:t>,</w:t>
      </w:r>
      <w:r w:rsidRPr="007F25E8">
        <w:rPr>
          <w:lang w:eastAsia="en-AU"/>
        </w:rPr>
        <w:t xml:space="preserve"> wh</w:t>
      </w:r>
      <w:r w:rsidR="00E21AA7">
        <w:rPr>
          <w:lang w:eastAsia="en-AU"/>
        </w:rPr>
        <w:t>en a vote is taken in the House</w:t>
      </w:r>
      <w:r w:rsidR="0064763B">
        <w:rPr>
          <w:lang w:eastAsia="en-AU"/>
        </w:rPr>
        <w:t>,</w:t>
      </w:r>
      <w:r w:rsidRPr="007F25E8">
        <w:rPr>
          <w:lang w:eastAsia="en-AU"/>
        </w:rPr>
        <w:t xml:space="preserve"> all their party </w:t>
      </w:r>
      <w:r w:rsidR="001175B8">
        <w:rPr>
          <w:lang w:eastAsia="en-AU"/>
        </w:rPr>
        <w:t>m</w:t>
      </w:r>
      <w:r w:rsidRPr="007F25E8">
        <w:rPr>
          <w:lang w:eastAsia="en-AU"/>
        </w:rPr>
        <w:t xml:space="preserve">embers are present in the chamber for the vote. The Whips make </w:t>
      </w:r>
      <w:r w:rsidRPr="00FB43A8">
        <w:rPr>
          <w:lang w:eastAsia="en-AU"/>
        </w:rPr>
        <w:t xml:space="preserve">sure that their party </w:t>
      </w:r>
      <w:r w:rsidR="001175B8" w:rsidRPr="00FB43A8">
        <w:rPr>
          <w:lang w:eastAsia="en-AU"/>
        </w:rPr>
        <w:t>m</w:t>
      </w:r>
      <w:r w:rsidRPr="00FB43A8">
        <w:rPr>
          <w:lang w:eastAsia="en-AU"/>
        </w:rPr>
        <w:t>embers know what is going to take place in the Chamber each day</w:t>
      </w:r>
      <w:r w:rsidR="00E21AA7" w:rsidRPr="00FB43A8">
        <w:rPr>
          <w:lang w:eastAsia="en-AU"/>
        </w:rPr>
        <w:t xml:space="preserve"> and</w:t>
      </w:r>
      <w:r w:rsidRPr="00FB43A8">
        <w:rPr>
          <w:lang w:eastAsia="en-AU"/>
        </w:rPr>
        <w:t xml:space="preserve"> </w:t>
      </w:r>
      <w:r w:rsidR="0064763B" w:rsidRPr="00FB43A8">
        <w:rPr>
          <w:lang w:eastAsia="en-AU"/>
        </w:rPr>
        <w:t xml:space="preserve">may </w:t>
      </w:r>
      <w:r w:rsidR="00E21AA7" w:rsidRPr="00FB43A8">
        <w:t xml:space="preserve">inform members of their Party of the rosters for attendance in the Chamber. </w:t>
      </w:r>
      <w:r w:rsidR="00E21AA7" w:rsidRPr="00FB43A8">
        <w:rPr>
          <w:lang w:eastAsia="en-AU"/>
        </w:rPr>
        <w:t xml:space="preserve"> They </w:t>
      </w:r>
      <w:r w:rsidRPr="00FB43A8">
        <w:rPr>
          <w:lang w:eastAsia="en-AU"/>
        </w:rPr>
        <w:t xml:space="preserve">arrange for their Members to take part in debates and they may assist with the nomination of their party Members to be on parliamentary committees.  </w:t>
      </w:r>
    </w:p>
    <w:p w:rsidR="00E21AA7" w:rsidRPr="00E21AA7" w:rsidRDefault="00E21AA7" w:rsidP="00E21AA7">
      <w:pPr>
        <w:pStyle w:val="textbasic"/>
      </w:pPr>
      <w:r w:rsidRPr="00FB43A8">
        <w:t>Away from the Chamber, the role of a Whip is similar to that of a committee secretary.  Whips organise meetings of their parliamentary party in consultation with the leaders; arrange for the distribution of relevant papers; act as the conduit for communication between the leaders and backbenchers; and arrange meeting venues and accommodation when Party meetings are held away from the Parliament.  There is also likely to be an administrative role such as the filing and preparation of correspondence arising from Parliamentary Party meetings.</w:t>
      </w:r>
    </w:p>
    <w:p w:rsidR="00F455A9" w:rsidRPr="007F25E8" w:rsidRDefault="005A5562" w:rsidP="00F324DE">
      <w:pPr>
        <w:pStyle w:val="textbasic"/>
        <w:rPr>
          <w:lang w:eastAsia="en-AU"/>
        </w:rPr>
      </w:pPr>
      <w:r w:rsidRPr="007F25E8">
        <w:rPr>
          <w:lang w:eastAsia="en-AU"/>
        </w:rPr>
        <w:t>All jurisdictions recognise the Whip role with a salary loading.</w:t>
      </w:r>
    </w:p>
    <w:p w:rsidR="005E2475" w:rsidRPr="007F25E8" w:rsidRDefault="005E2475" w:rsidP="00F324DE">
      <w:pPr>
        <w:pStyle w:val="textbasic"/>
        <w:rPr>
          <w:rFonts w:cs="Trebuchet-BoldItalic"/>
          <w:bCs/>
          <w:iCs/>
          <w:lang w:eastAsia="en-AU"/>
        </w:rPr>
      </w:pPr>
      <w:r w:rsidRPr="007F25E8">
        <w:rPr>
          <w:lang w:eastAsia="en-AU"/>
        </w:rPr>
        <w:t xml:space="preserve">We also consider that the Deputy Premier, who is a senior Minister with additional responsibility to act as the Premier when he or she is unavailable to do so, is appropriately </w:t>
      </w:r>
      <w:r w:rsidR="00B575E6" w:rsidRPr="007F25E8">
        <w:rPr>
          <w:lang w:eastAsia="en-AU"/>
        </w:rPr>
        <w:t xml:space="preserve">paid </w:t>
      </w:r>
      <w:r w:rsidRPr="007F25E8">
        <w:rPr>
          <w:lang w:eastAsia="en-AU"/>
        </w:rPr>
        <w:t>a higher additional salary (ie an extra 15% of basic salary) than other Ministers</w:t>
      </w:r>
      <w:r w:rsidR="00816660" w:rsidRPr="007F25E8">
        <w:rPr>
          <w:lang w:eastAsia="en-AU"/>
        </w:rPr>
        <w:t xml:space="preserve">, who receive an additional salary of 70% </w:t>
      </w:r>
      <w:r w:rsidR="0064763B">
        <w:rPr>
          <w:lang w:eastAsia="en-AU"/>
        </w:rPr>
        <w:t xml:space="preserve">of </w:t>
      </w:r>
      <w:r w:rsidR="00816660" w:rsidRPr="007F25E8">
        <w:rPr>
          <w:lang w:eastAsia="en-AU"/>
        </w:rPr>
        <w:t>the basic salary.</w:t>
      </w:r>
    </w:p>
    <w:p w:rsidR="00284906" w:rsidRDefault="00C03939" w:rsidP="00CC5844">
      <w:pPr>
        <w:pStyle w:val="Heading2"/>
      </w:pPr>
      <w:bookmarkStart w:id="56" w:name="_Toc443486930"/>
      <w:r>
        <w:t>7.2</w:t>
      </w:r>
      <w:r>
        <w:tab/>
      </w:r>
      <w:r w:rsidR="00284906">
        <w:t>Recommendation</w:t>
      </w:r>
      <w:bookmarkEnd w:id="56"/>
    </w:p>
    <w:p w:rsidR="00284906" w:rsidRPr="006872D7" w:rsidRDefault="00C03939" w:rsidP="00F324DE">
      <w:pPr>
        <w:pStyle w:val="textbasic"/>
      </w:pPr>
      <w:r w:rsidRPr="006872D7">
        <w:t>We recommend that</w:t>
      </w:r>
      <w:r w:rsidR="001175B8">
        <w:t>:</w:t>
      </w:r>
    </w:p>
    <w:p w:rsidR="00C03939" w:rsidRPr="006872D7" w:rsidRDefault="0033523C" w:rsidP="0033523C">
      <w:pPr>
        <w:pStyle w:val="texti"/>
        <w:rPr>
          <w:b/>
          <w:lang w:val="en-US"/>
        </w:rPr>
      </w:pPr>
      <w:r w:rsidRPr="006872D7">
        <w:rPr>
          <w:b/>
          <w:lang w:val="en-US"/>
        </w:rPr>
        <w:t>(</w:t>
      </w:r>
      <w:r w:rsidR="005408E6">
        <w:rPr>
          <w:b/>
          <w:lang w:val="en-US"/>
        </w:rPr>
        <w:t>4</w:t>
      </w:r>
      <w:r w:rsidRPr="006872D7">
        <w:rPr>
          <w:b/>
          <w:lang w:val="en-US"/>
        </w:rPr>
        <w:t>)</w:t>
      </w:r>
      <w:r w:rsidRPr="006872D7">
        <w:rPr>
          <w:b/>
          <w:lang w:val="en-US"/>
        </w:rPr>
        <w:tab/>
      </w:r>
      <w:r w:rsidR="001175B8" w:rsidRPr="006872D7">
        <w:rPr>
          <w:b/>
          <w:lang w:val="en-US"/>
        </w:rPr>
        <w:t xml:space="preserve">The </w:t>
      </w:r>
      <w:r w:rsidR="00C03939" w:rsidRPr="006872D7">
        <w:rPr>
          <w:b/>
          <w:lang w:val="en-US"/>
        </w:rPr>
        <w:t>current amounts of additional salary</w:t>
      </w:r>
      <w:r w:rsidR="0064763B">
        <w:rPr>
          <w:b/>
          <w:lang w:val="en-US"/>
        </w:rPr>
        <w:t>,</w:t>
      </w:r>
      <w:r w:rsidR="00C03939" w:rsidRPr="006872D7">
        <w:rPr>
          <w:b/>
          <w:lang w:val="en-US"/>
        </w:rPr>
        <w:t xml:space="preserve"> defined as percentages of the basic salary which are specified in the 2012 Act</w:t>
      </w:r>
      <w:r w:rsidR="0064763B">
        <w:rPr>
          <w:b/>
          <w:lang w:val="en-US"/>
        </w:rPr>
        <w:t>,</w:t>
      </w:r>
      <w:r w:rsidR="00C03939" w:rsidRPr="006872D7">
        <w:rPr>
          <w:b/>
          <w:lang w:val="en-US"/>
        </w:rPr>
        <w:t xml:space="preserve"> continue and be unchanged for the period of the 2016 Determination, ie from 1 July 2016 until 30 June 2018</w:t>
      </w:r>
      <w:r w:rsidR="001175B8">
        <w:rPr>
          <w:b/>
          <w:lang w:val="en-US"/>
        </w:rPr>
        <w:t>.</w:t>
      </w:r>
    </w:p>
    <w:p w:rsidR="00C03939" w:rsidRPr="006872D7" w:rsidRDefault="0033523C" w:rsidP="0033523C">
      <w:pPr>
        <w:pStyle w:val="texti"/>
        <w:rPr>
          <w:b/>
          <w:lang w:val="en-US"/>
        </w:rPr>
      </w:pPr>
      <w:r w:rsidRPr="006872D7">
        <w:rPr>
          <w:b/>
          <w:lang w:val="en-US"/>
        </w:rPr>
        <w:t>(</w:t>
      </w:r>
      <w:r w:rsidR="005408E6">
        <w:rPr>
          <w:b/>
          <w:lang w:val="en-US"/>
        </w:rPr>
        <w:t>5</w:t>
      </w:r>
      <w:r w:rsidRPr="006872D7">
        <w:rPr>
          <w:b/>
          <w:lang w:val="en-US"/>
        </w:rPr>
        <w:t>)</w:t>
      </w:r>
      <w:r w:rsidRPr="006872D7">
        <w:rPr>
          <w:b/>
          <w:lang w:val="en-US"/>
        </w:rPr>
        <w:tab/>
      </w:r>
      <w:r w:rsidR="001175B8" w:rsidRPr="006872D7">
        <w:rPr>
          <w:b/>
          <w:lang w:val="en-US"/>
        </w:rPr>
        <w:t xml:space="preserve">As </w:t>
      </w:r>
      <w:r w:rsidR="00C03939" w:rsidRPr="006872D7">
        <w:rPr>
          <w:b/>
          <w:lang w:val="en-US"/>
        </w:rPr>
        <w:t xml:space="preserve">part of the 2017-18 </w:t>
      </w:r>
      <w:r w:rsidR="00A129FF">
        <w:rPr>
          <w:b/>
          <w:lang w:val="en-US"/>
        </w:rPr>
        <w:t>Inquiry by the Commission</w:t>
      </w:r>
      <w:r w:rsidR="00C03939" w:rsidRPr="006872D7">
        <w:rPr>
          <w:b/>
          <w:lang w:val="en-US"/>
        </w:rPr>
        <w:t>, the quantum of additional salary paid in relation to the offices of President of the Legislative Council and Speaker of the House of Assembly be considered in particular.</w:t>
      </w:r>
    </w:p>
    <w:p w:rsidR="004E3456" w:rsidRDefault="00870928" w:rsidP="00F700FC">
      <w:pPr>
        <w:pStyle w:val="Heading1"/>
      </w:pPr>
      <w:bookmarkStart w:id="57" w:name="_Toc443486931"/>
      <w:r>
        <w:t>8</w:t>
      </w:r>
      <w:r>
        <w:tab/>
      </w:r>
      <w:r w:rsidR="004E3456">
        <w:t>Motor Vehicle Allowance</w:t>
      </w:r>
      <w:bookmarkEnd w:id="57"/>
    </w:p>
    <w:p w:rsidR="004E3456" w:rsidRPr="00B91C4D" w:rsidRDefault="00115BDA" w:rsidP="00CC5844">
      <w:pPr>
        <w:pStyle w:val="Heading2"/>
      </w:pPr>
      <w:bookmarkStart w:id="58" w:name="_Toc443486932"/>
      <w:r>
        <w:t>8.1</w:t>
      </w:r>
      <w:r>
        <w:tab/>
      </w:r>
      <w:r w:rsidR="00EC1A81">
        <w:t>Information</w:t>
      </w:r>
      <w:bookmarkEnd w:id="58"/>
    </w:p>
    <w:p w:rsidR="00115BDA" w:rsidRDefault="00115BDA" w:rsidP="00F324DE">
      <w:pPr>
        <w:pStyle w:val="textbasic"/>
      </w:pPr>
      <w:r>
        <w:t>Under the 2012 Act, e</w:t>
      </w:r>
      <w:r w:rsidR="006636AA" w:rsidRPr="006636AA">
        <w:t xml:space="preserve">ach MP is entitled to be paid a </w:t>
      </w:r>
      <w:r w:rsidRPr="00115BDA">
        <w:t xml:space="preserve">Motor </w:t>
      </w:r>
      <w:r w:rsidR="006636AA" w:rsidRPr="006636AA">
        <w:t>Vehicle Allowance of $15</w:t>
      </w:r>
      <w:r w:rsidR="006636AA">
        <w:t xml:space="preserve"> 3</w:t>
      </w:r>
      <w:r w:rsidR="006636AA" w:rsidRPr="006636AA">
        <w:t>05 pa</w:t>
      </w:r>
      <w:r w:rsidR="001175B8">
        <w:t>.</w:t>
      </w:r>
      <w:r w:rsidR="006636AA">
        <w:rPr>
          <w:rStyle w:val="FootnoteReference"/>
        </w:rPr>
        <w:footnoteReference w:id="65"/>
      </w:r>
    </w:p>
    <w:p w:rsidR="006636AA" w:rsidRDefault="00B575E6" w:rsidP="00F324DE">
      <w:pPr>
        <w:pStyle w:val="textbasic"/>
      </w:pPr>
      <w:r>
        <w:t>However</w:t>
      </w:r>
      <w:r w:rsidR="0064763B">
        <w:t>,</w:t>
      </w:r>
      <w:r>
        <w:t xml:space="preserve"> </w:t>
      </w:r>
      <w:r w:rsidR="00115BDA">
        <w:t>MPs</w:t>
      </w:r>
      <w:r w:rsidR="006636AA" w:rsidRPr="006636AA">
        <w:t xml:space="preserve"> may elect, in lieu of the Allowance, to be p</w:t>
      </w:r>
      <w:r>
        <w:t>rovided with a fully maintained</w:t>
      </w:r>
      <w:r w:rsidR="006636AA" w:rsidRPr="006636AA">
        <w:t xml:space="preserve"> </w:t>
      </w:r>
      <w:r w:rsidR="0064763B">
        <w:br/>
      </w:r>
      <w:r w:rsidR="006636AA" w:rsidRPr="006636AA">
        <w:t>private</w:t>
      </w:r>
      <w:r w:rsidR="0064763B">
        <w:t>-</w:t>
      </w:r>
      <w:r w:rsidR="006636AA" w:rsidRPr="006636AA">
        <w:t>plated vehicle for parliamentary, electorate and private use, but not for commercial purposes. The standard of vehicle is that which is generally available to State Servants at SES Level 1. Members are responsible for the running costs of the vehi</w:t>
      </w:r>
      <w:r w:rsidR="006636AA">
        <w:t>cle when used outside Tasmania.</w:t>
      </w:r>
    </w:p>
    <w:p w:rsidR="00115BDA" w:rsidRDefault="00115BDA" w:rsidP="00F324DE">
      <w:pPr>
        <w:pStyle w:val="textbasic"/>
      </w:pPr>
      <w:r>
        <w:t xml:space="preserve">Prior to the amendments made by the 2015 Act, the amount of the </w:t>
      </w:r>
      <w:r w:rsidRPr="00115BDA">
        <w:t xml:space="preserve">Motor </w:t>
      </w:r>
      <w:r w:rsidRPr="006636AA">
        <w:t xml:space="preserve">Vehicle Allowance </w:t>
      </w:r>
      <w:r>
        <w:t xml:space="preserve">was specified to increase at the same time and by the same percentage amount that the basic salary increases.  </w:t>
      </w:r>
    </w:p>
    <w:p w:rsidR="00115BDA" w:rsidRDefault="00115BDA" w:rsidP="00F324DE">
      <w:pPr>
        <w:pStyle w:val="textbasic"/>
      </w:pPr>
      <w:r>
        <w:lastRenderedPageBreak/>
        <w:t>The 2014 Report</w:t>
      </w:r>
      <w:r w:rsidRPr="008C312A">
        <w:t xml:space="preserve"> </w:t>
      </w:r>
      <w:r>
        <w:t>recommended that future variations to the</w:t>
      </w:r>
      <w:r w:rsidRPr="008C312A">
        <w:t xml:space="preserve"> </w:t>
      </w:r>
      <w:r>
        <w:t>Motor Vehicle A</w:t>
      </w:r>
      <w:r w:rsidRPr="008C312A">
        <w:t xml:space="preserve">llowance </w:t>
      </w:r>
      <w:r>
        <w:t>should be linked to</w:t>
      </w:r>
      <w:r w:rsidRPr="008C312A">
        <w:t xml:space="preserve"> CPI rather than the basic salary. </w:t>
      </w:r>
      <w:r>
        <w:t xml:space="preserve"> It recommended</w:t>
      </w:r>
      <w:r w:rsidRPr="008C312A">
        <w:t xml:space="preserve"> an adjustment to the allowance of 2.76% from 1 July 2014</w:t>
      </w:r>
      <w:r>
        <w:t xml:space="preserve"> taking it to $15 419 pa</w:t>
      </w:r>
      <w:r w:rsidRPr="008C312A">
        <w:t>.</w:t>
      </w:r>
      <w:r>
        <w:t xml:space="preserve"> </w:t>
      </w:r>
      <w:r w:rsidRPr="008C312A">
        <w:t xml:space="preserve">This allowance </w:t>
      </w:r>
      <w:r>
        <w:t>was to</w:t>
      </w:r>
      <w:r w:rsidRPr="008C312A">
        <w:t xml:space="preserve"> be adjusted on 1 July each year to reflect the change in the CPI, Hobart, All Groups between the March quarter in that year and the March quarter in the preceding year. </w:t>
      </w:r>
    </w:p>
    <w:p w:rsidR="002A4A99" w:rsidRPr="002A4A99" w:rsidRDefault="002A4A99" w:rsidP="00F324DE">
      <w:pPr>
        <w:pStyle w:val="textbasic"/>
      </w:pPr>
      <w:r w:rsidRPr="002A4A99">
        <w:t xml:space="preserve">This recommendation was not adopted. Instead the </w:t>
      </w:r>
      <w:r w:rsidR="00B575E6" w:rsidRPr="002A4A99">
        <w:t xml:space="preserve">Allowance </w:t>
      </w:r>
      <w:r w:rsidRPr="002A4A99">
        <w:t>was legislatively increased by 2% from 1 July 2015 to $15 305</w:t>
      </w:r>
      <w:r w:rsidR="0064763B">
        <w:t xml:space="preserve"> pa</w:t>
      </w:r>
      <w:r w:rsidRPr="002A4A99">
        <w:t>.</w:t>
      </w:r>
    </w:p>
    <w:p w:rsidR="00115BDA" w:rsidRPr="008C312A" w:rsidRDefault="00115BDA" w:rsidP="00F324DE">
      <w:pPr>
        <w:pStyle w:val="textbasic"/>
      </w:pPr>
      <w:r>
        <w:t xml:space="preserve">No change was recommended to the arrangements for taking a </w:t>
      </w:r>
      <w:r w:rsidRPr="008C312A">
        <w:t>fully maintained private</w:t>
      </w:r>
      <w:r w:rsidR="0064763B">
        <w:t>-</w:t>
      </w:r>
      <w:r w:rsidRPr="008C312A">
        <w:t>plated motor vehicle</w:t>
      </w:r>
      <w:r>
        <w:t xml:space="preserve"> in lieu of the </w:t>
      </w:r>
      <w:r w:rsidR="00A129FF">
        <w:t>Allowance</w:t>
      </w:r>
      <w:r>
        <w:t>.</w:t>
      </w:r>
    </w:p>
    <w:p w:rsidR="006636AA" w:rsidRDefault="006636AA" w:rsidP="00F324DE">
      <w:pPr>
        <w:pStyle w:val="textbasic"/>
      </w:pPr>
      <w:r>
        <w:t>Recently</w:t>
      </w:r>
      <w:r w:rsidR="008C312A">
        <w:rPr>
          <w:rStyle w:val="FootnoteReference"/>
        </w:rPr>
        <w:footnoteReference w:id="66"/>
      </w:r>
      <w:r>
        <w:t xml:space="preserve"> there has been a change to the motor vehicle arrangements applicable in the </w:t>
      </w:r>
      <w:r w:rsidR="00AF5B7F">
        <w:t xml:space="preserve">Tasmanian </w:t>
      </w:r>
      <w:r>
        <w:t xml:space="preserve">State Service to </w:t>
      </w:r>
      <w:r w:rsidR="00A129FF">
        <w:t>SES</w:t>
      </w:r>
      <w:r>
        <w:t xml:space="preserve"> </w:t>
      </w:r>
      <w:r w:rsidR="0064763B">
        <w:t xml:space="preserve">Officers </w:t>
      </w:r>
      <w:r>
        <w:t>and Heads of Agencies.</w:t>
      </w:r>
    </w:p>
    <w:p w:rsidR="006636AA" w:rsidRPr="00B74A76" w:rsidRDefault="006636AA" w:rsidP="00F324DE">
      <w:pPr>
        <w:pStyle w:val="textbasic"/>
        <w:rPr>
          <w:rFonts w:cs="Arial"/>
          <w:szCs w:val="20"/>
          <w:lang w:eastAsia="en-AU"/>
        </w:rPr>
      </w:pPr>
      <w:r w:rsidRPr="00B74A76">
        <w:t xml:space="preserve">Subject to the offer being made by the Head of Agency (in the case of SES Officers) or the Secretary, </w:t>
      </w:r>
      <w:r w:rsidR="00AF5B7F">
        <w:t xml:space="preserve">Department of Premier and Cabinet </w:t>
      </w:r>
      <w:r w:rsidRPr="00B74A76">
        <w:t xml:space="preserve">(in the case of Heads of Agencies), officers, other than those who are members of the Retirement Benefits Fund (RBF) Defined Benefit Scheme, may elect to receive </w:t>
      </w:r>
      <w:r w:rsidR="00AF5B7F">
        <w:t>an</w:t>
      </w:r>
      <w:r w:rsidRPr="00B74A76">
        <w:t xml:space="preserve"> annual allowance in lieu </w:t>
      </w:r>
      <w:r w:rsidR="000F3D04" w:rsidRPr="000F3D04">
        <w:t>of a fully maintained private plated motor vehicle</w:t>
      </w:r>
      <w:r w:rsidRPr="00B74A76">
        <w:t xml:space="preserve">.  The current quantum of this allowance in lieu of a motor vehicle is </w:t>
      </w:r>
      <w:r w:rsidRPr="00B74A76">
        <w:rPr>
          <w:rFonts w:cs="Arial"/>
          <w:szCs w:val="20"/>
          <w:lang w:eastAsia="en-AU"/>
        </w:rPr>
        <w:t>$15</w:t>
      </w:r>
      <w:r w:rsidR="00B74A76">
        <w:rPr>
          <w:rFonts w:cs="Arial"/>
          <w:szCs w:val="20"/>
          <w:lang w:eastAsia="en-AU"/>
        </w:rPr>
        <w:t xml:space="preserve"> </w:t>
      </w:r>
      <w:r w:rsidRPr="00B74A76">
        <w:rPr>
          <w:rFonts w:cs="Arial"/>
          <w:szCs w:val="20"/>
          <w:lang w:eastAsia="en-AU"/>
        </w:rPr>
        <w:t xml:space="preserve">700 pa for SES Officers at </w:t>
      </w:r>
      <w:r w:rsidR="0064763B">
        <w:rPr>
          <w:rFonts w:cs="Arial"/>
          <w:szCs w:val="20"/>
          <w:lang w:eastAsia="en-AU"/>
        </w:rPr>
        <w:t xml:space="preserve">levels </w:t>
      </w:r>
      <w:r w:rsidRPr="00B74A76">
        <w:rPr>
          <w:rFonts w:cs="Arial"/>
          <w:szCs w:val="20"/>
          <w:lang w:eastAsia="en-AU"/>
        </w:rPr>
        <w:t xml:space="preserve">1 and 2 and $16 900 pa for </w:t>
      </w:r>
      <w:r w:rsidR="0064763B" w:rsidRPr="00B74A76">
        <w:rPr>
          <w:rFonts w:cs="Arial"/>
          <w:szCs w:val="20"/>
          <w:lang w:eastAsia="en-AU"/>
        </w:rPr>
        <w:t xml:space="preserve">SES Officers </w:t>
      </w:r>
      <w:r w:rsidRPr="00B74A76">
        <w:rPr>
          <w:rFonts w:cs="Arial"/>
          <w:szCs w:val="20"/>
          <w:lang w:eastAsia="en-AU"/>
        </w:rPr>
        <w:t>at level 3 and above and Heads of Agencies.</w:t>
      </w:r>
    </w:p>
    <w:p w:rsidR="004E3456" w:rsidRDefault="00115BDA" w:rsidP="00F324DE">
      <w:pPr>
        <w:pStyle w:val="textbasic"/>
      </w:pPr>
      <w:r>
        <w:t xml:space="preserve">As part of the 2015 Issues </w:t>
      </w:r>
      <w:r w:rsidR="00C72F12">
        <w:t>Paper</w:t>
      </w:r>
      <w:r>
        <w:t>, t</w:t>
      </w:r>
      <w:r w:rsidR="004E3456">
        <w:t xml:space="preserve">he </w:t>
      </w:r>
      <w:r w:rsidR="00B91C4D">
        <w:t>Commission</w:t>
      </w:r>
      <w:r w:rsidR="004E3456">
        <w:t xml:space="preserve"> </w:t>
      </w:r>
      <w:r>
        <w:t>sought</w:t>
      </w:r>
      <w:r w:rsidR="004E3456">
        <w:t xml:space="preserve"> submissions as to the adequacy or otherwise of th</w:t>
      </w:r>
      <w:r>
        <w:t>e</w:t>
      </w:r>
      <w:r w:rsidR="004E3456">
        <w:t xml:space="preserve"> </w:t>
      </w:r>
      <w:r>
        <w:t>Motor Vehicle Allowance</w:t>
      </w:r>
      <w:r w:rsidR="00AF5B7F">
        <w:t xml:space="preserve"> and whether the </w:t>
      </w:r>
      <w:r w:rsidR="00070DE8">
        <w:t>recommendation</w:t>
      </w:r>
      <w:r w:rsidR="00AF5B7F">
        <w:t xml:space="preserve"> of the 201</w:t>
      </w:r>
      <w:r>
        <w:t>4</w:t>
      </w:r>
      <w:r w:rsidR="00AF5B7F">
        <w:t xml:space="preserve"> </w:t>
      </w:r>
      <w:r>
        <w:t>Report</w:t>
      </w:r>
      <w:r w:rsidR="00AF5B7F">
        <w:t xml:space="preserve"> </w:t>
      </w:r>
      <w:r w:rsidR="00633406">
        <w:t xml:space="preserve">should </w:t>
      </w:r>
      <w:r w:rsidR="00AF5B7F">
        <w:t xml:space="preserve">be </w:t>
      </w:r>
      <w:r w:rsidR="00070DE8">
        <w:t>confirmed, or the new SES allowance be adopted or some other approach be taken</w:t>
      </w:r>
      <w:r w:rsidR="004E3456">
        <w:t>.</w:t>
      </w:r>
    </w:p>
    <w:p w:rsidR="000C7AA6" w:rsidRDefault="000C7AA6" w:rsidP="00F324DE">
      <w:pPr>
        <w:pStyle w:val="textbasic"/>
      </w:pPr>
      <w:r w:rsidRPr="000C7AA6">
        <w:rPr>
          <w:b/>
        </w:rPr>
        <w:t>Unions Tasmania</w:t>
      </w:r>
      <w:r>
        <w:t xml:space="preserve"> and t</w:t>
      </w:r>
      <w:r w:rsidRPr="000C7AA6">
        <w:t xml:space="preserve">he </w:t>
      </w:r>
      <w:r w:rsidRPr="000C7AA6">
        <w:rPr>
          <w:b/>
        </w:rPr>
        <w:t>CPSU</w:t>
      </w:r>
      <w:r w:rsidR="00A129FF">
        <w:t xml:space="preserve"> support</w:t>
      </w:r>
      <w:r w:rsidRPr="000C7AA6">
        <w:t xml:space="preserve"> the </w:t>
      </w:r>
      <w:r w:rsidR="006872D7" w:rsidRPr="000C7AA6">
        <w:t xml:space="preserve">recommendation </w:t>
      </w:r>
      <w:r w:rsidR="006872D7">
        <w:t xml:space="preserve">of the </w:t>
      </w:r>
      <w:r w:rsidRPr="000C7AA6">
        <w:t>201</w:t>
      </w:r>
      <w:r w:rsidR="006872D7">
        <w:t>4</w:t>
      </w:r>
      <w:r w:rsidRPr="000C7AA6">
        <w:t xml:space="preserve"> </w:t>
      </w:r>
      <w:r w:rsidR="006872D7">
        <w:t>Report</w:t>
      </w:r>
      <w:r w:rsidRPr="000C7AA6">
        <w:t xml:space="preserve"> that </w:t>
      </w:r>
      <w:r w:rsidR="00E16CB6">
        <w:t xml:space="preserve">MPs </w:t>
      </w:r>
      <w:r w:rsidRPr="000C7AA6">
        <w:t xml:space="preserve">either get a fully maintained private-plated vehicle or an allowance, and that the allowance is increased each July to reflect changes in the CPI, Hobart, All </w:t>
      </w:r>
      <w:r w:rsidR="00E16CB6" w:rsidRPr="000C7AA6">
        <w:t xml:space="preserve">Groups </w:t>
      </w:r>
      <w:r w:rsidRPr="000C7AA6">
        <w:t>between the March quarter in that year and the March quarter in the preceding year.</w:t>
      </w:r>
    </w:p>
    <w:p w:rsidR="006872D7" w:rsidRDefault="000C7AA6" w:rsidP="00F324DE">
      <w:pPr>
        <w:pStyle w:val="textbasic"/>
      </w:pPr>
      <w:r>
        <w:t xml:space="preserve">The </w:t>
      </w:r>
      <w:r w:rsidR="00712B10">
        <w:rPr>
          <w:b/>
        </w:rPr>
        <w:t>ANMF (Tas)</w:t>
      </w:r>
      <w:r>
        <w:t xml:space="preserve"> considers that MPs should be entitled </w:t>
      </w:r>
      <w:r w:rsidR="00BB5480">
        <w:t>as follows:</w:t>
      </w:r>
      <w:r>
        <w:t xml:space="preserve"> </w:t>
      </w:r>
    </w:p>
    <w:p w:rsidR="000C7AA6" w:rsidRDefault="000C7AA6" w:rsidP="006872D7">
      <w:pPr>
        <w:pStyle w:val="quoteitalics1"/>
      </w:pPr>
      <w:r>
        <w:t>“</w:t>
      </w:r>
      <w:r w:rsidR="006872D7">
        <w:tab/>
      </w:r>
      <w:r w:rsidR="00E86B39" w:rsidRPr="00E86B39">
        <w:rPr>
          <w:i w:val="0"/>
        </w:rPr>
        <w:t>[</w:t>
      </w:r>
      <w:r w:rsidRPr="00E86B39">
        <w:rPr>
          <w:i w:val="0"/>
        </w:rPr>
        <w:t>the</w:t>
      </w:r>
      <w:r w:rsidR="00E86B39" w:rsidRPr="00E86B39">
        <w:rPr>
          <w:i w:val="0"/>
        </w:rPr>
        <w:t>]</w:t>
      </w:r>
      <w:r>
        <w:t xml:space="preserve"> normal state service entitlements and conditions should be applied for motor vehicle allowance/provision relevant to SES 1.</w:t>
      </w:r>
      <w:r w:rsidR="00E86B39">
        <w:t>”</w:t>
      </w:r>
    </w:p>
    <w:p w:rsidR="00115BDA" w:rsidRPr="001B2C0D" w:rsidRDefault="00E16CB6" w:rsidP="00F324DE">
      <w:pPr>
        <w:pStyle w:val="textbasic"/>
      </w:pPr>
      <w:r>
        <w:t>We are informed that</w:t>
      </w:r>
      <w:r w:rsidR="0064763B">
        <w:t xml:space="preserve"> </w:t>
      </w:r>
      <w:r>
        <w:t>in almost every case</w:t>
      </w:r>
      <w:r w:rsidR="00115BDA" w:rsidRPr="001B2C0D">
        <w:t xml:space="preserve"> MPs are choosing to take the vehicle rather than the allowance.</w:t>
      </w:r>
    </w:p>
    <w:p w:rsidR="00115BDA" w:rsidRPr="001B2C0D" w:rsidRDefault="00115BDA" w:rsidP="00F324DE">
      <w:pPr>
        <w:pStyle w:val="textbasic"/>
      </w:pPr>
      <w:r w:rsidRPr="001B2C0D">
        <w:t>The rationale behind the new SES arrangements is not available to the Commission. Accordingly we are not persuaded that it should be adopted.</w:t>
      </w:r>
    </w:p>
    <w:p w:rsidR="00115BDA" w:rsidRPr="001B2C0D" w:rsidRDefault="00115BDA" w:rsidP="00F324DE">
      <w:pPr>
        <w:pStyle w:val="textbasic"/>
      </w:pPr>
      <w:r w:rsidRPr="001B2C0D">
        <w:t>Nothing has been put which persuades us to move from the recommendation</w:t>
      </w:r>
      <w:r w:rsidR="002A4A99">
        <w:t xml:space="preserve"> in the </w:t>
      </w:r>
      <w:r w:rsidR="002A4A99" w:rsidRPr="001B2C0D">
        <w:t>2014</w:t>
      </w:r>
      <w:r w:rsidR="002A4A99">
        <w:t xml:space="preserve"> Report</w:t>
      </w:r>
      <w:r w:rsidRPr="001B2C0D">
        <w:t>. The allowance is in the nature of an expense reimbursement rather than salary. Hence the appropriate index linkage is CPI rather than an earnings</w:t>
      </w:r>
      <w:r w:rsidR="00DD0887">
        <w:t>-</w:t>
      </w:r>
      <w:r w:rsidRPr="001B2C0D">
        <w:t>related index.</w:t>
      </w:r>
    </w:p>
    <w:p w:rsidR="002A4A99" w:rsidRPr="00C72F12" w:rsidRDefault="002A4A99" w:rsidP="00CC5844">
      <w:pPr>
        <w:pStyle w:val="Heading2"/>
      </w:pPr>
      <w:bookmarkStart w:id="59" w:name="_Toc443486933"/>
      <w:r w:rsidRPr="00C72F12">
        <w:t>8.2</w:t>
      </w:r>
      <w:r w:rsidRPr="00C72F12">
        <w:tab/>
        <w:t>Recommendation</w:t>
      </w:r>
      <w:bookmarkEnd w:id="59"/>
    </w:p>
    <w:p w:rsidR="00A129FF" w:rsidRDefault="00115BDA" w:rsidP="00F324DE">
      <w:pPr>
        <w:pStyle w:val="textbasic"/>
      </w:pPr>
      <w:r w:rsidRPr="00C72F12">
        <w:t xml:space="preserve">We </w:t>
      </w:r>
      <w:r w:rsidR="002A4A99" w:rsidRPr="00C72F12">
        <w:t>rec</w:t>
      </w:r>
      <w:r w:rsidR="00323D75">
        <w:t>ommend that:</w:t>
      </w:r>
    </w:p>
    <w:p w:rsidR="00115BDA" w:rsidRPr="00A129FF" w:rsidRDefault="005408E6" w:rsidP="005408E6">
      <w:pPr>
        <w:pStyle w:val="textbasic"/>
        <w:ind w:left="709" w:hanging="709"/>
        <w:rPr>
          <w:b/>
        </w:rPr>
      </w:pPr>
      <w:r>
        <w:rPr>
          <w:b/>
        </w:rPr>
        <w:t>(6)</w:t>
      </w:r>
      <w:r>
        <w:rPr>
          <w:b/>
        </w:rPr>
        <w:tab/>
      </w:r>
      <w:r w:rsidR="00DD0887" w:rsidRPr="00A129FF">
        <w:rPr>
          <w:b/>
        </w:rPr>
        <w:t xml:space="preserve">The </w:t>
      </w:r>
      <w:r w:rsidR="002A4A99" w:rsidRPr="00A129FF">
        <w:rPr>
          <w:b/>
        </w:rPr>
        <w:t>Motor Vehicle A</w:t>
      </w:r>
      <w:r w:rsidR="00115BDA" w:rsidRPr="00A129FF">
        <w:rPr>
          <w:b/>
        </w:rPr>
        <w:t xml:space="preserve">llowance should be recalculated based on the 2014 recommendation, adjusted for the change in the CPI, Hobart, All Groups </w:t>
      </w:r>
      <w:r w:rsidR="00E14D34">
        <w:rPr>
          <w:b/>
        </w:rPr>
        <w:t>(</w:t>
      </w:r>
      <w:r w:rsidR="00020A69" w:rsidRPr="00A129FF">
        <w:rPr>
          <w:b/>
        </w:rPr>
        <w:t xml:space="preserve">ABS </w:t>
      </w:r>
      <w:r w:rsidR="00020A69" w:rsidRPr="00A129FF">
        <w:rPr>
          <w:b/>
        </w:rPr>
        <w:lastRenderedPageBreak/>
        <w:t>Catalogue 6401.0</w:t>
      </w:r>
      <w:r w:rsidR="00E14D34">
        <w:rPr>
          <w:b/>
        </w:rPr>
        <w:t>)</w:t>
      </w:r>
      <w:r w:rsidR="00020A69" w:rsidRPr="00A129FF">
        <w:rPr>
          <w:b/>
        </w:rPr>
        <w:t xml:space="preserve"> </w:t>
      </w:r>
      <w:r w:rsidR="00115BDA" w:rsidRPr="00A129FF">
        <w:rPr>
          <w:b/>
        </w:rPr>
        <w:t xml:space="preserve">between June quarter 2014 and December Quarter 2015. This results in an allowance of </w:t>
      </w:r>
      <w:r w:rsidR="00D54B33">
        <w:rPr>
          <w:b/>
        </w:rPr>
        <w:t xml:space="preserve">$15 613 pa </w:t>
      </w:r>
      <w:r w:rsidR="00115BDA" w:rsidRPr="00A129FF">
        <w:rPr>
          <w:b/>
        </w:rPr>
        <w:t>and will apply from 1 July 2016.</w:t>
      </w:r>
    </w:p>
    <w:p w:rsidR="00115BDA" w:rsidRPr="00A129FF" w:rsidRDefault="00A129FF" w:rsidP="00A129FF">
      <w:pPr>
        <w:pStyle w:val="textbasic"/>
        <w:ind w:left="709" w:hanging="709"/>
        <w:rPr>
          <w:b/>
        </w:rPr>
      </w:pPr>
      <w:r w:rsidRPr="00A129FF">
        <w:rPr>
          <w:b/>
        </w:rPr>
        <w:t>(</w:t>
      </w:r>
      <w:r w:rsidR="005408E6">
        <w:rPr>
          <w:b/>
        </w:rPr>
        <w:t>7</w:t>
      </w:r>
      <w:r w:rsidRPr="00A129FF">
        <w:rPr>
          <w:b/>
        </w:rPr>
        <w:t>)</w:t>
      </w:r>
      <w:r w:rsidRPr="00A129FF">
        <w:rPr>
          <w:b/>
        </w:rPr>
        <w:tab/>
      </w:r>
      <w:r w:rsidR="00115BDA" w:rsidRPr="00A129FF">
        <w:rPr>
          <w:b/>
        </w:rPr>
        <w:t xml:space="preserve">Thereafter the </w:t>
      </w:r>
      <w:r w:rsidR="0014382D" w:rsidRPr="0014382D">
        <w:rPr>
          <w:b/>
          <w:lang w:val="en-AU"/>
        </w:rPr>
        <w:t xml:space="preserve">Motor Vehicle Allowance </w:t>
      </w:r>
      <w:r w:rsidR="00115BDA" w:rsidRPr="00A129FF">
        <w:rPr>
          <w:b/>
        </w:rPr>
        <w:t>be adjusted by the change in the relevant CPI index for the 12 months preceding the December quarter in each financial year, and will ap</w:t>
      </w:r>
      <w:r w:rsidR="002A4A99" w:rsidRPr="00A129FF">
        <w:rPr>
          <w:b/>
        </w:rPr>
        <w:t>ply from 1 July next occurring.</w:t>
      </w:r>
    </w:p>
    <w:p w:rsidR="004A5250" w:rsidRPr="004A5250" w:rsidRDefault="00870928" w:rsidP="00F700FC">
      <w:pPr>
        <w:pStyle w:val="Heading1"/>
      </w:pPr>
      <w:bookmarkStart w:id="60" w:name="_Toc443486934"/>
      <w:r>
        <w:t>9</w:t>
      </w:r>
      <w:r>
        <w:tab/>
      </w:r>
      <w:r w:rsidR="004A5250" w:rsidRPr="004A5250">
        <w:t>Electorate Allowance</w:t>
      </w:r>
      <w:bookmarkEnd w:id="60"/>
    </w:p>
    <w:p w:rsidR="00B91C4D" w:rsidRPr="00B91C4D" w:rsidRDefault="00020A69" w:rsidP="00CC5844">
      <w:pPr>
        <w:pStyle w:val="Heading2"/>
      </w:pPr>
      <w:bookmarkStart w:id="61" w:name="_Toc443486935"/>
      <w:r>
        <w:t>9.1</w:t>
      </w:r>
      <w:r>
        <w:tab/>
      </w:r>
      <w:r w:rsidR="004D229F">
        <w:t>Information</w:t>
      </w:r>
      <w:bookmarkEnd w:id="61"/>
    </w:p>
    <w:p w:rsidR="004A5250" w:rsidRDefault="004A5250" w:rsidP="00F324DE">
      <w:pPr>
        <w:pStyle w:val="textbasic"/>
      </w:pPr>
      <w:r w:rsidRPr="004A5250">
        <w:t xml:space="preserve">The amounts of the existing electorate allowances are specified in clause 2 of Schedule 6 </w:t>
      </w:r>
      <w:r w:rsidR="00BB5480">
        <w:t>to</w:t>
      </w:r>
      <w:r w:rsidRPr="004A5250">
        <w:t xml:space="preserve"> the </w:t>
      </w:r>
      <w:r w:rsidR="009C2293">
        <w:t>2012 Act</w:t>
      </w:r>
      <w:r w:rsidRPr="004A5250">
        <w:t xml:space="preserve">. </w:t>
      </w:r>
      <w:r w:rsidR="00F45DAD">
        <w:t xml:space="preserve"> These are shown in the following table </w:t>
      </w:r>
      <w:r w:rsidR="00E14D34">
        <w:t>(</w:t>
      </w:r>
      <w:r w:rsidR="00F45DAD">
        <w:t xml:space="preserve">Table </w:t>
      </w:r>
      <w:r w:rsidR="0033523C">
        <w:t>10</w:t>
      </w:r>
      <w:r w:rsidR="00E14D34">
        <w:t>)</w:t>
      </w:r>
      <w:r w:rsidR="00F45DAD">
        <w:t>.</w:t>
      </w:r>
    </w:p>
    <w:p w:rsidR="00F45DAD" w:rsidRPr="00D83E7C" w:rsidRDefault="0033523C" w:rsidP="0033523C">
      <w:pPr>
        <w:pStyle w:val="TableTitlemain"/>
      </w:pPr>
      <w:r>
        <w:t xml:space="preserve">Table </w:t>
      </w:r>
      <w:r w:rsidR="00F700FC">
        <w:t>10</w:t>
      </w:r>
      <w:r>
        <w:tab/>
      </w:r>
      <w:r w:rsidR="00D83E7C" w:rsidRPr="00D83E7C">
        <w:t>Current Electorate Allowances for Tasmanian MPs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D83E7C" w:rsidRPr="001C028F" w:rsidTr="00327CCC">
        <w:tc>
          <w:tcPr>
            <w:tcW w:w="3080" w:type="dxa"/>
            <w:tcBorders>
              <w:bottom w:val="single" w:sz="4" w:space="0" w:color="auto"/>
            </w:tcBorders>
            <w:shd w:val="clear" w:color="auto" w:fill="D9D9D9" w:themeFill="background1" w:themeFillShade="D9"/>
          </w:tcPr>
          <w:p w:rsidR="00D83E7C" w:rsidRPr="001C028F" w:rsidRDefault="00D83E7C" w:rsidP="001C028F">
            <w:pPr>
              <w:spacing w:before="120" w:after="120"/>
              <w:jc w:val="both"/>
              <w:rPr>
                <w:sz w:val="16"/>
                <w:szCs w:val="16"/>
              </w:rPr>
            </w:pPr>
          </w:p>
        </w:tc>
        <w:tc>
          <w:tcPr>
            <w:tcW w:w="3081" w:type="dxa"/>
            <w:tcBorders>
              <w:bottom w:val="single" w:sz="4" w:space="0" w:color="auto"/>
            </w:tcBorders>
            <w:shd w:val="clear" w:color="auto" w:fill="D9D9D9" w:themeFill="background1" w:themeFillShade="D9"/>
          </w:tcPr>
          <w:p w:rsidR="00D83E7C" w:rsidRPr="001C028F" w:rsidRDefault="00D83E7C" w:rsidP="001C028F">
            <w:pPr>
              <w:spacing w:before="120" w:after="120"/>
              <w:jc w:val="both"/>
              <w:rPr>
                <w:b/>
                <w:sz w:val="16"/>
                <w:szCs w:val="16"/>
              </w:rPr>
            </w:pPr>
            <w:r w:rsidRPr="001C028F">
              <w:rPr>
                <w:b/>
                <w:sz w:val="16"/>
                <w:szCs w:val="16"/>
              </w:rPr>
              <w:t>Electorate(s)</w:t>
            </w:r>
          </w:p>
        </w:tc>
        <w:tc>
          <w:tcPr>
            <w:tcW w:w="3081" w:type="dxa"/>
            <w:tcBorders>
              <w:bottom w:val="single" w:sz="4" w:space="0" w:color="auto"/>
            </w:tcBorders>
            <w:shd w:val="clear" w:color="auto" w:fill="D9D9D9" w:themeFill="background1" w:themeFillShade="D9"/>
          </w:tcPr>
          <w:p w:rsidR="00D83E7C" w:rsidRPr="001C028F" w:rsidRDefault="00D83E7C" w:rsidP="001C028F">
            <w:pPr>
              <w:spacing w:before="120" w:after="120"/>
              <w:jc w:val="both"/>
              <w:rPr>
                <w:b/>
                <w:sz w:val="16"/>
                <w:szCs w:val="16"/>
              </w:rPr>
            </w:pPr>
            <w:r w:rsidRPr="001C028F">
              <w:rPr>
                <w:b/>
                <w:sz w:val="16"/>
                <w:szCs w:val="16"/>
              </w:rPr>
              <w:t>Allowance (per annum)</w:t>
            </w:r>
          </w:p>
        </w:tc>
      </w:tr>
      <w:tr w:rsidR="00D83E7C" w:rsidRPr="001C028F" w:rsidTr="001C028F">
        <w:tc>
          <w:tcPr>
            <w:tcW w:w="3080" w:type="dxa"/>
            <w:tcBorders>
              <w:right w:val="nil"/>
            </w:tcBorders>
            <w:shd w:val="clear" w:color="auto" w:fill="F2F2F2" w:themeFill="background1" w:themeFillShade="F2"/>
          </w:tcPr>
          <w:p w:rsidR="00D83E7C" w:rsidRPr="001C028F" w:rsidRDefault="00D83E7C" w:rsidP="001C028F">
            <w:pPr>
              <w:spacing w:before="120" w:after="120"/>
              <w:jc w:val="both"/>
              <w:rPr>
                <w:b/>
                <w:sz w:val="16"/>
                <w:szCs w:val="16"/>
              </w:rPr>
            </w:pPr>
            <w:r w:rsidRPr="001C028F">
              <w:rPr>
                <w:b/>
                <w:sz w:val="16"/>
                <w:szCs w:val="16"/>
              </w:rPr>
              <w:t>Legislative Council</w:t>
            </w:r>
          </w:p>
        </w:tc>
        <w:tc>
          <w:tcPr>
            <w:tcW w:w="3081" w:type="dxa"/>
            <w:tcBorders>
              <w:left w:val="nil"/>
              <w:right w:val="nil"/>
            </w:tcBorders>
            <w:shd w:val="clear" w:color="auto" w:fill="F2F2F2" w:themeFill="background1" w:themeFillShade="F2"/>
          </w:tcPr>
          <w:p w:rsidR="00D83E7C" w:rsidRPr="001C028F" w:rsidRDefault="00D83E7C" w:rsidP="001C028F">
            <w:pPr>
              <w:spacing w:before="120" w:after="120"/>
              <w:jc w:val="both"/>
              <w:rPr>
                <w:sz w:val="16"/>
                <w:szCs w:val="16"/>
              </w:rPr>
            </w:pPr>
          </w:p>
        </w:tc>
        <w:tc>
          <w:tcPr>
            <w:tcW w:w="3081" w:type="dxa"/>
            <w:tcBorders>
              <w:left w:val="nil"/>
            </w:tcBorders>
            <w:shd w:val="clear" w:color="auto" w:fill="F2F2F2" w:themeFill="background1" w:themeFillShade="F2"/>
          </w:tcPr>
          <w:p w:rsidR="00D83E7C" w:rsidRPr="001C028F" w:rsidRDefault="00D83E7C" w:rsidP="001C028F">
            <w:pPr>
              <w:spacing w:before="120" w:after="120"/>
              <w:jc w:val="both"/>
              <w:rPr>
                <w:sz w:val="16"/>
                <w:szCs w:val="16"/>
              </w:rPr>
            </w:pPr>
          </w:p>
        </w:tc>
      </w:tr>
      <w:tr w:rsidR="00D83E7C" w:rsidRPr="0033523C" w:rsidTr="00790FF4">
        <w:tc>
          <w:tcPr>
            <w:tcW w:w="3080" w:type="dxa"/>
            <w:shd w:val="clear" w:color="auto" w:fill="auto"/>
          </w:tcPr>
          <w:p w:rsidR="00D83E7C" w:rsidRPr="0033523C" w:rsidRDefault="00D83E7C" w:rsidP="00790FF4">
            <w:pPr>
              <w:jc w:val="both"/>
              <w:rPr>
                <w:sz w:val="16"/>
                <w:szCs w:val="16"/>
              </w:rPr>
            </w:pPr>
            <w:r w:rsidRPr="0033523C">
              <w:rPr>
                <w:sz w:val="16"/>
                <w:szCs w:val="16"/>
              </w:rPr>
              <w:t>Group 1</w:t>
            </w:r>
          </w:p>
        </w:tc>
        <w:tc>
          <w:tcPr>
            <w:tcW w:w="3081" w:type="dxa"/>
            <w:shd w:val="clear" w:color="auto" w:fill="auto"/>
          </w:tcPr>
          <w:p w:rsidR="00D83E7C" w:rsidRPr="0033523C" w:rsidRDefault="00D83E7C" w:rsidP="00020D0F">
            <w:pPr>
              <w:rPr>
                <w:sz w:val="16"/>
                <w:szCs w:val="16"/>
              </w:rPr>
            </w:pPr>
            <w:r w:rsidRPr="0033523C">
              <w:rPr>
                <w:sz w:val="16"/>
                <w:szCs w:val="16"/>
              </w:rPr>
              <w:t>Apsley</w:t>
            </w:r>
          </w:p>
        </w:tc>
        <w:tc>
          <w:tcPr>
            <w:tcW w:w="3081" w:type="dxa"/>
            <w:shd w:val="clear" w:color="auto" w:fill="auto"/>
          </w:tcPr>
          <w:p w:rsidR="00D83E7C" w:rsidRPr="0033523C" w:rsidRDefault="00D83E7C" w:rsidP="0033523C">
            <w:pPr>
              <w:jc w:val="center"/>
              <w:rPr>
                <w:sz w:val="16"/>
                <w:szCs w:val="16"/>
              </w:rPr>
            </w:pPr>
            <w:r w:rsidRPr="0033523C">
              <w:rPr>
                <w:sz w:val="16"/>
                <w:szCs w:val="16"/>
              </w:rPr>
              <w:t>$48 473</w:t>
            </w:r>
          </w:p>
        </w:tc>
      </w:tr>
      <w:tr w:rsidR="00D83E7C" w:rsidRPr="0033523C" w:rsidTr="00790FF4">
        <w:tc>
          <w:tcPr>
            <w:tcW w:w="3080" w:type="dxa"/>
            <w:shd w:val="clear" w:color="auto" w:fill="auto"/>
          </w:tcPr>
          <w:p w:rsidR="00D83E7C" w:rsidRPr="0033523C" w:rsidRDefault="00D83E7C" w:rsidP="00790FF4">
            <w:pPr>
              <w:jc w:val="both"/>
              <w:rPr>
                <w:sz w:val="16"/>
                <w:szCs w:val="16"/>
              </w:rPr>
            </w:pPr>
            <w:r w:rsidRPr="0033523C">
              <w:rPr>
                <w:sz w:val="16"/>
                <w:szCs w:val="16"/>
              </w:rPr>
              <w:t>Group 2</w:t>
            </w:r>
          </w:p>
        </w:tc>
        <w:tc>
          <w:tcPr>
            <w:tcW w:w="3081" w:type="dxa"/>
            <w:shd w:val="clear" w:color="auto" w:fill="auto"/>
          </w:tcPr>
          <w:p w:rsidR="00D83E7C" w:rsidRPr="0033523C" w:rsidRDefault="00D83E7C" w:rsidP="00020D0F">
            <w:pPr>
              <w:rPr>
                <w:sz w:val="16"/>
                <w:szCs w:val="16"/>
              </w:rPr>
            </w:pPr>
            <w:r w:rsidRPr="0033523C">
              <w:rPr>
                <w:sz w:val="16"/>
                <w:szCs w:val="16"/>
              </w:rPr>
              <w:t>Murchison, Western Tiers</w:t>
            </w:r>
          </w:p>
        </w:tc>
        <w:tc>
          <w:tcPr>
            <w:tcW w:w="3081" w:type="dxa"/>
            <w:shd w:val="clear" w:color="auto" w:fill="auto"/>
          </w:tcPr>
          <w:p w:rsidR="00D83E7C" w:rsidRPr="0033523C" w:rsidRDefault="00D83E7C" w:rsidP="0033523C">
            <w:pPr>
              <w:jc w:val="center"/>
              <w:rPr>
                <w:sz w:val="16"/>
                <w:szCs w:val="16"/>
              </w:rPr>
            </w:pPr>
            <w:r w:rsidRPr="0033523C">
              <w:rPr>
                <w:sz w:val="16"/>
                <w:szCs w:val="16"/>
              </w:rPr>
              <w:t>$44 644</w:t>
            </w:r>
          </w:p>
        </w:tc>
      </w:tr>
      <w:tr w:rsidR="00D83E7C" w:rsidRPr="0033523C" w:rsidTr="00790FF4">
        <w:tc>
          <w:tcPr>
            <w:tcW w:w="3080" w:type="dxa"/>
            <w:shd w:val="clear" w:color="auto" w:fill="auto"/>
          </w:tcPr>
          <w:p w:rsidR="00D83E7C" w:rsidRPr="0033523C" w:rsidRDefault="00D83E7C" w:rsidP="00790FF4">
            <w:pPr>
              <w:jc w:val="both"/>
              <w:rPr>
                <w:sz w:val="16"/>
                <w:szCs w:val="16"/>
              </w:rPr>
            </w:pPr>
            <w:r w:rsidRPr="0033523C">
              <w:rPr>
                <w:sz w:val="16"/>
                <w:szCs w:val="16"/>
              </w:rPr>
              <w:t>Group 3</w:t>
            </w:r>
          </w:p>
        </w:tc>
        <w:tc>
          <w:tcPr>
            <w:tcW w:w="3081" w:type="dxa"/>
            <w:shd w:val="clear" w:color="auto" w:fill="auto"/>
          </w:tcPr>
          <w:p w:rsidR="00D83E7C" w:rsidRPr="0033523C" w:rsidRDefault="00D83E7C" w:rsidP="00020D0F">
            <w:pPr>
              <w:rPr>
                <w:sz w:val="16"/>
                <w:szCs w:val="16"/>
              </w:rPr>
            </w:pPr>
            <w:r w:rsidRPr="0033523C">
              <w:rPr>
                <w:sz w:val="16"/>
                <w:szCs w:val="16"/>
              </w:rPr>
              <w:t>Derwent, Huon</w:t>
            </w:r>
          </w:p>
        </w:tc>
        <w:tc>
          <w:tcPr>
            <w:tcW w:w="3081" w:type="dxa"/>
            <w:shd w:val="clear" w:color="auto" w:fill="auto"/>
          </w:tcPr>
          <w:p w:rsidR="00D83E7C" w:rsidRPr="0033523C" w:rsidRDefault="00D83E7C" w:rsidP="0033523C">
            <w:pPr>
              <w:jc w:val="center"/>
              <w:rPr>
                <w:sz w:val="16"/>
                <w:szCs w:val="16"/>
              </w:rPr>
            </w:pPr>
            <w:r w:rsidRPr="0033523C">
              <w:rPr>
                <w:sz w:val="16"/>
                <w:szCs w:val="16"/>
              </w:rPr>
              <w:t>$38 266</w:t>
            </w:r>
          </w:p>
        </w:tc>
      </w:tr>
      <w:tr w:rsidR="00D83E7C" w:rsidRPr="0033523C" w:rsidTr="00790FF4">
        <w:tc>
          <w:tcPr>
            <w:tcW w:w="3080" w:type="dxa"/>
            <w:shd w:val="clear" w:color="auto" w:fill="auto"/>
          </w:tcPr>
          <w:p w:rsidR="00D83E7C" w:rsidRPr="0033523C" w:rsidRDefault="00D83E7C" w:rsidP="00790FF4">
            <w:pPr>
              <w:jc w:val="both"/>
              <w:rPr>
                <w:sz w:val="16"/>
                <w:szCs w:val="16"/>
              </w:rPr>
            </w:pPr>
            <w:r w:rsidRPr="0033523C">
              <w:rPr>
                <w:sz w:val="16"/>
                <w:szCs w:val="16"/>
              </w:rPr>
              <w:t>Group 4</w:t>
            </w:r>
          </w:p>
        </w:tc>
        <w:tc>
          <w:tcPr>
            <w:tcW w:w="3081" w:type="dxa"/>
            <w:shd w:val="clear" w:color="auto" w:fill="auto"/>
          </w:tcPr>
          <w:p w:rsidR="00D83E7C" w:rsidRPr="0033523C" w:rsidRDefault="00D83E7C" w:rsidP="00020D0F">
            <w:pPr>
              <w:rPr>
                <w:sz w:val="16"/>
                <w:szCs w:val="16"/>
              </w:rPr>
            </w:pPr>
            <w:r w:rsidRPr="0033523C">
              <w:rPr>
                <w:sz w:val="16"/>
                <w:szCs w:val="16"/>
              </w:rPr>
              <w:t>Montgomery, Rumney</w:t>
            </w:r>
          </w:p>
        </w:tc>
        <w:tc>
          <w:tcPr>
            <w:tcW w:w="3081" w:type="dxa"/>
            <w:shd w:val="clear" w:color="auto" w:fill="auto"/>
          </w:tcPr>
          <w:p w:rsidR="00D83E7C" w:rsidRPr="0033523C" w:rsidRDefault="00D83E7C" w:rsidP="0033523C">
            <w:pPr>
              <w:jc w:val="center"/>
              <w:rPr>
                <w:sz w:val="16"/>
                <w:szCs w:val="16"/>
              </w:rPr>
            </w:pPr>
            <w:r w:rsidRPr="0033523C">
              <w:rPr>
                <w:sz w:val="16"/>
                <w:szCs w:val="16"/>
              </w:rPr>
              <w:t>$35 716</w:t>
            </w:r>
          </w:p>
        </w:tc>
      </w:tr>
      <w:tr w:rsidR="00D83E7C" w:rsidRPr="0033523C" w:rsidTr="00790FF4">
        <w:tc>
          <w:tcPr>
            <w:tcW w:w="3080" w:type="dxa"/>
            <w:tcBorders>
              <w:bottom w:val="single" w:sz="4" w:space="0" w:color="auto"/>
            </w:tcBorders>
            <w:shd w:val="clear" w:color="auto" w:fill="auto"/>
          </w:tcPr>
          <w:p w:rsidR="00D83E7C" w:rsidRPr="0033523C" w:rsidRDefault="00D83E7C" w:rsidP="00790FF4">
            <w:pPr>
              <w:jc w:val="both"/>
              <w:rPr>
                <w:sz w:val="16"/>
                <w:szCs w:val="16"/>
              </w:rPr>
            </w:pPr>
            <w:r w:rsidRPr="0033523C">
              <w:rPr>
                <w:sz w:val="16"/>
                <w:szCs w:val="16"/>
              </w:rPr>
              <w:t>Group 5</w:t>
            </w:r>
          </w:p>
        </w:tc>
        <w:tc>
          <w:tcPr>
            <w:tcW w:w="3081" w:type="dxa"/>
            <w:tcBorders>
              <w:bottom w:val="single" w:sz="4" w:space="0" w:color="auto"/>
            </w:tcBorders>
            <w:shd w:val="clear" w:color="auto" w:fill="auto"/>
          </w:tcPr>
          <w:p w:rsidR="00D83E7C" w:rsidRPr="0033523C" w:rsidRDefault="00D83E7C" w:rsidP="00020D0F">
            <w:pPr>
              <w:rPr>
                <w:sz w:val="16"/>
                <w:szCs w:val="16"/>
              </w:rPr>
            </w:pPr>
            <w:r w:rsidRPr="0033523C">
              <w:rPr>
                <w:sz w:val="16"/>
                <w:szCs w:val="16"/>
              </w:rPr>
              <w:t>Mersey, Rosevears, Windermere, Elwick, Nelson, Launceston, Pembroke, Hobart</w:t>
            </w:r>
          </w:p>
        </w:tc>
        <w:tc>
          <w:tcPr>
            <w:tcW w:w="3081" w:type="dxa"/>
            <w:tcBorders>
              <w:bottom w:val="single" w:sz="4" w:space="0" w:color="auto"/>
            </w:tcBorders>
            <w:shd w:val="clear" w:color="auto" w:fill="auto"/>
          </w:tcPr>
          <w:p w:rsidR="00D83E7C" w:rsidRPr="0033523C" w:rsidRDefault="00D83E7C" w:rsidP="0033523C">
            <w:pPr>
              <w:jc w:val="center"/>
              <w:rPr>
                <w:sz w:val="16"/>
                <w:szCs w:val="16"/>
              </w:rPr>
            </w:pPr>
            <w:r w:rsidRPr="0033523C">
              <w:rPr>
                <w:sz w:val="16"/>
                <w:szCs w:val="16"/>
              </w:rPr>
              <w:t>$30 614</w:t>
            </w:r>
          </w:p>
        </w:tc>
      </w:tr>
      <w:tr w:rsidR="00D83E7C" w:rsidRPr="001C028F" w:rsidTr="001C028F">
        <w:tc>
          <w:tcPr>
            <w:tcW w:w="3080" w:type="dxa"/>
            <w:tcBorders>
              <w:right w:val="nil"/>
            </w:tcBorders>
            <w:shd w:val="clear" w:color="auto" w:fill="F2F2F2" w:themeFill="background1" w:themeFillShade="F2"/>
          </w:tcPr>
          <w:p w:rsidR="00D83E7C" w:rsidRPr="001C028F" w:rsidRDefault="00D83E7C" w:rsidP="001C028F">
            <w:pPr>
              <w:spacing w:before="120" w:after="120"/>
              <w:jc w:val="both"/>
              <w:rPr>
                <w:b/>
                <w:sz w:val="16"/>
                <w:szCs w:val="16"/>
              </w:rPr>
            </w:pPr>
            <w:r w:rsidRPr="001C028F">
              <w:rPr>
                <w:b/>
                <w:sz w:val="16"/>
                <w:szCs w:val="16"/>
              </w:rPr>
              <w:t>House of Assembly</w:t>
            </w:r>
          </w:p>
        </w:tc>
        <w:tc>
          <w:tcPr>
            <w:tcW w:w="3081" w:type="dxa"/>
            <w:tcBorders>
              <w:left w:val="nil"/>
              <w:right w:val="nil"/>
            </w:tcBorders>
            <w:shd w:val="clear" w:color="auto" w:fill="F2F2F2" w:themeFill="background1" w:themeFillShade="F2"/>
          </w:tcPr>
          <w:p w:rsidR="00D83E7C" w:rsidRPr="001C028F" w:rsidRDefault="00D83E7C" w:rsidP="001C028F">
            <w:pPr>
              <w:spacing w:before="120" w:after="120"/>
              <w:rPr>
                <w:b/>
                <w:sz w:val="16"/>
                <w:szCs w:val="16"/>
              </w:rPr>
            </w:pPr>
          </w:p>
        </w:tc>
        <w:tc>
          <w:tcPr>
            <w:tcW w:w="3081" w:type="dxa"/>
            <w:tcBorders>
              <w:left w:val="nil"/>
            </w:tcBorders>
            <w:shd w:val="clear" w:color="auto" w:fill="F2F2F2" w:themeFill="background1" w:themeFillShade="F2"/>
          </w:tcPr>
          <w:p w:rsidR="00D83E7C" w:rsidRPr="001C028F" w:rsidRDefault="00D83E7C" w:rsidP="001C028F">
            <w:pPr>
              <w:spacing w:before="120" w:after="120"/>
              <w:jc w:val="center"/>
              <w:rPr>
                <w:b/>
                <w:sz w:val="16"/>
                <w:szCs w:val="16"/>
              </w:rPr>
            </w:pPr>
          </w:p>
        </w:tc>
      </w:tr>
      <w:tr w:rsidR="00D83E7C" w:rsidRPr="0033523C" w:rsidTr="00790FF4">
        <w:tc>
          <w:tcPr>
            <w:tcW w:w="3080" w:type="dxa"/>
            <w:shd w:val="clear" w:color="auto" w:fill="auto"/>
          </w:tcPr>
          <w:p w:rsidR="00D83E7C" w:rsidRPr="0033523C" w:rsidRDefault="00D83E7C" w:rsidP="00790FF4">
            <w:pPr>
              <w:jc w:val="both"/>
              <w:rPr>
                <w:sz w:val="16"/>
                <w:szCs w:val="16"/>
              </w:rPr>
            </w:pPr>
          </w:p>
        </w:tc>
        <w:tc>
          <w:tcPr>
            <w:tcW w:w="3081" w:type="dxa"/>
            <w:shd w:val="clear" w:color="auto" w:fill="auto"/>
          </w:tcPr>
          <w:p w:rsidR="00D83E7C" w:rsidRPr="0033523C" w:rsidRDefault="00D83E7C" w:rsidP="00020D0F">
            <w:pPr>
              <w:rPr>
                <w:sz w:val="16"/>
                <w:szCs w:val="16"/>
              </w:rPr>
            </w:pPr>
            <w:r w:rsidRPr="0033523C">
              <w:rPr>
                <w:sz w:val="16"/>
                <w:szCs w:val="16"/>
              </w:rPr>
              <w:t>Bass</w:t>
            </w:r>
          </w:p>
        </w:tc>
        <w:tc>
          <w:tcPr>
            <w:tcW w:w="3081" w:type="dxa"/>
            <w:shd w:val="clear" w:color="auto" w:fill="auto"/>
          </w:tcPr>
          <w:p w:rsidR="00D83E7C" w:rsidRPr="0033523C" w:rsidRDefault="00CD22A4" w:rsidP="0033523C">
            <w:pPr>
              <w:jc w:val="center"/>
              <w:rPr>
                <w:sz w:val="16"/>
                <w:szCs w:val="16"/>
              </w:rPr>
            </w:pPr>
            <w:r w:rsidRPr="0033523C">
              <w:rPr>
                <w:sz w:val="16"/>
                <w:szCs w:val="16"/>
              </w:rPr>
              <w:t>$</w:t>
            </w:r>
            <w:r w:rsidR="00D83E7C" w:rsidRPr="0033523C">
              <w:rPr>
                <w:sz w:val="16"/>
                <w:szCs w:val="16"/>
              </w:rPr>
              <w:t>42 094</w:t>
            </w:r>
          </w:p>
        </w:tc>
      </w:tr>
      <w:tr w:rsidR="00D83E7C" w:rsidRPr="0033523C" w:rsidTr="00790FF4">
        <w:tc>
          <w:tcPr>
            <w:tcW w:w="3080" w:type="dxa"/>
            <w:shd w:val="clear" w:color="auto" w:fill="auto"/>
          </w:tcPr>
          <w:p w:rsidR="00D83E7C" w:rsidRPr="0033523C" w:rsidRDefault="00D83E7C" w:rsidP="00790FF4">
            <w:pPr>
              <w:jc w:val="both"/>
              <w:rPr>
                <w:sz w:val="16"/>
                <w:szCs w:val="16"/>
              </w:rPr>
            </w:pPr>
          </w:p>
        </w:tc>
        <w:tc>
          <w:tcPr>
            <w:tcW w:w="3081" w:type="dxa"/>
            <w:shd w:val="clear" w:color="auto" w:fill="auto"/>
          </w:tcPr>
          <w:p w:rsidR="00D83E7C" w:rsidRPr="0033523C" w:rsidRDefault="00D83E7C" w:rsidP="00020D0F">
            <w:pPr>
              <w:rPr>
                <w:sz w:val="16"/>
                <w:szCs w:val="16"/>
              </w:rPr>
            </w:pPr>
            <w:r w:rsidRPr="0033523C">
              <w:rPr>
                <w:sz w:val="16"/>
                <w:szCs w:val="16"/>
              </w:rPr>
              <w:t>Braddon</w:t>
            </w:r>
          </w:p>
        </w:tc>
        <w:tc>
          <w:tcPr>
            <w:tcW w:w="3081" w:type="dxa"/>
            <w:shd w:val="clear" w:color="auto" w:fill="auto"/>
          </w:tcPr>
          <w:p w:rsidR="00D83E7C" w:rsidRPr="0033523C" w:rsidRDefault="00CD22A4" w:rsidP="0033523C">
            <w:pPr>
              <w:jc w:val="center"/>
              <w:rPr>
                <w:sz w:val="16"/>
                <w:szCs w:val="16"/>
              </w:rPr>
            </w:pPr>
            <w:r w:rsidRPr="0033523C">
              <w:rPr>
                <w:sz w:val="16"/>
                <w:szCs w:val="16"/>
              </w:rPr>
              <w:t>$</w:t>
            </w:r>
            <w:r w:rsidR="00D83E7C" w:rsidRPr="0033523C">
              <w:rPr>
                <w:sz w:val="16"/>
                <w:szCs w:val="16"/>
              </w:rPr>
              <w:t>45 920</w:t>
            </w:r>
          </w:p>
        </w:tc>
      </w:tr>
      <w:tr w:rsidR="00D83E7C" w:rsidRPr="0033523C" w:rsidTr="00790FF4">
        <w:tc>
          <w:tcPr>
            <w:tcW w:w="3080" w:type="dxa"/>
            <w:shd w:val="clear" w:color="auto" w:fill="auto"/>
          </w:tcPr>
          <w:p w:rsidR="00D83E7C" w:rsidRPr="0033523C" w:rsidRDefault="00D83E7C" w:rsidP="00790FF4">
            <w:pPr>
              <w:jc w:val="both"/>
              <w:rPr>
                <w:sz w:val="16"/>
                <w:szCs w:val="16"/>
              </w:rPr>
            </w:pPr>
          </w:p>
        </w:tc>
        <w:tc>
          <w:tcPr>
            <w:tcW w:w="3081" w:type="dxa"/>
            <w:shd w:val="clear" w:color="auto" w:fill="auto"/>
          </w:tcPr>
          <w:p w:rsidR="00D83E7C" w:rsidRPr="0033523C" w:rsidRDefault="00D83E7C" w:rsidP="00020D0F">
            <w:pPr>
              <w:rPr>
                <w:sz w:val="16"/>
                <w:szCs w:val="16"/>
              </w:rPr>
            </w:pPr>
            <w:r w:rsidRPr="0033523C">
              <w:rPr>
                <w:sz w:val="16"/>
                <w:szCs w:val="16"/>
              </w:rPr>
              <w:t>Denison</w:t>
            </w:r>
          </w:p>
        </w:tc>
        <w:tc>
          <w:tcPr>
            <w:tcW w:w="3081" w:type="dxa"/>
            <w:shd w:val="clear" w:color="auto" w:fill="auto"/>
          </w:tcPr>
          <w:p w:rsidR="00D83E7C" w:rsidRPr="0033523C" w:rsidRDefault="00D83E7C" w:rsidP="0033523C">
            <w:pPr>
              <w:jc w:val="center"/>
              <w:rPr>
                <w:sz w:val="16"/>
                <w:szCs w:val="16"/>
              </w:rPr>
            </w:pPr>
            <w:r w:rsidRPr="0033523C">
              <w:rPr>
                <w:sz w:val="16"/>
                <w:szCs w:val="16"/>
              </w:rPr>
              <w:t>$30 614</w:t>
            </w:r>
          </w:p>
        </w:tc>
      </w:tr>
      <w:tr w:rsidR="00D83E7C" w:rsidRPr="0033523C" w:rsidTr="00790FF4">
        <w:tc>
          <w:tcPr>
            <w:tcW w:w="3080" w:type="dxa"/>
            <w:shd w:val="clear" w:color="auto" w:fill="auto"/>
          </w:tcPr>
          <w:p w:rsidR="00D83E7C" w:rsidRPr="0033523C" w:rsidRDefault="00D83E7C" w:rsidP="00790FF4">
            <w:pPr>
              <w:jc w:val="both"/>
              <w:rPr>
                <w:sz w:val="16"/>
                <w:szCs w:val="16"/>
              </w:rPr>
            </w:pPr>
          </w:p>
        </w:tc>
        <w:tc>
          <w:tcPr>
            <w:tcW w:w="3081" w:type="dxa"/>
            <w:shd w:val="clear" w:color="auto" w:fill="auto"/>
          </w:tcPr>
          <w:p w:rsidR="00D83E7C" w:rsidRPr="0033523C" w:rsidRDefault="00D83E7C" w:rsidP="00020D0F">
            <w:pPr>
              <w:rPr>
                <w:sz w:val="16"/>
                <w:szCs w:val="16"/>
              </w:rPr>
            </w:pPr>
            <w:r w:rsidRPr="0033523C">
              <w:rPr>
                <w:sz w:val="16"/>
                <w:szCs w:val="16"/>
              </w:rPr>
              <w:t>Franklin</w:t>
            </w:r>
          </w:p>
        </w:tc>
        <w:tc>
          <w:tcPr>
            <w:tcW w:w="3081" w:type="dxa"/>
            <w:shd w:val="clear" w:color="auto" w:fill="auto"/>
          </w:tcPr>
          <w:p w:rsidR="00D83E7C" w:rsidRPr="0033523C" w:rsidRDefault="00D83E7C" w:rsidP="0033523C">
            <w:pPr>
              <w:jc w:val="center"/>
              <w:rPr>
                <w:sz w:val="16"/>
                <w:szCs w:val="16"/>
              </w:rPr>
            </w:pPr>
            <w:r w:rsidRPr="0033523C">
              <w:rPr>
                <w:sz w:val="16"/>
                <w:szCs w:val="16"/>
              </w:rPr>
              <w:t>$36 991</w:t>
            </w:r>
          </w:p>
        </w:tc>
      </w:tr>
      <w:tr w:rsidR="00D83E7C" w:rsidRPr="0033523C" w:rsidTr="00790FF4">
        <w:tc>
          <w:tcPr>
            <w:tcW w:w="3080" w:type="dxa"/>
            <w:shd w:val="clear" w:color="auto" w:fill="auto"/>
          </w:tcPr>
          <w:p w:rsidR="00D83E7C" w:rsidRPr="0033523C" w:rsidRDefault="00D83E7C" w:rsidP="00790FF4">
            <w:pPr>
              <w:jc w:val="both"/>
              <w:rPr>
                <w:sz w:val="16"/>
                <w:szCs w:val="16"/>
              </w:rPr>
            </w:pPr>
          </w:p>
        </w:tc>
        <w:tc>
          <w:tcPr>
            <w:tcW w:w="3081" w:type="dxa"/>
            <w:shd w:val="clear" w:color="auto" w:fill="auto"/>
          </w:tcPr>
          <w:p w:rsidR="00D83E7C" w:rsidRPr="0033523C" w:rsidRDefault="00D83E7C" w:rsidP="00020D0F">
            <w:pPr>
              <w:rPr>
                <w:sz w:val="16"/>
                <w:szCs w:val="16"/>
              </w:rPr>
            </w:pPr>
            <w:r w:rsidRPr="0033523C">
              <w:rPr>
                <w:sz w:val="16"/>
                <w:szCs w:val="16"/>
              </w:rPr>
              <w:t>Lyons</w:t>
            </w:r>
          </w:p>
        </w:tc>
        <w:tc>
          <w:tcPr>
            <w:tcW w:w="3081" w:type="dxa"/>
            <w:shd w:val="clear" w:color="auto" w:fill="auto"/>
          </w:tcPr>
          <w:p w:rsidR="00D83E7C" w:rsidRPr="0033523C" w:rsidRDefault="00D83E7C" w:rsidP="0033523C">
            <w:pPr>
              <w:jc w:val="center"/>
              <w:rPr>
                <w:sz w:val="16"/>
                <w:szCs w:val="16"/>
              </w:rPr>
            </w:pPr>
            <w:r w:rsidRPr="0033523C">
              <w:rPr>
                <w:sz w:val="16"/>
                <w:szCs w:val="16"/>
              </w:rPr>
              <w:t>$51 024</w:t>
            </w:r>
          </w:p>
        </w:tc>
      </w:tr>
    </w:tbl>
    <w:p w:rsidR="00D83E7C" w:rsidRPr="00D83E7C" w:rsidRDefault="00D83E7C" w:rsidP="00D83E7C">
      <w:pPr>
        <w:jc w:val="both"/>
      </w:pPr>
    </w:p>
    <w:p w:rsidR="004A5250" w:rsidRPr="004A5250" w:rsidRDefault="004A5250" w:rsidP="00F324DE">
      <w:pPr>
        <w:pStyle w:val="textbasic"/>
      </w:pPr>
      <w:r w:rsidRPr="004A5250">
        <w:t xml:space="preserve">This entitlement and the basis </w:t>
      </w:r>
      <w:r w:rsidR="00BB5480">
        <w:t>for the calculation of</w:t>
      </w:r>
      <w:r w:rsidRPr="004A5250">
        <w:t xml:space="preserve"> the current amounts </w:t>
      </w:r>
      <w:r w:rsidR="00BB5480">
        <w:t>were</w:t>
      </w:r>
      <w:r w:rsidRPr="004A5250">
        <w:t xml:space="preserve"> subject to an </w:t>
      </w:r>
      <w:r w:rsidR="00BB5480">
        <w:br/>
      </w:r>
      <w:r w:rsidRPr="004A5250">
        <w:t xml:space="preserve">in-depth review by </w:t>
      </w:r>
      <w:r w:rsidR="00070DE8">
        <w:t>the</w:t>
      </w:r>
      <w:r w:rsidRPr="004A5250">
        <w:t xml:space="preserve"> Committee of Review established in 2006. </w:t>
      </w:r>
    </w:p>
    <w:p w:rsidR="004A5250" w:rsidRPr="004A5250" w:rsidRDefault="004A5250" w:rsidP="00F324DE">
      <w:pPr>
        <w:pStyle w:val="textbasic"/>
      </w:pPr>
      <w:r w:rsidRPr="004A5250">
        <w:t>The amounts of the Allowance were significantly increased at that time and a number of other allowances were eliminated.</w:t>
      </w:r>
    </w:p>
    <w:p w:rsidR="004A5250" w:rsidRPr="004A5250" w:rsidRDefault="004A5250" w:rsidP="00F324DE">
      <w:pPr>
        <w:pStyle w:val="textbasic"/>
      </w:pPr>
      <w:r w:rsidRPr="004A5250">
        <w:t xml:space="preserve">Generally speaking, the purpose of </w:t>
      </w:r>
      <w:r w:rsidR="00BB5480">
        <w:t xml:space="preserve">the </w:t>
      </w:r>
      <w:r w:rsidRPr="004A5250">
        <w:t xml:space="preserve">Electorate Allowance is to cover expenses incurred by MPs in servicing the electorate, other than those expenses specifically covered by other allowances. The Report of the </w:t>
      </w:r>
      <w:r w:rsidR="00B74A76" w:rsidRPr="004A5250">
        <w:t xml:space="preserve">2006 </w:t>
      </w:r>
      <w:r w:rsidRPr="004A5250">
        <w:t>Committee of Review identified the following expense items that might appropriately fall within the purview of the Electorate Allowance. This is not necessarily an exhaustive list.</w:t>
      </w:r>
    </w:p>
    <w:p w:rsidR="004A5250" w:rsidRPr="00070DE8" w:rsidRDefault="0033523C" w:rsidP="0033523C">
      <w:pPr>
        <w:pStyle w:val="texti"/>
      </w:pPr>
      <w:r>
        <w:t>(i)</w:t>
      </w:r>
      <w:r>
        <w:tab/>
      </w:r>
      <w:r w:rsidR="004A5250" w:rsidRPr="00070DE8">
        <w:t>Accommodation expenses when travelling within the electorate</w:t>
      </w:r>
      <w:r w:rsidR="00B575E6">
        <w:t>,</w:t>
      </w:r>
    </w:p>
    <w:p w:rsidR="004A5250" w:rsidRPr="00070DE8" w:rsidRDefault="0033523C" w:rsidP="0033523C">
      <w:pPr>
        <w:pStyle w:val="texti"/>
      </w:pPr>
      <w:r>
        <w:t>(ii)</w:t>
      </w:r>
      <w:r>
        <w:tab/>
      </w:r>
      <w:r w:rsidR="004A5250" w:rsidRPr="00070DE8">
        <w:t>Postage, including newsletters</w:t>
      </w:r>
      <w:r w:rsidR="00B575E6">
        <w:t>,</w:t>
      </w:r>
    </w:p>
    <w:p w:rsidR="004A5250" w:rsidRPr="00070DE8" w:rsidRDefault="0033523C" w:rsidP="0033523C">
      <w:pPr>
        <w:pStyle w:val="texti"/>
      </w:pPr>
      <w:r>
        <w:lastRenderedPageBreak/>
        <w:t>(iii)</w:t>
      </w:r>
      <w:r>
        <w:tab/>
      </w:r>
      <w:r w:rsidR="004A5250" w:rsidRPr="00070DE8">
        <w:t>Pamphlet drops</w:t>
      </w:r>
      <w:r w:rsidR="00B575E6">
        <w:t>,</w:t>
      </w:r>
    </w:p>
    <w:p w:rsidR="004A5250" w:rsidRPr="00070DE8" w:rsidRDefault="0033523C" w:rsidP="0033523C">
      <w:pPr>
        <w:pStyle w:val="texti"/>
      </w:pPr>
      <w:r>
        <w:t>(iv)</w:t>
      </w:r>
      <w:r>
        <w:tab/>
      </w:r>
      <w:r w:rsidR="004A5250" w:rsidRPr="00070DE8">
        <w:t>Professional development in all its forms</w:t>
      </w:r>
      <w:r w:rsidR="00B575E6">
        <w:t>,</w:t>
      </w:r>
    </w:p>
    <w:p w:rsidR="004A5250" w:rsidRPr="00070DE8" w:rsidRDefault="0033523C" w:rsidP="0033523C">
      <w:pPr>
        <w:pStyle w:val="texti"/>
      </w:pPr>
      <w:r>
        <w:t>(v)</w:t>
      </w:r>
      <w:r>
        <w:tab/>
      </w:r>
      <w:r w:rsidR="004A5250" w:rsidRPr="00070DE8">
        <w:t>Communication with the electorate, surveys, focus groups etc</w:t>
      </w:r>
      <w:r w:rsidR="00B575E6">
        <w:t>,</w:t>
      </w:r>
    </w:p>
    <w:p w:rsidR="004A5250" w:rsidRPr="00070DE8" w:rsidRDefault="0033523C" w:rsidP="0033523C">
      <w:pPr>
        <w:pStyle w:val="texti"/>
      </w:pPr>
      <w:r>
        <w:t>(vi)</w:t>
      </w:r>
      <w:r>
        <w:tab/>
      </w:r>
      <w:r w:rsidR="004A5250" w:rsidRPr="00070DE8">
        <w:t>Upgrading to a non-standard vehicle</w:t>
      </w:r>
      <w:r w:rsidR="00B575E6">
        <w:t>,</w:t>
      </w:r>
      <w:r w:rsidR="004A5250" w:rsidRPr="00070DE8">
        <w:t xml:space="preserve"> </w:t>
      </w:r>
      <w:r w:rsidR="00B575E6">
        <w:t>eg</w:t>
      </w:r>
      <w:r w:rsidR="004A5250" w:rsidRPr="00070DE8">
        <w:t xml:space="preserve"> 4WD</w:t>
      </w:r>
      <w:r w:rsidR="00B575E6">
        <w:t>,</w:t>
      </w:r>
    </w:p>
    <w:p w:rsidR="004A5250" w:rsidRPr="00070DE8" w:rsidRDefault="0033523C" w:rsidP="0033523C">
      <w:pPr>
        <w:pStyle w:val="texti"/>
      </w:pPr>
      <w:r>
        <w:t>(vii)</w:t>
      </w:r>
      <w:r>
        <w:tab/>
      </w:r>
      <w:r w:rsidR="004A5250" w:rsidRPr="00070DE8">
        <w:t>Commissioning research projects</w:t>
      </w:r>
      <w:r w:rsidR="00B575E6">
        <w:t>,</w:t>
      </w:r>
    </w:p>
    <w:p w:rsidR="004A5250" w:rsidRPr="00070DE8" w:rsidRDefault="0033523C" w:rsidP="0033523C">
      <w:pPr>
        <w:pStyle w:val="texti"/>
      </w:pPr>
      <w:r>
        <w:t>(viii)</w:t>
      </w:r>
      <w:r>
        <w:tab/>
      </w:r>
      <w:r w:rsidR="004A5250" w:rsidRPr="00070DE8">
        <w:t>Entertainment</w:t>
      </w:r>
      <w:r w:rsidR="00B575E6">
        <w:t>,</w:t>
      </w:r>
    </w:p>
    <w:p w:rsidR="004A5250" w:rsidRPr="00070DE8" w:rsidRDefault="0033523C" w:rsidP="0033523C">
      <w:pPr>
        <w:pStyle w:val="texti"/>
      </w:pPr>
      <w:r>
        <w:t>(ix)</w:t>
      </w:r>
      <w:r>
        <w:tab/>
      </w:r>
      <w:r w:rsidR="004A5250" w:rsidRPr="00070DE8">
        <w:t>Attendance at community, business, education and sporting functions</w:t>
      </w:r>
      <w:r w:rsidR="00B575E6">
        <w:t>,</w:t>
      </w:r>
    </w:p>
    <w:p w:rsidR="004A5250" w:rsidRPr="00070DE8" w:rsidRDefault="0033523C" w:rsidP="0033523C">
      <w:pPr>
        <w:pStyle w:val="texti"/>
      </w:pPr>
      <w:r>
        <w:t>(x)</w:t>
      </w:r>
      <w:r>
        <w:tab/>
      </w:r>
      <w:r w:rsidR="004A5250" w:rsidRPr="00070DE8">
        <w:t>Subscriptions and donations to charitable, sporting and social organisations within the electorate</w:t>
      </w:r>
      <w:r w:rsidR="00B575E6">
        <w:t>,</w:t>
      </w:r>
    </w:p>
    <w:p w:rsidR="004A5250" w:rsidRPr="00070DE8" w:rsidRDefault="0033523C" w:rsidP="0033523C">
      <w:pPr>
        <w:pStyle w:val="texti"/>
      </w:pPr>
      <w:r>
        <w:t>(xi)</w:t>
      </w:r>
      <w:r>
        <w:tab/>
      </w:r>
      <w:r w:rsidR="004A5250" w:rsidRPr="00070DE8">
        <w:t>Advertisements of the Member's parliamentary activities within the electorate</w:t>
      </w:r>
      <w:r w:rsidR="00B575E6">
        <w:t>,</w:t>
      </w:r>
    </w:p>
    <w:p w:rsidR="004A5250" w:rsidRPr="00070DE8" w:rsidRDefault="0033523C" w:rsidP="0033523C">
      <w:pPr>
        <w:pStyle w:val="texti"/>
      </w:pPr>
      <w:r>
        <w:t>(xii)</w:t>
      </w:r>
      <w:r>
        <w:tab/>
      </w:r>
      <w:r w:rsidR="004A5250" w:rsidRPr="00070DE8">
        <w:t>Home office expenses</w:t>
      </w:r>
      <w:r w:rsidR="00B575E6">
        <w:t>,</w:t>
      </w:r>
    </w:p>
    <w:p w:rsidR="004A5250" w:rsidRPr="00070DE8" w:rsidRDefault="0033523C" w:rsidP="0033523C">
      <w:pPr>
        <w:pStyle w:val="texti"/>
      </w:pPr>
      <w:r>
        <w:t>(xiii)</w:t>
      </w:r>
      <w:r>
        <w:tab/>
      </w:r>
      <w:r w:rsidR="004A5250" w:rsidRPr="00070DE8">
        <w:t>Internet access fees</w:t>
      </w:r>
      <w:r w:rsidR="00B575E6">
        <w:t>,</w:t>
      </w:r>
      <w:r w:rsidR="00702D39">
        <w:t xml:space="preserve"> and</w:t>
      </w:r>
    </w:p>
    <w:p w:rsidR="004A5250" w:rsidRPr="0033523C" w:rsidRDefault="0033523C" w:rsidP="0033523C">
      <w:pPr>
        <w:pStyle w:val="texti"/>
      </w:pPr>
      <w:r w:rsidRPr="0033523C">
        <w:t>(xiv)</w:t>
      </w:r>
      <w:r w:rsidRPr="0033523C">
        <w:tab/>
      </w:r>
      <w:r w:rsidR="004A5250" w:rsidRPr="0033523C">
        <w:t>Taxi fares</w:t>
      </w:r>
      <w:r w:rsidR="00B575E6">
        <w:t>.</w:t>
      </w:r>
    </w:p>
    <w:p w:rsidR="004A5250" w:rsidRPr="004A5250" w:rsidRDefault="004A5250" w:rsidP="00F324DE">
      <w:pPr>
        <w:pStyle w:val="textbasic"/>
      </w:pPr>
      <w:r w:rsidRPr="004A5250">
        <w:t xml:space="preserve">The Electorate Allowance was not designed to cover every expense which might be considered desirable or justifiable. Rather, it was designed to provide for flexibility and to allow MPs to make informed choices as to where their priorities might lie within the constraint of the </w:t>
      </w:r>
      <w:r w:rsidR="000C7AA6">
        <w:t xml:space="preserve">available funds. For example, </w:t>
      </w:r>
      <w:r w:rsidR="006D5495">
        <w:t>an MP</w:t>
      </w:r>
      <w:r w:rsidRPr="004A5250">
        <w:t xml:space="preserve"> might choose to fund an electorate survey rather than overseas study conference or electorate newsletter.</w:t>
      </w:r>
    </w:p>
    <w:p w:rsidR="004A5250" w:rsidRPr="004A5250" w:rsidRDefault="004A5250" w:rsidP="00F324DE">
      <w:pPr>
        <w:pStyle w:val="textbasic"/>
      </w:pPr>
      <w:r w:rsidRPr="004A5250">
        <w:t>The 201</w:t>
      </w:r>
      <w:r w:rsidR="00161506">
        <w:t>4</w:t>
      </w:r>
      <w:r w:rsidRPr="004A5250">
        <w:t xml:space="preserve"> </w:t>
      </w:r>
      <w:r w:rsidR="00161506">
        <w:t>Report noted</w:t>
      </w:r>
      <w:r w:rsidRPr="004A5250">
        <w:t xml:space="preserve"> that the restructured allowance has worked satisfactorily, particularly in terms of administrative efficiency. Each MP must justify to the Australian Taxation Office the legitimacy of expenditure from the Electorate Allowance. </w:t>
      </w:r>
    </w:p>
    <w:p w:rsidR="004A5250" w:rsidRPr="004A5250" w:rsidRDefault="004A5250" w:rsidP="00F324DE">
      <w:pPr>
        <w:pStyle w:val="textbasic"/>
      </w:pPr>
      <w:r w:rsidRPr="004A5250">
        <w:t xml:space="preserve">The </w:t>
      </w:r>
      <w:r w:rsidR="00161506" w:rsidRPr="00161506">
        <w:t xml:space="preserve">2014 Report </w:t>
      </w:r>
      <w:r w:rsidRPr="004A5250">
        <w:t xml:space="preserve">also noted in passing that controversy which has been evident in a number of Australian Parliaments concerning ‘expenses’ charged to the taxpayer has been notably absent from the Tasmanian Parliament.  </w:t>
      </w:r>
    </w:p>
    <w:p w:rsidR="004A5250" w:rsidRPr="004A5250" w:rsidRDefault="004A5250" w:rsidP="00F324DE">
      <w:pPr>
        <w:pStyle w:val="textbasic"/>
      </w:pPr>
      <w:r w:rsidRPr="004A5250">
        <w:t>The majority of submissions to the Tribunal indicated that the allowance was ‘adequate’ but invariably fully expended.  There were some suggestions that the disparity between geographically large and small electorates was too great given that a vehicle had been provided at the time of the 2006 review. However</w:t>
      </w:r>
      <w:r w:rsidR="00BB5480">
        <w:t>,</w:t>
      </w:r>
      <w:r w:rsidRPr="004A5250">
        <w:t xml:space="preserve"> this was strongly refuted by other submissions pointing to the need for such things as additional travel involving overnight stays, a disproportionate number of schools, community groups and community newspapers which are part and parcel of serving a larger electorate.</w:t>
      </w:r>
    </w:p>
    <w:p w:rsidR="004A5250" w:rsidRPr="004A5250" w:rsidRDefault="004A5250" w:rsidP="00F324DE">
      <w:pPr>
        <w:pStyle w:val="textbasic"/>
      </w:pPr>
      <w:r w:rsidRPr="004A5250">
        <w:t xml:space="preserve">The </w:t>
      </w:r>
      <w:r w:rsidR="00161506">
        <w:t>2014 Report</w:t>
      </w:r>
      <w:r w:rsidRPr="004A5250">
        <w:t xml:space="preserve"> noted that Electorate Allowances in other jurisdictions invariably bear a direct relation</w:t>
      </w:r>
      <w:r w:rsidR="00BB5480">
        <w:t xml:space="preserve"> to</w:t>
      </w:r>
      <w:r w:rsidRPr="004A5250">
        <w:t xml:space="preserve"> the geographic size of the electorate.</w:t>
      </w:r>
    </w:p>
    <w:p w:rsidR="004A5250" w:rsidRDefault="00161506" w:rsidP="00F324DE">
      <w:pPr>
        <w:pStyle w:val="textbasic"/>
      </w:pPr>
      <w:r>
        <w:t>In the 2014 Report, t</w:t>
      </w:r>
      <w:r w:rsidR="004A5250" w:rsidRPr="004A5250">
        <w:t>he Tribunal recommended that the existing allowances be adjusted from 1</w:t>
      </w:r>
      <w:r w:rsidR="007473DA">
        <w:t> </w:t>
      </w:r>
      <w:r w:rsidR="004A5250" w:rsidRPr="004A5250">
        <w:t>July 2014 in line with the change in the CPI (2.76%), with any future annual adjustments linked to the increases in CPI.  However</w:t>
      </w:r>
      <w:r w:rsidR="00BB5480">
        <w:t>,</w:t>
      </w:r>
      <w:r w:rsidR="004A5250" w:rsidRPr="004A5250">
        <w:t xml:space="preserve"> the Tribunal went on to note that the relativity of the amounts </w:t>
      </w:r>
      <w:r w:rsidR="004A5250" w:rsidRPr="004A5250">
        <w:lastRenderedPageBreak/>
        <w:t>of the various allowances may well be an appropriate matter for consideration at the next triennial review</w:t>
      </w:r>
      <w:r w:rsidR="00323D75">
        <w:t>.</w:t>
      </w:r>
      <w:r w:rsidR="004A5250" w:rsidRPr="004A5250">
        <w:rPr>
          <w:vertAlign w:val="superscript"/>
        </w:rPr>
        <w:footnoteReference w:id="67"/>
      </w:r>
      <w:r w:rsidR="004A5250" w:rsidRPr="004A5250">
        <w:t xml:space="preserve"> </w:t>
      </w:r>
    </w:p>
    <w:p w:rsidR="00070DE8" w:rsidRDefault="00020A69" w:rsidP="00F324DE">
      <w:pPr>
        <w:pStyle w:val="textbasic"/>
      </w:pPr>
      <w:r>
        <w:t>As part of the 2015 Issues Paper, t</w:t>
      </w:r>
      <w:r w:rsidR="00070DE8" w:rsidRPr="00070DE8">
        <w:t xml:space="preserve">he Commission </w:t>
      </w:r>
      <w:r>
        <w:t>sought</w:t>
      </w:r>
      <w:r w:rsidR="00070DE8" w:rsidRPr="00070DE8">
        <w:t xml:space="preserve"> submissions about whether there is reason to depart from </w:t>
      </w:r>
      <w:r w:rsidR="00B575E6">
        <w:t xml:space="preserve">the </w:t>
      </w:r>
      <w:r w:rsidR="00070DE8" w:rsidRPr="00070DE8">
        <w:t>recommendation of the 201</w:t>
      </w:r>
      <w:r w:rsidR="00CC17E2">
        <w:t>4</w:t>
      </w:r>
      <w:r w:rsidR="00070DE8" w:rsidRPr="00070DE8">
        <w:t xml:space="preserve"> </w:t>
      </w:r>
      <w:r w:rsidR="00CC17E2">
        <w:t>Report</w:t>
      </w:r>
      <w:r w:rsidR="00870928">
        <w:t>.</w:t>
      </w:r>
    </w:p>
    <w:p w:rsidR="007473DA" w:rsidRDefault="00CC17E2" w:rsidP="00F324DE">
      <w:pPr>
        <w:pStyle w:val="textbasic"/>
      </w:pPr>
      <w:r w:rsidRPr="00CC17E2">
        <w:t xml:space="preserve">The </w:t>
      </w:r>
      <w:r w:rsidRPr="00CC17E2">
        <w:rPr>
          <w:b/>
        </w:rPr>
        <w:t>CPSU</w:t>
      </w:r>
      <w:r w:rsidRPr="00CC17E2">
        <w:t xml:space="preserve"> submit</w:t>
      </w:r>
      <w:r w:rsidR="007473DA">
        <w:t>s</w:t>
      </w:r>
      <w:r>
        <w:t xml:space="preserve"> that</w:t>
      </w:r>
      <w:r w:rsidR="00B575E6">
        <w:t>:</w:t>
      </w:r>
      <w:r w:rsidRPr="00CC17E2">
        <w:t xml:space="preserve"> </w:t>
      </w:r>
    </w:p>
    <w:p w:rsidR="00CC17E2" w:rsidRDefault="00CC17E2" w:rsidP="007473DA">
      <w:pPr>
        <w:pStyle w:val="quoteitalics1"/>
      </w:pPr>
      <w:r>
        <w:t>“</w:t>
      </w:r>
      <w:r w:rsidR="007473DA">
        <w:tab/>
      </w:r>
      <w:r w:rsidRPr="00CC17E2">
        <w:t>there’s no reason to depart from the 2013 Tribunal recommendation but believes there must be clarity about what the electorate allowance is for. There seems to be confusion about items such as internet data and IT and communications equipment and whether these should be paid from electorate or telecommunications allowances.</w:t>
      </w:r>
      <w:r>
        <w:t>”</w:t>
      </w:r>
    </w:p>
    <w:p w:rsidR="00CC17E2" w:rsidRDefault="00CC17E2" w:rsidP="00F324DE">
      <w:pPr>
        <w:pStyle w:val="textbasic"/>
      </w:pPr>
      <w:r>
        <w:t xml:space="preserve">The </w:t>
      </w:r>
      <w:r w:rsidR="00712B10">
        <w:rPr>
          <w:b/>
        </w:rPr>
        <w:t>ANMF (Tas)</w:t>
      </w:r>
      <w:r>
        <w:t xml:space="preserve"> also </w:t>
      </w:r>
      <w:r w:rsidR="00B575E6">
        <w:t>seeks</w:t>
      </w:r>
      <w:r>
        <w:t xml:space="preserve"> a r</w:t>
      </w:r>
      <w:r w:rsidRPr="00CC17E2">
        <w:t>efine</w:t>
      </w:r>
      <w:r>
        <w:t>ment of the</w:t>
      </w:r>
      <w:r w:rsidRPr="00CC17E2">
        <w:t xml:space="preserve"> criteria for electorate allowance</w:t>
      </w:r>
      <w:r w:rsidR="00C72F12">
        <w:t>s</w:t>
      </w:r>
      <w:r w:rsidRPr="00CC17E2">
        <w:t xml:space="preserve"> to bring </w:t>
      </w:r>
      <w:r w:rsidR="00BB5480">
        <w:t xml:space="preserve">them </w:t>
      </w:r>
      <w:r w:rsidRPr="00CC17E2">
        <w:t xml:space="preserve">in line with community expectation and transparency. </w:t>
      </w:r>
      <w:r>
        <w:t>It proposes that:</w:t>
      </w:r>
    </w:p>
    <w:p w:rsidR="00CC17E2" w:rsidRDefault="0033523C" w:rsidP="0033523C">
      <w:pPr>
        <w:pStyle w:val="texti"/>
      </w:pPr>
      <w:r>
        <w:t>(i)</w:t>
      </w:r>
      <w:r>
        <w:tab/>
        <w:t>A</w:t>
      </w:r>
      <w:r w:rsidR="00CC17E2">
        <w:t xml:space="preserve"> s</w:t>
      </w:r>
      <w:r w:rsidR="00CC17E2" w:rsidRPr="00CC17E2">
        <w:t>trict policy and criteria be developed to ensure this allowance is confined to electorate use</w:t>
      </w:r>
      <w:r w:rsidR="00BB5480">
        <w:t xml:space="preserve"> -</w:t>
      </w:r>
      <w:r w:rsidR="00CC17E2" w:rsidRPr="00CC17E2">
        <w:t xml:space="preserve"> public communication</w:t>
      </w:r>
      <w:r w:rsidR="00BB5480">
        <w:t>,</w:t>
      </w:r>
      <w:r w:rsidR="00CC17E2" w:rsidRPr="00CC17E2">
        <w:t xml:space="preserve"> i.e. brochures, newspaper advertisements of whereabouts, commissioning research and postage</w:t>
      </w:r>
      <w:r w:rsidR="00CC17E2">
        <w:t xml:space="preserve"> with </w:t>
      </w:r>
      <w:r w:rsidR="00CC17E2" w:rsidRPr="00CC17E2">
        <w:t>the legitimacy of expenditure justified through the ATO</w:t>
      </w:r>
      <w:r w:rsidR="00B575E6">
        <w:t>,</w:t>
      </w:r>
    </w:p>
    <w:p w:rsidR="00CC17E2" w:rsidRDefault="0033523C" w:rsidP="0033523C">
      <w:pPr>
        <w:pStyle w:val="texti"/>
      </w:pPr>
      <w:r>
        <w:t>(ii)</w:t>
      </w:r>
      <w:r>
        <w:tab/>
        <w:t>R</w:t>
      </w:r>
      <w:r w:rsidRPr="00CC17E2">
        <w:t xml:space="preserve">eceipts </w:t>
      </w:r>
      <w:r w:rsidR="00CC17E2" w:rsidRPr="00CC17E2">
        <w:t>be required for auditing</w:t>
      </w:r>
      <w:r w:rsidR="00B575E6">
        <w:t>,</w:t>
      </w:r>
      <w:r w:rsidR="00CC17E2" w:rsidRPr="00CC17E2">
        <w:t xml:space="preserve"> </w:t>
      </w:r>
    </w:p>
    <w:p w:rsidR="00CC17E2" w:rsidRPr="00CC17E2" w:rsidRDefault="0033523C" w:rsidP="0033523C">
      <w:pPr>
        <w:pStyle w:val="texti"/>
      </w:pPr>
      <w:r>
        <w:t>(iii)</w:t>
      </w:r>
      <w:r>
        <w:tab/>
        <w:t>A</w:t>
      </w:r>
      <w:r w:rsidR="00CC17E2">
        <w:t xml:space="preserve"> </w:t>
      </w:r>
      <w:r w:rsidR="00712B10">
        <w:t xml:space="preserve">component of the </w:t>
      </w:r>
      <w:r w:rsidR="00CC17E2" w:rsidRPr="00CC17E2">
        <w:t xml:space="preserve">allowance </w:t>
      </w:r>
      <w:r w:rsidR="00712B10">
        <w:t>be defined and reserved for professional development expenses</w:t>
      </w:r>
      <w:r w:rsidR="00B575E6">
        <w:t>,</w:t>
      </w:r>
      <w:r w:rsidR="00CC17E2" w:rsidRPr="00CC17E2">
        <w:t xml:space="preserve"> </w:t>
      </w:r>
      <w:r w:rsidR="00BB5480">
        <w:t>and</w:t>
      </w:r>
    </w:p>
    <w:p w:rsidR="00CC17E2" w:rsidRPr="00CC17E2" w:rsidRDefault="0033523C" w:rsidP="0033523C">
      <w:pPr>
        <w:pStyle w:val="texti"/>
      </w:pPr>
      <w:r>
        <w:t>(iv)</w:t>
      </w:r>
      <w:r>
        <w:tab/>
        <w:t xml:space="preserve">The </w:t>
      </w:r>
      <w:r w:rsidR="00CC17E2" w:rsidRPr="00CC17E2">
        <w:t xml:space="preserve">allowance </w:t>
      </w:r>
      <w:r w:rsidR="00CC17E2">
        <w:t>not</w:t>
      </w:r>
      <w:r w:rsidR="00CC17E2" w:rsidRPr="00CC17E2">
        <w:t xml:space="preserve"> be used discretionally </w:t>
      </w:r>
      <w:r w:rsidR="00CC17E2">
        <w:t xml:space="preserve">on </w:t>
      </w:r>
      <w:r w:rsidR="00CC17E2" w:rsidRPr="00CC17E2">
        <w:t>items which are covered by another allowance</w:t>
      </w:r>
      <w:r w:rsidR="00BB5480">
        <w:t>,</w:t>
      </w:r>
      <w:r w:rsidR="00CC17E2" w:rsidRPr="00CC17E2">
        <w:t xml:space="preserve"> e.g. home office expenses, internet access f</w:t>
      </w:r>
      <w:r w:rsidR="00BB5480">
        <w:t xml:space="preserve">ees, taxi fares, entertainment or </w:t>
      </w:r>
      <w:r w:rsidR="00CC17E2" w:rsidRPr="00CC17E2">
        <w:t xml:space="preserve">accommodation expenses, which could be perceived as double dipping with other entitlements. </w:t>
      </w:r>
    </w:p>
    <w:p w:rsidR="00C72F12" w:rsidRDefault="00712B10" w:rsidP="00F324DE">
      <w:pPr>
        <w:pStyle w:val="textbasic"/>
      </w:pPr>
      <w:r>
        <w:t xml:space="preserve">However the </w:t>
      </w:r>
      <w:r>
        <w:rPr>
          <w:b/>
        </w:rPr>
        <w:t xml:space="preserve">ANMF (Tas) </w:t>
      </w:r>
      <w:r>
        <w:t>also suggests an alternative approach whereby</w:t>
      </w:r>
      <w:r w:rsidR="00B575E6">
        <w:t>:</w:t>
      </w:r>
      <w:r w:rsidR="00CC17E2" w:rsidRPr="00CC17E2">
        <w:t xml:space="preserve"> </w:t>
      </w:r>
    </w:p>
    <w:p w:rsidR="00CC17E2" w:rsidRDefault="00712B10" w:rsidP="00C72F12">
      <w:pPr>
        <w:pStyle w:val="quoteitalics1"/>
      </w:pPr>
      <w:r>
        <w:t>“</w:t>
      </w:r>
      <w:r w:rsidR="00C72F12">
        <w:tab/>
      </w:r>
      <w:r w:rsidR="00CC17E2" w:rsidRPr="00CC17E2">
        <w:t xml:space="preserve">the base electoral allowance </w:t>
      </w:r>
      <w:r>
        <w:t xml:space="preserve">of </w:t>
      </w:r>
      <w:r w:rsidR="00CC17E2" w:rsidRPr="00CC17E2">
        <w:t>$30</w:t>
      </w:r>
      <w:r>
        <w:t xml:space="preserve"> </w:t>
      </w:r>
      <w:r w:rsidR="00CC17E2" w:rsidRPr="00CC17E2">
        <w:t xml:space="preserve">614 </w:t>
      </w:r>
      <w:r>
        <w:t xml:space="preserve">pa </w:t>
      </w:r>
      <w:r w:rsidR="00E86B39">
        <w:t xml:space="preserve">could </w:t>
      </w:r>
      <w:r w:rsidR="00CC17E2" w:rsidRPr="00CC17E2">
        <w:t xml:space="preserve">be built into the base salary with a true extra </w:t>
      </w:r>
      <w:r>
        <w:t>allowance</w:t>
      </w:r>
      <w:r w:rsidR="00CC17E2" w:rsidRPr="00CC17E2">
        <w:t xml:space="preserve"> </w:t>
      </w:r>
      <w:r>
        <w:t xml:space="preserve">to only apply </w:t>
      </w:r>
      <w:r w:rsidR="00CC17E2" w:rsidRPr="00CC17E2">
        <w:t>for rural electorates based on a percentage increase and reimbursed based on ATO approval.</w:t>
      </w:r>
      <w:r>
        <w:t>”</w:t>
      </w:r>
    </w:p>
    <w:p w:rsidR="00020A69" w:rsidRPr="001B2C0D" w:rsidRDefault="00020A69" w:rsidP="00F324DE">
      <w:pPr>
        <w:pStyle w:val="textbasic"/>
      </w:pPr>
      <w:r w:rsidRPr="001B2C0D">
        <w:t>The administrative efficiency of the existing structure, as noted in the 2014 Report</w:t>
      </w:r>
      <w:r w:rsidR="00BB5480">
        <w:t>,</w:t>
      </w:r>
      <w:r w:rsidRPr="001B2C0D">
        <w:t xml:space="preserve"> was again confirmed in representations to this Inquiry. Similarly we were informed that the quantum of the allowance was generally considered to be adequate, but invariably fully expended.</w:t>
      </w:r>
    </w:p>
    <w:p w:rsidR="00020A69" w:rsidRDefault="00020A69" w:rsidP="00F324DE">
      <w:pPr>
        <w:pStyle w:val="textbasic"/>
      </w:pPr>
      <w:r w:rsidRPr="001B2C0D">
        <w:t xml:space="preserve">Notwithstanding the observations in the 2014 Report, nothing was put to us suggesting any change in the relativity between electorates. Accordingly, </w:t>
      </w:r>
      <w:r w:rsidR="00B575E6">
        <w:t xml:space="preserve">we </w:t>
      </w:r>
      <w:r w:rsidRPr="001B2C0D">
        <w:t>intend to continue with the relativity established in the 2006 Report.</w:t>
      </w:r>
    </w:p>
    <w:p w:rsidR="00712B10" w:rsidRDefault="00712B10" w:rsidP="00F324DE">
      <w:pPr>
        <w:pStyle w:val="textbasic"/>
      </w:pPr>
      <w:r>
        <w:t xml:space="preserve">Despite the </w:t>
      </w:r>
      <w:r w:rsidRPr="007473DA">
        <w:rPr>
          <w:b/>
        </w:rPr>
        <w:t>ANMF (Tas)</w:t>
      </w:r>
      <w:r>
        <w:t xml:space="preserve"> alternative suggestion</w:t>
      </w:r>
      <w:r w:rsidR="00BB5480">
        <w:t>,</w:t>
      </w:r>
      <w:r>
        <w:t xml:space="preserve"> we think the nature of the Electorate Allowance is different </w:t>
      </w:r>
      <w:r w:rsidR="00BB5480">
        <w:t>from</w:t>
      </w:r>
      <w:r>
        <w:t xml:space="preserve"> salary</w:t>
      </w:r>
      <w:r w:rsidR="00BB5480">
        <w:t>,</w:t>
      </w:r>
      <w:r>
        <w:t xml:space="preserve"> and to incorporate some or all of the allowance into a salary would not be appropriate.</w:t>
      </w:r>
    </w:p>
    <w:p w:rsidR="00712B10" w:rsidRPr="001B2C0D" w:rsidRDefault="00FB4D49" w:rsidP="00F324DE">
      <w:pPr>
        <w:pStyle w:val="textbasic"/>
      </w:pPr>
      <w:r>
        <w:t>We can see some merit in the suggestions that the purpose and legitimate uses of the Electorate Allowance be clarified or tightened up.  However</w:t>
      </w:r>
      <w:r w:rsidR="00BB5480">
        <w:t>,</w:t>
      </w:r>
      <w:r>
        <w:t xml:space="preserve"> we did not consider that we have received sufficient submissions from a range of those people affected</w:t>
      </w:r>
      <w:r w:rsidR="00BB5480">
        <w:t>,</w:t>
      </w:r>
      <w:r>
        <w:t xml:space="preserve"> or had available other information</w:t>
      </w:r>
      <w:r w:rsidR="00BB5480">
        <w:t>,</w:t>
      </w:r>
      <w:r>
        <w:t xml:space="preserve"> to make a determination on this matter as part of this Inquiry.  The 2006 Report dealt extensively </w:t>
      </w:r>
      <w:r>
        <w:lastRenderedPageBreak/>
        <w:t>with the Electorate Allowance</w:t>
      </w:r>
      <w:r w:rsidR="00BB5480">
        <w:t>,</w:t>
      </w:r>
      <w:r>
        <w:t xml:space="preserve"> the rationale for it and the types of expenses for which it should be used.  Given that report will be 10 years old in 2016</w:t>
      </w:r>
      <w:r w:rsidR="00BB5480">
        <w:t>,</w:t>
      </w:r>
      <w:r>
        <w:t xml:space="preserve"> we consider that a detailed review of the allowance should be undertaken as part of our proposed next </w:t>
      </w:r>
      <w:r w:rsidR="00BB5480">
        <w:t xml:space="preserve">Inquiry </w:t>
      </w:r>
      <w:r>
        <w:t>in 2017-18.</w:t>
      </w:r>
    </w:p>
    <w:p w:rsidR="00020A69" w:rsidRPr="001B2C0D" w:rsidRDefault="00020A69" w:rsidP="00F324DE">
      <w:pPr>
        <w:pStyle w:val="textbasic"/>
      </w:pPr>
      <w:r w:rsidRPr="001B2C0D">
        <w:t>The 2014 Report recommended that existing allowances be increased in line with the change in the CPI effective from 1 July 2014. This was not adopted. Instead</w:t>
      </w:r>
      <w:r w:rsidR="00BB5480">
        <w:t>,</w:t>
      </w:r>
      <w:r w:rsidRPr="001B2C0D">
        <w:t xml:space="preserve"> the allowances were adjusted by 2% from 1 July 2015, presumably in line with change in the </w:t>
      </w:r>
      <w:r w:rsidR="00BB5480" w:rsidRPr="001B2C0D">
        <w:t>basic salary</w:t>
      </w:r>
      <w:r w:rsidRPr="001B2C0D">
        <w:t>.</w:t>
      </w:r>
    </w:p>
    <w:p w:rsidR="00C72F12" w:rsidRPr="00C72F12" w:rsidRDefault="00C72F12" w:rsidP="00F324DE">
      <w:pPr>
        <w:pStyle w:val="textbasic"/>
      </w:pPr>
      <w:r w:rsidRPr="00C72F12">
        <w:t xml:space="preserve">We conclude that the recommendation of the 2014 Report was soundly based. </w:t>
      </w:r>
    </w:p>
    <w:p w:rsidR="00712B10" w:rsidRPr="001B2C0D" w:rsidRDefault="00712B10" w:rsidP="00CC5844">
      <w:pPr>
        <w:pStyle w:val="Heading2"/>
      </w:pPr>
      <w:bookmarkStart w:id="62" w:name="_Toc443486936"/>
      <w:r>
        <w:t xml:space="preserve">9.2 </w:t>
      </w:r>
      <w:r>
        <w:tab/>
        <w:t>Recommendation</w:t>
      </w:r>
      <w:bookmarkEnd w:id="62"/>
    </w:p>
    <w:p w:rsidR="007A70AC" w:rsidRPr="007A70AC" w:rsidRDefault="00020A69" w:rsidP="00F324DE">
      <w:pPr>
        <w:pStyle w:val="textbasic"/>
      </w:pPr>
      <w:r w:rsidRPr="007A70AC">
        <w:t xml:space="preserve">We </w:t>
      </w:r>
      <w:r w:rsidR="00712B10" w:rsidRPr="007A70AC">
        <w:t>recommend that</w:t>
      </w:r>
      <w:r w:rsidR="00B575E6">
        <w:t>:</w:t>
      </w:r>
      <w:r w:rsidRPr="007A70AC">
        <w:t xml:space="preserve"> </w:t>
      </w:r>
    </w:p>
    <w:p w:rsidR="00020A69" w:rsidRPr="008A48EB" w:rsidRDefault="005408E6" w:rsidP="005408E6">
      <w:pPr>
        <w:pStyle w:val="textbasic"/>
        <w:ind w:left="709" w:hanging="709"/>
        <w:rPr>
          <w:b/>
        </w:rPr>
      </w:pPr>
      <w:r>
        <w:rPr>
          <w:b/>
        </w:rPr>
        <w:t>(8)</w:t>
      </w:r>
      <w:r>
        <w:rPr>
          <w:b/>
        </w:rPr>
        <w:tab/>
      </w:r>
      <w:r w:rsidR="007A70AC" w:rsidRPr="008A48EB">
        <w:rPr>
          <w:b/>
        </w:rPr>
        <w:t xml:space="preserve">The </w:t>
      </w:r>
      <w:r w:rsidR="00712B10" w:rsidRPr="008A48EB">
        <w:rPr>
          <w:b/>
        </w:rPr>
        <w:t xml:space="preserve">Electorate Allowance </w:t>
      </w:r>
      <w:r w:rsidR="00020A69" w:rsidRPr="008A48EB">
        <w:rPr>
          <w:b/>
        </w:rPr>
        <w:t>be recalculated, based on the 2014 recommendation, adjusted for the change in the CPI, Hobart, All Groups</w:t>
      </w:r>
      <w:r w:rsidR="00B575E6">
        <w:rPr>
          <w:b/>
        </w:rPr>
        <w:t xml:space="preserve"> </w:t>
      </w:r>
      <w:r w:rsidR="00E14D34">
        <w:rPr>
          <w:b/>
          <w:lang w:val="en-AU"/>
        </w:rPr>
        <w:t>(</w:t>
      </w:r>
      <w:r w:rsidR="00F67F05" w:rsidRPr="008A48EB">
        <w:rPr>
          <w:b/>
          <w:lang w:val="en-AU"/>
        </w:rPr>
        <w:t>ABS Catalogue 6401.0</w:t>
      </w:r>
      <w:r w:rsidR="00E14D34">
        <w:rPr>
          <w:b/>
          <w:lang w:val="en-AU"/>
        </w:rPr>
        <w:t>)</w:t>
      </w:r>
      <w:r w:rsidR="00020A69" w:rsidRPr="008A48EB">
        <w:rPr>
          <w:b/>
        </w:rPr>
        <w:t>, between June quarter 2014 and December quarter 2015, to apply from 1 July 2016.</w:t>
      </w:r>
    </w:p>
    <w:p w:rsidR="00020A69" w:rsidRPr="008A48EB" w:rsidRDefault="005408E6" w:rsidP="005408E6">
      <w:pPr>
        <w:pStyle w:val="textbasic"/>
        <w:ind w:left="709" w:hanging="709"/>
        <w:rPr>
          <w:b/>
        </w:rPr>
      </w:pPr>
      <w:r>
        <w:rPr>
          <w:b/>
        </w:rPr>
        <w:t>(9)</w:t>
      </w:r>
      <w:r>
        <w:rPr>
          <w:b/>
        </w:rPr>
        <w:tab/>
      </w:r>
      <w:r w:rsidR="00020A69" w:rsidRPr="008A48EB">
        <w:rPr>
          <w:b/>
        </w:rPr>
        <w:t xml:space="preserve">Thereafter the </w:t>
      </w:r>
      <w:r w:rsidR="003662FC" w:rsidRPr="0014382D">
        <w:rPr>
          <w:b/>
          <w:lang w:val="en-AU"/>
        </w:rPr>
        <w:t xml:space="preserve">Electorate Allowance </w:t>
      </w:r>
      <w:r w:rsidR="00020A69" w:rsidRPr="008A48EB">
        <w:rPr>
          <w:b/>
        </w:rPr>
        <w:t xml:space="preserve">be adjusted by the change in the relevant CPI index for the 12 months preceding the December quarter in each financial year, </w:t>
      </w:r>
      <w:r w:rsidR="00BB5480">
        <w:rPr>
          <w:b/>
        </w:rPr>
        <w:t>to</w:t>
      </w:r>
      <w:r w:rsidR="00020A69" w:rsidRPr="008A48EB">
        <w:rPr>
          <w:b/>
        </w:rPr>
        <w:t xml:space="preserve"> apply from 1 July next occurring.</w:t>
      </w:r>
    </w:p>
    <w:p w:rsidR="008A3C5E" w:rsidRPr="008A48EB" w:rsidRDefault="007473DA" w:rsidP="005408E6">
      <w:pPr>
        <w:pStyle w:val="textbasic"/>
        <w:ind w:left="709" w:hanging="709"/>
        <w:rPr>
          <w:b/>
        </w:rPr>
      </w:pPr>
      <w:r>
        <w:rPr>
          <w:b/>
        </w:rPr>
        <w:t>(</w:t>
      </w:r>
      <w:r w:rsidR="005408E6">
        <w:rPr>
          <w:b/>
        </w:rPr>
        <w:t>10</w:t>
      </w:r>
      <w:r>
        <w:rPr>
          <w:b/>
        </w:rPr>
        <w:t>)</w:t>
      </w:r>
      <w:r>
        <w:rPr>
          <w:b/>
        </w:rPr>
        <w:tab/>
      </w:r>
      <w:r w:rsidR="007A70AC">
        <w:rPr>
          <w:b/>
        </w:rPr>
        <w:t>T</w:t>
      </w:r>
      <w:r w:rsidR="008A3C5E" w:rsidRPr="008A48EB">
        <w:rPr>
          <w:b/>
        </w:rPr>
        <w:t xml:space="preserve">he objective, legitimate uses and administration of the Electorate Allowance be considered as related matters (in the sense of section 3C(2) of the 2012 Act) for the purpose of the next Inquiry of the Commission </w:t>
      </w:r>
      <w:r>
        <w:rPr>
          <w:b/>
        </w:rPr>
        <w:t>in 2017-18</w:t>
      </w:r>
      <w:r w:rsidR="008A3C5E" w:rsidRPr="008A48EB">
        <w:rPr>
          <w:b/>
        </w:rPr>
        <w:t xml:space="preserve">. </w:t>
      </w:r>
    </w:p>
    <w:p w:rsidR="004A5250" w:rsidRDefault="00870928" w:rsidP="00F700FC">
      <w:pPr>
        <w:pStyle w:val="Heading1"/>
      </w:pPr>
      <w:bookmarkStart w:id="63" w:name="_Toc443486937"/>
      <w:r>
        <w:t>10</w:t>
      </w:r>
      <w:r>
        <w:tab/>
      </w:r>
      <w:r w:rsidR="004A5250">
        <w:t>Committee Sitting Fees</w:t>
      </w:r>
      <w:bookmarkEnd w:id="63"/>
    </w:p>
    <w:p w:rsidR="004A5250" w:rsidRPr="00B91C4D" w:rsidRDefault="00B34CCE" w:rsidP="00CC5844">
      <w:pPr>
        <w:pStyle w:val="Heading2"/>
      </w:pPr>
      <w:bookmarkStart w:id="64" w:name="_Toc443486938"/>
      <w:r>
        <w:t>10.1</w:t>
      </w:r>
      <w:r>
        <w:tab/>
      </w:r>
      <w:r w:rsidR="004D229F">
        <w:t>Information</w:t>
      </w:r>
      <w:bookmarkEnd w:id="64"/>
    </w:p>
    <w:p w:rsidR="004A5250" w:rsidRPr="008A49C0" w:rsidRDefault="004A5250" w:rsidP="00F324DE">
      <w:pPr>
        <w:pStyle w:val="textbasic"/>
      </w:pPr>
      <w:r w:rsidRPr="008A49C0">
        <w:t xml:space="preserve">The </w:t>
      </w:r>
      <w:r w:rsidR="009C2293">
        <w:t>2012 Act</w:t>
      </w:r>
      <w:r>
        <w:rPr>
          <w:rStyle w:val="FootnoteReference"/>
        </w:rPr>
        <w:footnoteReference w:id="68"/>
      </w:r>
      <w:r w:rsidRPr="008A49C0">
        <w:t xml:space="preserve"> provides for Committee sitting fees on the following basis:</w:t>
      </w:r>
    </w:p>
    <w:p w:rsidR="004A5250" w:rsidRPr="00C7460A" w:rsidRDefault="004321E6" w:rsidP="00F700FC">
      <w:pPr>
        <w:pStyle w:val="quoteitalics1"/>
        <w:rPr>
          <w:i w:val="0"/>
        </w:rPr>
      </w:pPr>
      <w:r w:rsidRPr="00C7460A">
        <w:rPr>
          <w:i w:val="0"/>
        </w:rPr>
        <w:tab/>
      </w:r>
      <w:r w:rsidR="004A5250" w:rsidRPr="00C7460A">
        <w:rPr>
          <w:i w:val="0"/>
        </w:rPr>
        <w:t>A member of a Standing Committee is paid a daily sitting fee for each day on which a member attends a summoned meeting of the Committee, according to the following scale:</w:t>
      </w:r>
    </w:p>
    <w:p w:rsidR="004A5250" w:rsidRPr="00C7460A" w:rsidRDefault="0033523C" w:rsidP="0033523C">
      <w:pPr>
        <w:pStyle w:val="quoteitalics"/>
        <w:ind w:left="1134" w:hanging="425"/>
        <w:rPr>
          <w:i w:val="0"/>
        </w:rPr>
      </w:pPr>
      <w:r w:rsidRPr="00C7460A">
        <w:rPr>
          <w:i w:val="0"/>
        </w:rPr>
        <w:t>(i)</w:t>
      </w:r>
      <w:r w:rsidRPr="00C7460A">
        <w:rPr>
          <w:i w:val="0"/>
        </w:rPr>
        <w:tab/>
      </w:r>
      <w:r w:rsidR="004A5250" w:rsidRPr="00C7460A">
        <w:rPr>
          <w:i w:val="0"/>
        </w:rPr>
        <w:t>In the case of a Chair of a Committee, at the rate of 0.12% of the annual basic salary (currently equivalent to $145 per day)</w:t>
      </w:r>
      <w:r w:rsidR="00702D39">
        <w:rPr>
          <w:i w:val="0"/>
        </w:rPr>
        <w:t>.</w:t>
      </w:r>
    </w:p>
    <w:p w:rsidR="004A5250" w:rsidRPr="00C7460A" w:rsidRDefault="0033523C" w:rsidP="0033523C">
      <w:pPr>
        <w:pStyle w:val="quoteitalics"/>
        <w:ind w:left="1134" w:hanging="425"/>
        <w:rPr>
          <w:i w:val="0"/>
        </w:rPr>
      </w:pPr>
      <w:r w:rsidRPr="00C7460A">
        <w:rPr>
          <w:i w:val="0"/>
        </w:rPr>
        <w:t>(ii)</w:t>
      </w:r>
      <w:r w:rsidRPr="00C7460A">
        <w:rPr>
          <w:i w:val="0"/>
        </w:rPr>
        <w:tab/>
      </w:r>
      <w:r w:rsidR="004A5250" w:rsidRPr="00C7460A">
        <w:rPr>
          <w:i w:val="0"/>
        </w:rPr>
        <w:t>In the case of any other member, at the rate of 0.10% of the annual basic salary (currently equivalent to $121 per day).</w:t>
      </w:r>
    </w:p>
    <w:p w:rsidR="004A5250" w:rsidRDefault="004A5250" w:rsidP="00F324DE">
      <w:pPr>
        <w:pStyle w:val="textbasic"/>
      </w:pPr>
      <w:r>
        <w:t>The 201</w:t>
      </w:r>
      <w:r w:rsidR="00B34CCE">
        <w:t>4</w:t>
      </w:r>
      <w:r>
        <w:t xml:space="preserve"> </w:t>
      </w:r>
      <w:r w:rsidR="00B34CCE">
        <w:t>Report</w:t>
      </w:r>
      <w:r>
        <w:t xml:space="preserve"> noted that</w:t>
      </w:r>
      <w:r w:rsidR="00323D75">
        <w:t>:</w:t>
      </w:r>
    </w:p>
    <w:p w:rsidR="004A5250" w:rsidRDefault="009B596F" w:rsidP="009B596F">
      <w:pPr>
        <w:pStyle w:val="texti"/>
      </w:pPr>
      <w:r>
        <w:t>(i)</w:t>
      </w:r>
      <w:r>
        <w:tab/>
      </w:r>
      <w:r w:rsidR="004A5250" w:rsidRPr="0041655B">
        <w:t xml:space="preserve">The sitting fee is paid on a daily basis irrespective of the time occupied by the meeting. From the information available to the Tribunal, the time occupied for each meeting ranges from 15 minutes (sometimes by teleconference) </w:t>
      </w:r>
      <w:r w:rsidR="00C7460A">
        <w:t xml:space="preserve">to </w:t>
      </w:r>
      <w:r w:rsidR="004A5250" w:rsidRPr="0041655B">
        <w:t>up to five or more hours. Typically a committee meeting would be in the range of 45 minutes to two hours.</w:t>
      </w:r>
    </w:p>
    <w:p w:rsidR="004A5250" w:rsidRDefault="009B596F" w:rsidP="009B596F">
      <w:pPr>
        <w:pStyle w:val="texti"/>
      </w:pPr>
      <w:r>
        <w:t>(ii)</w:t>
      </w:r>
      <w:r>
        <w:tab/>
      </w:r>
      <w:r w:rsidR="004A5250" w:rsidRPr="0041655B">
        <w:t xml:space="preserve">Sitting fees are only payable to members and Chairs of Standing Committees as distinct from Select Committees. </w:t>
      </w:r>
      <w:r w:rsidR="004A5250">
        <w:t>There did not appear to be</w:t>
      </w:r>
      <w:r w:rsidR="004A5250" w:rsidRPr="0041655B">
        <w:t xml:space="preserve"> a logical explanation for this distinction, other than an historical basis.</w:t>
      </w:r>
    </w:p>
    <w:p w:rsidR="004A5250" w:rsidRDefault="009B596F" w:rsidP="009B596F">
      <w:pPr>
        <w:pStyle w:val="texti"/>
        <w:rPr>
          <w:lang w:val="en-US"/>
        </w:rPr>
      </w:pPr>
      <w:r>
        <w:rPr>
          <w:szCs w:val="20"/>
        </w:rPr>
        <w:t>(iii)</w:t>
      </w:r>
      <w:r>
        <w:rPr>
          <w:szCs w:val="20"/>
        </w:rPr>
        <w:tab/>
      </w:r>
      <w:r w:rsidR="004A5250" w:rsidRPr="00587F17">
        <w:rPr>
          <w:szCs w:val="20"/>
        </w:rPr>
        <w:t xml:space="preserve">Committee work is very much part of the core role of an MP in the same manner as </w:t>
      </w:r>
      <w:r w:rsidR="00C7460A" w:rsidRPr="00587F17">
        <w:rPr>
          <w:szCs w:val="20"/>
        </w:rPr>
        <w:t xml:space="preserve">is </w:t>
      </w:r>
      <w:r w:rsidR="004A5250" w:rsidRPr="00587F17">
        <w:rPr>
          <w:szCs w:val="20"/>
        </w:rPr>
        <w:t>participating in parliamentary debates, attending briefings etc.</w:t>
      </w:r>
      <w:r w:rsidR="004A5250" w:rsidRPr="0041655B">
        <w:rPr>
          <w:rFonts w:eastAsia="Times New Roman"/>
          <w:szCs w:val="20"/>
          <w:lang w:eastAsia="en-AU"/>
        </w:rPr>
        <w:t xml:space="preserve"> </w:t>
      </w:r>
      <w:r w:rsidR="004A5250">
        <w:rPr>
          <w:rFonts w:eastAsia="Times New Roman"/>
          <w:szCs w:val="20"/>
          <w:lang w:eastAsia="en-AU"/>
        </w:rPr>
        <w:t xml:space="preserve"> However</w:t>
      </w:r>
      <w:r w:rsidR="00C7460A">
        <w:rPr>
          <w:rFonts w:eastAsia="Times New Roman"/>
          <w:szCs w:val="20"/>
          <w:lang w:eastAsia="en-AU"/>
        </w:rPr>
        <w:t>,</w:t>
      </w:r>
      <w:r w:rsidR="004A5250">
        <w:rPr>
          <w:rFonts w:eastAsia="Times New Roman"/>
          <w:szCs w:val="20"/>
          <w:lang w:eastAsia="en-AU"/>
        </w:rPr>
        <w:t xml:space="preserve"> </w:t>
      </w:r>
      <w:r w:rsidR="004A5250" w:rsidRPr="0041655B">
        <w:rPr>
          <w:szCs w:val="20"/>
        </w:rPr>
        <w:t xml:space="preserve">the role of a </w:t>
      </w:r>
      <w:r w:rsidR="004A5250" w:rsidRPr="0041655B">
        <w:rPr>
          <w:szCs w:val="20"/>
        </w:rPr>
        <w:lastRenderedPageBreak/>
        <w:t>Committee Chair can be an onerous one and is something over and above that expected of a Committee member. This is recognised by all Parliaments of Australia in one form or another.</w:t>
      </w:r>
    </w:p>
    <w:p w:rsidR="00B34CCE" w:rsidRDefault="004A5250" w:rsidP="00F324DE">
      <w:pPr>
        <w:pStyle w:val="textbasic"/>
      </w:pPr>
      <w:r>
        <w:t>The sitting fee rates payable f</w:t>
      </w:r>
      <w:r w:rsidR="00C7460A">
        <w:t>or Committee Chairs in Tasmania</w:t>
      </w:r>
      <w:r>
        <w:t xml:space="preserve"> were </w:t>
      </w:r>
      <w:r w:rsidRPr="00587F17">
        <w:rPr>
          <w:szCs w:val="20"/>
        </w:rPr>
        <w:t xml:space="preserve">significantly less than </w:t>
      </w:r>
      <w:r>
        <w:rPr>
          <w:szCs w:val="20"/>
        </w:rPr>
        <w:t>those</w:t>
      </w:r>
      <w:r w:rsidRPr="00587F17">
        <w:rPr>
          <w:szCs w:val="20"/>
        </w:rPr>
        <w:t xml:space="preserve"> applicable in any other parliamentary jurisdiction in Australia.</w:t>
      </w:r>
      <w:r>
        <w:t xml:space="preserve"> </w:t>
      </w:r>
      <w:r w:rsidR="00070DE8">
        <w:t xml:space="preserve">A comparison of current committee fees/additional salary is shown in Table </w:t>
      </w:r>
      <w:r w:rsidR="009B596F">
        <w:t>1</w:t>
      </w:r>
      <w:r w:rsidR="00F700FC">
        <w:t>1</w:t>
      </w:r>
      <w:r w:rsidR="00070DE8">
        <w:t>.</w:t>
      </w:r>
      <w:r w:rsidR="00B34CCE">
        <w:t xml:space="preserve">  </w:t>
      </w:r>
      <w:r w:rsidR="00B34CCE" w:rsidRPr="007A70AC">
        <w:t>We note that</w:t>
      </w:r>
      <w:r w:rsidR="00C7460A">
        <w:t>,</w:t>
      </w:r>
      <w:r w:rsidR="00B34CCE" w:rsidRPr="007A70AC">
        <w:t xml:space="preserve"> in relation to Committee members, sitting fees</w:t>
      </w:r>
      <w:r w:rsidR="008A48EB" w:rsidRPr="007A70AC">
        <w:t xml:space="preserve"> or additional salary</w:t>
      </w:r>
      <w:r w:rsidR="00B34CCE" w:rsidRPr="007A70AC">
        <w:t xml:space="preserve"> are payable only in Queensland, Western Australia</w:t>
      </w:r>
      <w:r w:rsidR="008A48EB" w:rsidRPr="007A70AC">
        <w:t>, t</w:t>
      </w:r>
      <w:r w:rsidR="00B34CCE" w:rsidRPr="007A70AC">
        <w:t>he Public Accounts Committee in New South Wales</w:t>
      </w:r>
      <w:r w:rsidR="008A48EB" w:rsidRPr="007A70AC">
        <w:t xml:space="preserve"> </w:t>
      </w:r>
      <w:r w:rsidR="008A48EB" w:rsidRPr="00702D39">
        <w:t>and scrutiny committees in the Northern Territory</w:t>
      </w:r>
      <w:r w:rsidR="00B34CCE" w:rsidRPr="00702D39">
        <w:t>.</w:t>
      </w:r>
    </w:p>
    <w:p w:rsidR="0065150A" w:rsidRDefault="007A70AC" w:rsidP="007A70AC">
      <w:pPr>
        <w:pStyle w:val="textbasic"/>
      </w:pPr>
      <w:r>
        <w:t xml:space="preserve">Of particular note in relation to sitting fees is a change that has been </w:t>
      </w:r>
      <w:r w:rsidR="007473DA">
        <w:t>made</w:t>
      </w:r>
      <w:r>
        <w:t xml:space="preserve"> recently in South Australia</w:t>
      </w:r>
      <w:r w:rsidR="00E01EE9">
        <w:t xml:space="preserve"> </w:t>
      </w:r>
      <w:r w:rsidR="0065150A">
        <w:t>whereby</w:t>
      </w:r>
      <w:r w:rsidR="00E01EE9">
        <w:t xml:space="preserve"> </w:t>
      </w:r>
      <w:r w:rsidR="0065150A">
        <w:t xml:space="preserve">committee </w:t>
      </w:r>
      <w:r w:rsidR="00E01EE9">
        <w:t xml:space="preserve">sitting fees for ordinary members have been abolished </w:t>
      </w:r>
      <w:r w:rsidR="0065150A">
        <w:t>but offset by an increase in basic salary</w:t>
      </w:r>
      <w:r w:rsidR="00B575E6">
        <w:t>.</w:t>
      </w:r>
      <w:r w:rsidR="007473DA">
        <w:rPr>
          <w:rStyle w:val="FootnoteReference"/>
        </w:rPr>
        <w:footnoteReference w:id="69"/>
      </w:r>
    </w:p>
    <w:p w:rsidR="007A70AC" w:rsidRPr="007A70AC" w:rsidRDefault="0065150A" w:rsidP="007A70AC">
      <w:pPr>
        <w:pStyle w:val="textbasic"/>
      </w:pPr>
      <w:r>
        <w:rPr>
          <w:lang w:val="en-AU"/>
        </w:rPr>
        <w:t>T</w:t>
      </w:r>
      <w:r w:rsidR="007A70AC" w:rsidRPr="007A70AC">
        <w:rPr>
          <w:lang w:val="en-AU"/>
        </w:rPr>
        <w:t xml:space="preserve">he </w:t>
      </w:r>
      <w:r w:rsidR="007A70AC" w:rsidRPr="007A70AC">
        <w:rPr>
          <w:i/>
          <w:iCs/>
          <w:lang w:val="en-AU"/>
        </w:rPr>
        <w:t xml:space="preserve">Parliamentary Remuneration (Determination of Remuneration) Amendment Act 2015 </w:t>
      </w:r>
      <w:r w:rsidR="007A70AC" w:rsidRPr="007A70AC">
        <w:rPr>
          <w:lang w:val="en-AU"/>
        </w:rPr>
        <w:t xml:space="preserve">(SA) </w:t>
      </w:r>
      <w:r>
        <w:rPr>
          <w:lang w:val="en-AU"/>
        </w:rPr>
        <w:t xml:space="preserve">which commenced on 29 October 2015 </w:t>
      </w:r>
      <w:r w:rsidR="007A70AC" w:rsidRPr="007A70AC">
        <w:rPr>
          <w:lang w:val="en-AU"/>
        </w:rPr>
        <w:t xml:space="preserve">provides that the SA MPs basic salary will </w:t>
      </w:r>
      <w:r>
        <w:rPr>
          <w:lang w:val="en-AU"/>
        </w:rPr>
        <w:t xml:space="preserve">now </w:t>
      </w:r>
      <w:r w:rsidR="007A70AC" w:rsidRPr="007A70AC">
        <w:rPr>
          <w:lang w:val="en-AU"/>
        </w:rPr>
        <w:t>be $42</w:t>
      </w:r>
      <w:r w:rsidR="00323D75">
        <w:rPr>
          <w:lang w:val="en-AU"/>
        </w:rPr>
        <w:t xml:space="preserve"> </w:t>
      </w:r>
      <w:r w:rsidR="007A70AC" w:rsidRPr="007A70AC">
        <w:rPr>
          <w:lang w:val="en-AU"/>
        </w:rPr>
        <w:t xml:space="preserve">000 less than federal base salary plus a common allowance determined each year by the SA Remuneration Tribunal. </w:t>
      </w:r>
      <w:r w:rsidR="007A70AC">
        <w:rPr>
          <w:lang w:val="en-AU"/>
        </w:rPr>
        <w:t xml:space="preserve"> The common allowance </w:t>
      </w:r>
      <w:r w:rsidR="007A70AC">
        <w:t>replaced some</w:t>
      </w:r>
      <w:r w:rsidR="007A70AC" w:rsidRPr="007A70AC">
        <w:t xml:space="preserve"> entitlements of members of the Parliament of South Australia, which are abolished by the Amending Act. Those abolished entitlements </w:t>
      </w:r>
      <w:r w:rsidR="007A70AC">
        <w:t>we</w:t>
      </w:r>
      <w:r w:rsidR="007A70AC" w:rsidRPr="007A70AC">
        <w:t xml:space="preserve">re: </w:t>
      </w:r>
    </w:p>
    <w:p w:rsidR="007A70AC" w:rsidRPr="007A70AC" w:rsidRDefault="007A70AC" w:rsidP="007A70AC">
      <w:pPr>
        <w:pStyle w:val="texti"/>
      </w:pPr>
      <w:r>
        <w:t>(i)</w:t>
      </w:r>
      <w:r>
        <w:tab/>
      </w:r>
      <w:r w:rsidRPr="007A70AC">
        <w:t>An annual travel allowance prescribed by Determination 1 of 2012 made by the Tribunal</w:t>
      </w:r>
      <w:r w:rsidR="00B575E6">
        <w:t>,</w:t>
      </w:r>
      <w:r w:rsidRPr="007A70AC">
        <w:t xml:space="preserve"> </w:t>
      </w:r>
    </w:p>
    <w:p w:rsidR="007A70AC" w:rsidRPr="007A70AC" w:rsidRDefault="007A70AC" w:rsidP="007A70AC">
      <w:pPr>
        <w:pStyle w:val="texti"/>
      </w:pPr>
      <w:r>
        <w:t>(ii)</w:t>
      </w:r>
      <w:r>
        <w:tab/>
      </w:r>
      <w:r w:rsidRPr="007A70AC">
        <w:t>A metrocard special pass for intrastate travel on metropolitan public transport</w:t>
      </w:r>
      <w:r w:rsidR="00B575E6">
        <w:t>,</w:t>
      </w:r>
      <w:r w:rsidRPr="007A70AC">
        <w:t xml:space="preserve"> </w:t>
      </w:r>
    </w:p>
    <w:p w:rsidR="007A70AC" w:rsidRPr="007A70AC" w:rsidRDefault="007A70AC" w:rsidP="007A70AC">
      <w:pPr>
        <w:pStyle w:val="texti"/>
      </w:pPr>
      <w:r>
        <w:t>(iii)</w:t>
      </w:r>
      <w:r>
        <w:tab/>
      </w:r>
      <w:r w:rsidRPr="007A70AC">
        <w:t>Free unlimited interstate rail travel and a limited entitlement to be accompanied by a spouse on such travel</w:t>
      </w:r>
      <w:r w:rsidR="00B575E6">
        <w:t>,</w:t>
      </w:r>
      <w:r w:rsidRPr="007A70AC">
        <w:t xml:space="preserve"> </w:t>
      </w:r>
      <w:r w:rsidR="00C7460A">
        <w:t>and</w:t>
      </w:r>
    </w:p>
    <w:p w:rsidR="007A70AC" w:rsidRPr="007A70AC" w:rsidRDefault="007A70AC" w:rsidP="007A70AC">
      <w:pPr>
        <w:pStyle w:val="texti"/>
      </w:pPr>
      <w:r>
        <w:t xml:space="preserve">(iv) </w:t>
      </w:r>
      <w:r>
        <w:tab/>
      </w:r>
      <w:r w:rsidRPr="007A70AC">
        <w:t xml:space="preserve">Remuneration for ordinary membership of committees of the </w:t>
      </w:r>
      <w:r w:rsidR="00C7460A" w:rsidRPr="007A70AC">
        <w:t>Parliament</w:t>
      </w:r>
      <w:r w:rsidRPr="007A70AC">
        <w:t xml:space="preserve">, which </w:t>
      </w:r>
      <w:r>
        <w:t>previously</w:t>
      </w:r>
      <w:r w:rsidRPr="007A70AC">
        <w:t xml:space="preserve"> amount</w:t>
      </w:r>
      <w:r>
        <w:t>ed</w:t>
      </w:r>
      <w:r w:rsidRPr="007A70AC">
        <w:t xml:space="preserve"> to between $15,313 and $18,376 per annum, depending upon the committee.</w:t>
      </w:r>
    </w:p>
    <w:p w:rsidR="007A70AC" w:rsidRPr="007A70AC" w:rsidRDefault="007A70AC" w:rsidP="007A70AC">
      <w:pPr>
        <w:pStyle w:val="textbasic"/>
      </w:pPr>
      <w:r w:rsidRPr="007A70AC">
        <w:rPr>
          <w:iCs/>
          <w:lang w:val="en-AU"/>
        </w:rPr>
        <w:t>On 15 December 2015 the SA Remuneration Tribunal determined the common allowance effective from 1 January 2016 to be $30</w:t>
      </w:r>
      <w:r>
        <w:rPr>
          <w:iCs/>
          <w:lang w:val="en-AU"/>
        </w:rPr>
        <w:t xml:space="preserve"> </w:t>
      </w:r>
      <w:r w:rsidRPr="007A70AC">
        <w:rPr>
          <w:iCs/>
          <w:lang w:val="en-AU"/>
        </w:rPr>
        <w:t>294 (comprising $17</w:t>
      </w:r>
      <w:r>
        <w:rPr>
          <w:iCs/>
          <w:lang w:val="en-AU"/>
        </w:rPr>
        <w:t xml:space="preserve"> </w:t>
      </w:r>
      <w:r w:rsidRPr="007A70AC">
        <w:rPr>
          <w:iCs/>
          <w:lang w:val="en-AU"/>
        </w:rPr>
        <w:t>124 to compensate for loss of travel allowance and $13</w:t>
      </w:r>
      <w:r>
        <w:rPr>
          <w:iCs/>
          <w:lang w:val="en-AU"/>
        </w:rPr>
        <w:t xml:space="preserve"> </w:t>
      </w:r>
      <w:r w:rsidRPr="007A70AC">
        <w:rPr>
          <w:iCs/>
          <w:lang w:val="en-AU"/>
        </w:rPr>
        <w:t>170 for service on parliamentary committees)</w:t>
      </w:r>
      <w:r w:rsidR="0065150A">
        <w:rPr>
          <w:iCs/>
          <w:lang w:val="en-AU"/>
        </w:rPr>
        <w:t>.</w:t>
      </w:r>
      <w:r>
        <w:t xml:space="preserve"> </w:t>
      </w:r>
    </w:p>
    <w:p w:rsidR="0082053E" w:rsidRPr="00B74A76" w:rsidRDefault="0082053E" w:rsidP="009B596F">
      <w:pPr>
        <w:pStyle w:val="TableTitlemain"/>
      </w:pPr>
      <w:r w:rsidRPr="00B74A76">
        <w:t xml:space="preserve">Table </w:t>
      </w:r>
      <w:r w:rsidR="009B596F">
        <w:t>1</w:t>
      </w:r>
      <w:r w:rsidR="00F700FC">
        <w:t>1</w:t>
      </w:r>
      <w:r w:rsidR="009B596F">
        <w:tab/>
      </w:r>
      <w:r w:rsidRPr="00B74A76">
        <w:t xml:space="preserve">Committee Fees/Additional </w:t>
      </w:r>
      <w:r w:rsidR="00C7460A" w:rsidRPr="00B74A76">
        <w:t xml:space="preserve">Salary </w:t>
      </w:r>
      <w:r w:rsidRPr="00B74A76">
        <w:t>– Australian Parliaments</w:t>
      </w:r>
    </w:p>
    <w:p w:rsidR="0082053E" w:rsidRPr="00070DE8" w:rsidRDefault="0082053E" w:rsidP="0082053E">
      <w:pPr>
        <w:spacing w:after="0"/>
        <w:ind w:left="709" w:hanging="709"/>
        <w:jc w:val="both"/>
        <w:rPr>
          <w:b/>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81"/>
        <w:gridCol w:w="3081"/>
      </w:tblGrid>
      <w:tr w:rsidR="0082053E" w:rsidRPr="00060E2B" w:rsidTr="00060E2B">
        <w:trPr>
          <w:cantSplit/>
          <w:tblHeader/>
        </w:trPr>
        <w:tc>
          <w:tcPr>
            <w:tcW w:w="2972" w:type="dxa"/>
            <w:shd w:val="clear" w:color="auto" w:fill="D9D9D9" w:themeFill="background1" w:themeFillShade="D9"/>
          </w:tcPr>
          <w:p w:rsidR="0082053E" w:rsidRPr="00060E2B" w:rsidRDefault="0082053E" w:rsidP="001C028F">
            <w:pPr>
              <w:spacing w:before="120" w:after="120"/>
              <w:jc w:val="center"/>
              <w:rPr>
                <w:b/>
                <w:sz w:val="16"/>
                <w:szCs w:val="16"/>
                <w:lang w:val="en-US"/>
              </w:rPr>
            </w:pPr>
            <w:r w:rsidRPr="00060E2B">
              <w:rPr>
                <w:b/>
                <w:sz w:val="16"/>
                <w:szCs w:val="16"/>
                <w:lang w:val="en-US"/>
              </w:rPr>
              <w:t>Parliament</w:t>
            </w:r>
          </w:p>
        </w:tc>
        <w:tc>
          <w:tcPr>
            <w:tcW w:w="3081" w:type="dxa"/>
            <w:shd w:val="clear" w:color="auto" w:fill="D9D9D9" w:themeFill="background1" w:themeFillShade="D9"/>
          </w:tcPr>
          <w:p w:rsidR="0082053E" w:rsidRPr="00060E2B" w:rsidRDefault="0082053E" w:rsidP="001C028F">
            <w:pPr>
              <w:spacing w:before="120" w:after="120"/>
              <w:jc w:val="center"/>
              <w:rPr>
                <w:b/>
                <w:sz w:val="16"/>
                <w:szCs w:val="16"/>
                <w:lang w:val="en-US"/>
              </w:rPr>
            </w:pPr>
            <w:r w:rsidRPr="00060E2B">
              <w:rPr>
                <w:b/>
                <w:sz w:val="16"/>
                <w:szCs w:val="16"/>
                <w:lang w:val="en-US"/>
              </w:rPr>
              <w:t>Chair</w:t>
            </w:r>
            <w:r w:rsidR="00B74A76" w:rsidRPr="00060E2B">
              <w:rPr>
                <w:rStyle w:val="FootnoteReference"/>
                <w:b/>
                <w:sz w:val="16"/>
                <w:szCs w:val="16"/>
                <w:lang w:val="en-US"/>
              </w:rPr>
              <w:footnoteReference w:id="70"/>
            </w:r>
          </w:p>
        </w:tc>
        <w:tc>
          <w:tcPr>
            <w:tcW w:w="3081" w:type="dxa"/>
            <w:shd w:val="clear" w:color="auto" w:fill="D9D9D9" w:themeFill="background1" w:themeFillShade="D9"/>
          </w:tcPr>
          <w:p w:rsidR="0082053E" w:rsidRPr="00060E2B" w:rsidRDefault="0082053E" w:rsidP="001C028F">
            <w:pPr>
              <w:spacing w:before="120" w:after="120"/>
              <w:jc w:val="center"/>
              <w:rPr>
                <w:b/>
                <w:sz w:val="16"/>
                <w:szCs w:val="16"/>
                <w:lang w:val="en-US"/>
              </w:rPr>
            </w:pPr>
            <w:r w:rsidRPr="00060E2B">
              <w:rPr>
                <w:b/>
                <w:sz w:val="16"/>
                <w:szCs w:val="16"/>
                <w:lang w:val="en-US"/>
              </w:rPr>
              <w:t>Member</w:t>
            </w:r>
          </w:p>
        </w:tc>
      </w:tr>
      <w:tr w:rsidR="0082053E" w:rsidRPr="000A39B0" w:rsidTr="009B596F">
        <w:tc>
          <w:tcPr>
            <w:tcW w:w="2972" w:type="dxa"/>
          </w:tcPr>
          <w:p w:rsidR="0082053E" w:rsidRPr="000A39B0" w:rsidRDefault="0082053E" w:rsidP="0082053E">
            <w:pPr>
              <w:spacing w:after="0" w:line="360" w:lineRule="auto"/>
              <w:jc w:val="center"/>
              <w:rPr>
                <w:sz w:val="16"/>
                <w:szCs w:val="16"/>
                <w:lang w:val="en-US"/>
              </w:rPr>
            </w:pPr>
            <w:r w:rsidRPr="000A39B0">
              <w:rPr>
                <w:sz w:val="16"/>
                <w:szCs w:val="16"/>
                <w:lang w:val="en-US"/>
              </w:rPr>
              <w:t>Commonwealth</w:t>
            </w:r>
            <w:r w:rsidRPr="000A39B0">
              <w:rPr>
                <w:sz w:val="16"/>
                <w:szCs w:val="16"/>
                <w:vertAlign w:val="superscript"/>
                <w:lang w:val="en-US"/>
              </w:rPr>
              <w:footnoteReference w:id="71"/>
            </w:r>
          </w:p>
        </w:tc>
        <w:tc>
          <w:tcPr>
            <w:tcW w:w="3081" w:type="dxa"/>
          </w:tcPr>
          <w:p w:rsidR="0082053E" w:rsidRPr="000A39B0" w:rsidRDefault="0082053E" w:rsidP="0082053E">
            <w:pPr>
              <w:spacing w:after="0" w:line="360" w:lineRule="auto"/>
              <w:jc w:val="center"/>
              <w:rPr>
                <w:sz w:val="16"/>
                <w:szCs w:val="16"/>
                <w:lang w:val="en-US"/>
              </w:rPr>
            </w:pPr>
            <w:r w:rsidRPr="000A39B0">
              <w:rPr>
                <w:sz w:val="16"/>
                <w:szCs w:val="16"/>
                <w:lang w:val="en-US"/>
              </w:rPr>
              <w:t>$5 854 (3%) -</w:t>
            </w:r>
            <w:r w:rsidRPr="000A39B0">
              <w:rPr>
                <w:sz w:val="16"/>
                <w:szCs w:val="16"/>
                <w:lang w:val="en-US"/>
              </w:rPr>
              <w:br/>
              <w:t>$31 221 (16%)</w:t>
            </w:r>
          </w:p>
        </w:tc>
        <w:tc>
          <w:tcPr>
            <w:tcW w:w="3081" w:type="dxa"/>
          </w:tcPr>
          <w:p w:rsidR="0082053E" w:rsidRPr="000A39B0" w:rsidRDefault="0082053E" w:rsidP="0082053E">
            <w:pPr>
              <w:spacing w:after="0" w:line="360" w:lineRule="auto"/>
              <w:jc w:val="center"/>
              <w:rPr>
                <w:sz w:val="16"/>
                <w:szCs w:val="16"/>
                <w:lang w:val="en-US"/>
              </w:rPr>
            </w:pPr>
            <w:r w:rsidRPr="000A39B0">
              <w:rPr>
                <w:sz w:val="16"/>
                <w:szCs w:val="16"/>
                <w:lang w:val="en-US"/>
              </w:rPr>
              <w:t>NA</w:t>
            </w:r>
          </w:p>
        </w:tc>
      </w:tr>
      <w:tr w:rsidR="0082053E" w:rsidRPr="000A39B0" w:rsidTr="009B596F">
        <w:tc>
          <w:tcPr>
            <w:tcW w:w="2972" w:type="dxa"/>
          </w:tcPr>
          <w:p w:rsidR="0082053E" w:rsidRPr="000A39B0" w:rsidRDefault="0082053E" w:rsidP="0082053E">
            <w:pPr>
              <w:spacing w:after="0" w:line="360" w:lineRule="auto"/>
              <w:jc w:val="center"/>
              <w:rPr>
                <w:sz w:val="16"/>
                <w:szCs w:val="16"/>
                <w:lang w:val="en-US"/>
              </w:rPr>
            </w:pPr>
            <w:r w:rsidRPr="000A39B0">
              <w:rPr>
                <w:sz w:val="16"/>
                <w:szCs w:val="16"/>
                <w:lang w:val="en-US"/>
              </w:rPr>
              <w:t>ACT</w:t>
            </w:r>
            <w:r w:rsidRPr="000A39B0">
              <w:rPr>
                <w:sz w:val="16"/>
                <w:szCs w:val="16"/>
                <w:vertAlign w:val="superscript"/>
                <w:lang w:val="en-US"/>
              </w:rPr>
              <w:footnoteReference w:id="72"/>
            </w:r>
          </w:p>
        </w:tc>
        <w:tc>
          <w:tcPr>
            <w:tcW w:w="3081" w:type="dxa"/>
          </w:tcPr>
          <w:p w:rsidR="0082053E" w:rsidRPr="000A39B0" w:rsidRDefault="0082053E" w:rsidP="0082053E">
            <w:pPr>
              <w:spacing w:after="0" w:line="360" w:lineRule="auto"/>
              <w:jc w:val="center"/>
              <w:rPr>
                <w:sz w:val="16"/>
                <w:szCs w:val="16"/>
                <w:lang w:val="en-US"/>
              </w:rPr>
            </w:pPr>
            <w:r w:rsidRPr="000A39B0">
              <w:rPr>
                <w:sz w:val="16"/>
                <w:szCs w:val="16"/>
                <w:lang w:val="en-US"/>
              </w:rPr>
              <w:t>$13 676</w:t>
            </w:r>
            <w:r w:rsidRPr="000A39B0">
              <w:rPr>
                <w:sz w:val="16"/>
                <w:szCs w:val="16"/>
                <w:lang w:val="en-US"/>
              </w:rPr>
              <w:br/>
              <w:t>public affairs committee</w:t>
            </w:r>
          </w:p>
        </w:tc>
        <w:tc>
          <w:tcPr>
            <w:tcW w:w="3081" w:type="dxa"/>
          </w:tcPr>
          <w:p w:rsidR="0082053E" w:rsidRPr="000A39B0" w:rsidRDefault="0082053E" w:rsidP="0082053E">
            <w:pPr>
              <w:spacing w:after="0" w:line="360" w:lineRule="auto"/>
              <w:jc w:val="center"/>
              <w:rPr>
                <w:sz w:val="16"/>
                <w:szCs w:val="16"/>
                <w:lang w:val="en-US"/>
              </w:rPr>
            </w:pPr>
            <w:r w:rsidRPr="000A39B0">
              <w:rPr>
                <w:sz w:val="16"/>
                <w:szCs w:val="16"/>
                <w:lang w:val="en-US"/>
              </w:rPr>
              <w:t>NA</w:t>
            </w:r>
          </w:p>
        </w:tc>
      </w:tr>
      <w:tr w:rsidR="0082053E" w:rsidRPr="000A39B0" w:rsidTr="009B596F">
        <w:tc>
          <w:tcPr>
            <w:tcW w:w="2972" w:type="dxa"/>
          </w:tcPr>
          <w:p w:rsidR="0082053E" w:rsidRPr="000A39B0" w:rsidRDefault="0082053E" w:rsidP="0082053E">
            <w:pPr>
              <w:spacing w:after="0" w:line="360" w:lineRule="auto"/>
              <w:jc w:val="center"/>
              <w:rPr>
                <w:sz w:val="16"/>
                <w:szCs w:val="16"/>
                <w:lang w:val="en-US"/>
              </w:rPr>
            </w:pPr>
            <w:r w:rsidRPr="000A39B0">
              <w:rPr>
                <w:sz w:val="16"/>
                <w:szCs w:val="16"/>
                <w:lang w:val="en-US"/>
              </w:rPr>
              <w:t>NSW</w:t>
            </w:r>
            <w:r w:rsidRPr="000A39B0">
              <w:rPr>
                <w:sz w:val="16"/>
                <w:szCs w:val="16"/>
                <w:vertAlign w:val="superscript"/>
                <w:lang w:val="en-US"/>
              </w:rPr>
              <w:footnoteReference w:id="73"/>
            </w:r>
          </w:p>
        </w:tc>
        <w:tc>
          <w:tcPr>
            <w:tcW w:w="3081" w:type="dxa"/>
          </w:tcPr>
          <w:p w:rsidR="0082053E" w:rsidRPr="000A39B0" w:rsidRDefault="0082053E" w:rsidP="00B74A76">
            <w:pPr>
              <w:spacing w:after="0" w:line="360" w:lineRule="auto"/>
              <w:jc w:val="center"/>
              <w:rPr>
                <w:sz w:val="16"/>
                <w:szCs w:val="16"/>
                <w:lang w:val="en-US"/>
              </w:rPr>
            </w:pPr>
            <w:r w:rsidRPr="000A39B0">
              <w:rPr>
                <w:sz w:val="16"/>
                <w:szCs w:val="16"/>
                <w:lang w:val="en-US"/>
              </w:rPr>
              <w:t>$19</w:t>
            </w:r>
            <w:r w:rsidR="00B74A76" w:rsidRPr="000A39B0">
              <w:rPr>
                <w:sz w:val="16"/>
                <w:szCs w:val="16"/>
                <w:lang w:val="en-US"/>
              </w:rPr>
              <w:t>5</w:t>
            </w:r>
            <w:r w:rsidRPr="000A39B0">
              <w:rPr>
                <w:sz w:val="16"/>
                <w:szCs w:val="16"/>
                <w:lang w:val="en-US"/>
              </w:rPr>
              <w:t xml:space="preserve"> per day (but not if remunerated as an office holder) </w:t>
            </w:r>
          </w:p>
        </w:tc>
        <w:tc>
          <w:tcPr>
            <w:tcW w:w="3081" w:type="dxa"/>
          </w:tcPr>
          <w:p w:rsidR="0082053E" w:rsidRPr="000A39B0" w:rsidRDefault="0082053E" w:rsidP="00B74A76">
            <w:pPr>
              <w:spacing w:after="0" w:line="360" w:lineRule="auto"/>
              <w:jc w:val="center"/>
              <w:rPr>
                <w:sz w:val="16"/>
                <w:szCs w:val="16"/>
                <w:lang w:val="en-US"/>
              </w:rPr>
            </w:pPr>
            <w:r w:rsidRPr="000A39B0">
              <w:rPr>
                <w:sz w:val="16"/>
                <w:szCs w:val="16"/>
                <w:lang w:val="en-US"/>
              </w:rPr>
              <w:t xml:space="preserve">$4 </w:t>
            </w:r>
            <w:r w:rsidR="00B74A76" w:rsidRPr="000A39B0">
              <w:rPr>
                <w:sz w:val="16"/>
                <w:szCs w:val="16"/>
                <w:lang w:val="en-US"/>
              </w:rPr>
              <w:t>515</w:t>
            </w:r>
            <w:r w:rsidRPr="000A39B0">
              <w:rPr>
                <w:sz w:val="16"/>
                <w:szCs w:val="16"/>
                <w:lang w:val="en-US"/>
              </w:rPr>
              <w:t xml:space="preserve"> </w:t>
            </w:r>
            <w:r w:rsidRPr="000A39B0">
              <w:rPr>
                <w:sz w:val="16"/>
                <w:szCs w:val="16"/>
                <w:lang w:val="en-US"/>
              </w:rPr>
              <w:br/>
              <w:t>Public Accounts only</w:t>
            </w:r>
          </w:p>
        </w:tc>
      </w:tr>
      <w:tr w:rsidR="0082053E" w:rsidRPr="000A39B0" w:rsidTr="009B596F">
        <w:tc>
          <w:tcPr>
            <w:tcW w:w="2972" w:type="dxa"/>
          </w:tcPr>
          <w:p w:rsidR="0082053E" w:rsidRPr="000A39B0" w:rsidRDefault="0082053E" w:rsidP="0082053E">
            <w:pPr>
              <w:spacing w:after="0" w:line="360" w:lineRule="auto"/>
              <w:jc w:val="center"/>
              <w:rPr>
                <w:sz w:val="16"/>
                <w:szCs w:val="16"/>
                <w:lang w:val="en-US"/>
              </w:rPr>
            </w:pPr>
            <w:r w:rsidRPr="000A39B0">
              <w:rPr>
                <w:sz w:val="16"/>
                <w:szCs w:val="16"/>
                <w:lang w:val="en-US"/>
              </w:rPr>
              <w:t>Northern Territory</w:t>
            </w:r>
            <w:r w:rsidRPr="000A39B0">
              <w:rPr>
                <w:sz w:val="16"/>
                <w:szCs w:val="16"/>
                <w:vertAlign w:val="superscript"/>
                <w:lang w:val="en-US"/>
              </w:rPr>
              <w:footnoteReference w:id="74"/>
            </w:r>
          </w:p>
        </w:tc>
        <w:tc>
          <w:tcPr>
            <w:tcW w:w="3081" w:type="dxa"/>
          </w:tcPr>
          <w:p w:rsidR="0082053E" w:rsidRPr="00702D39" w:rsidRDefault="00CD22A4" w:rsidP="0082053E">
            <w:pPr>
              <w:spacing w:after="0" w:line="360" w:lineRule="auto"/>
              <w:jc w:val="center"/>
              <w:rPr>
                <w:sz w:val="16"/>
                <w:szCs w:val="16"/>
                <w:lang w:val="en-US"/>
              </w:rPr>
            </w:pPr>
            <w:r w:rsidRPr="00702D39">
              <w:rPr>
                <w:sz w:val="16"/>
                <w:szCs w:val="16"/>
                <w:lang w:val="en-US"/>
              </w:rPr>
              <w:t>$</w:t>
            </w:r>
            <w:r w:rsidR="0082053E" w:rsidRPr="00702D39">
              <w:rPr>
                <w:sz w:val="16"/>
                <w:szCs w:val="16"/>
                <w:lang w:val="en-US"/>
              </w:rPr>
              <w:t>30 662</w:t>
            </w:r>
            <w:r w:rsidR="0082053E" w:rsidRPr="00702D39">
              <w:rPr>
                <w:sz w:val="16"/>
                <w:szCs w:val="16"/>
                <w:vertAlign w:val="superscript"/>
                <w:lang w:val="en-US"/>
              </w:rPr>
              <w:footnoteReference w:id="75"/>
            </w:r>
            <w:r w:rsidR="0082053E" w:rsidRPr="00702D39">
              <w:rPr>
                <w:sz w:val="16"/>
                <w:szCs w:val="16"/>
                <w:lang w:val="en-US"/>
              </w:rPr>
              <w:t xml:space="preserve"> (20%) </w:t>
            </w:r>
            <w:r w:rsidR="0082053E" w:rsidRPr="00702D39">
              <w:rPr>
                <w:sz w:val="16"/>
                <w:szCs w:val="16"/>
                <w:lang w:val="en-US"/>
              </w:rPr>
              <w:br/>
            </w:r>
            <w:r w:rsidR="0082053E" w:rsidRPr="00702D39">
              <w:rPr>
                <w:sz w:val="16"/>
                <w:szCs w:val="16"/>
                <w:lang w:val="en-US"/>
              </w:rPr>
              <w:lastRenderedPageBreak/>
              <w:t>scrutiny committee</w:t>
            </w:r>
            <w:r w:rsidR="0082053E" w:rsidRPr="00702D39">
              <w:rPr>
                <w:sz w:val="16"/>
                <w:szCs w:val="16"/>
                <w:vertAlign w:val="superscript"/>
                <w:lang w:val="en-US"/>
              </w:rPr>
              <w:footnoteReference w:id="76"/>
            </w:r>
          </w:p>
        </w:tc>
        <w:tc>
          <w:tcPr>
            <w:tcW w:w="3081" w:type="dxa"/>
          </w:tcPr>
          <w:p w:rsidR="0082053E" w:rsidRPr="00702D39" w:rsidRDefault="00CD22A4" w:rsidP="0082053E">
            <w:pPr>
              <w:spacing w:after="0" w:line="360" w:lineRule="auto"/>
              <w:jc w:val="center"/>
              <w:rPr>
                <w:sz w:val="16"/>
                <w:szCs w:val="16"/>
                <w:lang w:val="en-US"/>
              </w:rPr>
            </w:pPr>
            <w:r w:rsidRPr="00702D39">
              <w:rPr>
                <w:sz w:val="16"/>
                <w:szCs w:val="16"/>
                <w:lang w:val="en-US"/>
              </w:rPr>
              <w:lastRenderedPageBreak/>
              <w:t>$</w:t>
            </w:r>
            <w:r w:rsidR="0082053E" w:rsidRPr="00702D39">
              <w:rPr>
                <w:sz w:val="16"/>
                <w:szCs w:val="16"/>
                <w:lang w:val="en-US"/>
              </w:rPr>
              <w:t xml:space="preserve">15 331 (10%) </w:t>
            </w:r>
            <w:r w:rsidR="0082053E" w:rsidRPr="00702D39">
              <w:rPr>
                <w:sz w:val="16"/>
                <w:szCs w:val="16"/>
                <w:lang w:val="en-US"/>
              </w:rPr>
              <w:br/>
            </w:r>
            <w:r w:rsidR="0082053E" w:rsidRPr="00702D39">
              <w:rPr>
                <w:sz w:val="16"/>
                <w:szCs w:val="16"/>
                <w:lang w:val="en-US"/>
              </w:rPr>
              <w:lastRenderedPageBreak/>
              <w:t>scrutiny committee</w:t>
            </w:r>
          </w:p>
        </w:tc>
      </w:tr>
      <w:tr w:rsidR="0082053E" w:rsidRPr="000A39B0" w:rsidTr="009B596F">
        <w:tc>
          <w:tcPr>
            <w:tcW w:w="2972" w:type="dxa"/>
          </w:tcPr>
          <w:p w:rsidR="0082053E" w:rsidRPr="000A39B0" w:rsidRDefault="0082053E" w:rsidP="0082053E">
            <w:pPr>
              <w:spacing w:after="0" w:line="360" w:lineRule="auto"/>
              <w:jc w:val="center"/>
              <w:rPr>
                <w:sz w:val="16"/>
                <w:szCs w:val="16"/>
                <w:lang w:val="en-US"/>
              </w:rPr>
            </w:pPr>
            <w:r w:rsidRPr="000A39B0">
              <w:rPr>
                <w:sz w:val="16"/>
                <w:szCs w:val="16"/>
                <w:lang w:val="en-US"/>
              </w:rPr>
              <w:lastRenderedPageBreak/>
              <w:t>Queensland</w:t>
            </w:r>
            <w:r w:rsidRPr="000A39B0">
              <w:rPr>
                <w:sz w:val="16"/>
                <w:szCs w:val="16"/>
                <w:vertAlign w:val="superscript"/>
                <w:lang w:val="en-US"/>
              </w:rPr>
              <w:footnoteReference w:id="77"/>
            </w:r>
          </w:p>
        </w:tc>
        <w:tc>
          <w:tcPr>
            <w:tcW w:w="3081" w:type="dxa"/>
          </w:tcPr>
          <w:p w:rsidR="0082053E" w:rsidRPr="000A39B0" w:rsidRDefault="0082053E" w:rsidP="0082053E">
            <w:pPr>
              <w:spacing w:after="0" w:line="360" w:lineRule="auto"/>
              <w:jc w:val="center"/>
              <w:rPr>
                <w:sz w:val="16"/>
                <w:szCs w:val="16"/>
                <w:lang w:val="en-US"/>
              </w:rPr>
            </w:pPr>
            <w:r w:rsidRPr="000A39B0">
              <w:rPr>
                <w:sz w:val="16"/>
                <w:szCs w:val="16"/>
                <w:lang w:val="en-US"/>
              </w:rPr>
              <w:t>$57 538</w:t>
            </w:r>
          </w:p>
        </w:tc>
        <w:tc>
          <w:tcPr>
            <w:tcW w:w="3081" w:type="dxa"/>
          </w:tcPr>
          <w:p w:rsidR="0082053E" w:rsidRPr="000A39B0" w:rsidRDefault="0082053E" w:rsidP="0082053E">
            <w:pPr>
              <w:spacing w:after="0" w:line="360" w:lineRule="auto"/>
              <w:jc w:val="center"/>
              <w:rPr>
                <w:sz w:val="16"/>
                <w:szCs w:val="16"/>
                <w:lang w:val="en-US"/>
              </w:rPr>
            </w:pPr>
            <w:r w:rsidRPr="000A39B0">
              <w:rPr>
                <w:sz w:val="16"/>
                <w:szCs w:val="16"/>
                <w:lang w:val="en-US"/>
              </w:rPr>
              <w:t>$23 031</w:t>
            </w:r>
          </w:p>
        </w:tc>
      </w:tr>
      <w:tr w:rsidR="0082053E" w:rsidRPr="000A39B0" w:rsidTr="009B596F">
        <w:tc>
          <w:tcPr>
            <w:tcW w:w="2972" w:type="dxa"/>
          </w:tcPr>
          <w:p w:rsidR="0082053E" w:rsidRPr="000A39B0" w:rsidRDefault="0082053E" w:rsidP="0082053E">
            <w:pPr>
              <w:spacing w:after="0" w:line="360" w:lineRule="auto"/>
              <w:jc w:val="center"/>
              <w:rPr>
                <w:sz w:val="16"/>
                <w:szCs w:val="16"/>
                <w:lang w:val="en-US"/>
              </w:rPr>
            </w:pPr>
            <w:r w:rsidRPr="000A39B0">
              <w:rPr>
                <w:sz w:val="16"/>
                <w:szCs w:val="16"/>
                <w:lang w:val="en-US"/>
              </w:rPr>
              <w:t>South Australia</w:t>
            </w:r>
            <w:r w:rsidRPr="000A39B0">
              <w:rPr>
                <w:sz w:val="16"/>
                <w:szCs w:val="16"/>
                <w:vertAlign w:val="superscript"/>
                <w:lang w:val="en-US"/>
              </w:rPr>
              <w:footnoteReference w:id="78"/>
            </w:r>
          </w:p>
        </w:tc>
        <w:tc>
          <w:tcPr>
            <w:tcW w:w="3081" w:type="dxa"/>
          </w:tcPr>
          <w:p w:rsidR="0082053E" w:rsidRPr="000A39B0" w:rsidRDefault="0082053E" w:rsidP="0082053E">
            <w:pPr>
              <w:spacing w:after="0" w:line="360" w:lineRule="auto"/>
              <w:jc w:val="center"/>
              <w:rPr>
                <w:sz w:val="16"/>
                <w:szCs w:val="16"/>
                <w:lang w:val="en-US"/>
              </w:rPr>
            </w:pPr>
            <w:r w:rsidRPr="000A39B0">
              <w:rPr>
                <w:sz w:val="16"/>
                <w:szCs w:val="16"/>
                <w:lang w:val="en-US"/>
              </w:rPr>
              <w:t xml:space="preserve">$21 438 (14%) - </w:t>
            </w:r>
            <w:r w:rsidRPr="000A39B0">
              <w:rPr>
                <w:sz w:val="16"/>
                <w:szCs w:val="16"/>
                <w:lang w:val="en-US"/>
              </w:rPr>
              <w:br/>
              <w:t>$26 032 (17%)</w:t>
            </w:r>
          </w:p>
        </w:tc>
        <w:tc>
          <w:tcPr>
            <w:tcW w:w="3081" w:type="dxa"/>
          </w:tcPr>
          <w:p w:rsidR="0082053E" w:rsidRPr="000A39B0" w:rsidRDefault="00E01EE9" w:rsidP="0082053E">
            <w:pPr>
              <w:spacing w:after="0" w:line="360" w:lineRule="auto"/>
              <w:jc w:val="center"/>
              <w:rPr>
                <w:sz w:val="16"/>
                <w:szCs w:val="16"/>
                <w:lang w:val="en-US"/>
              </w:rPr>
            </w:pPr>
            <w:r>
              <w:rPr>
                <w:sz w:val="16"/>
                <w:szCs w:val="16"/>
                <w:lang w:val="en-US"/>
              </w:rPr>
              <w:t>NA</w:t>
            </w:r>
          </w:p>
        </w:tc>
      </w:tr>
      <w:tr w:rsidR="0082053E" w:rsidRPr="000A39B0" w:rsidTr="009B596F">
        <w:tc>
          <w:tcPr>
            <w:tcW w:w="2972" w:type="dxa"/>
          </w:tcPr>
          <w:p w:rsidR="0082053E" w:rsidRPr="000A39B0" w:rsidRDefault="0082053E" w:rsidP="0082053E">
            <w:pPr>
              <w:spacing w:after="0" w:line="360" w:lineRule="auto"/>
              <w:jc w:val="center"/>
              <w:rPr>
                <w:sz w:val="16"/>
                <w:szCs w:val="16"/>
                <w:lang w:val="en-US"/>
              </w:rPr>
            </w:pPr>
            <w:r w:rsidRPr="000A39B0">
              <w:rPr>
                <w:sz w:val="16"/>
                <w:szCs w:val="16"/>
                <w:lang w:val="en-US"/>
              </w:rPr>
              <w:t>Tasmania</w:t>
            </w:r>
            <w:r w:rsidRPr="000A39B0">
              <w:rPr>
                <w:sz w:val="16"/>
                <w:szCs w:val="16"/>
                <w:vertAlign w:val="superscript"/>
                <w:lang w:val="en-US"/>
              </w:rPr>
              <w:footnoteReference w:id="79"/>
            </w:r>
          </w:p>
        </w:tc>
        <w:tc>
          <w:tcPr>
            <w:tcW w:w="3081" w:type="dxa"/>
          </w:tcPr>
          <w:p w:rsidR="0082053E" w:rsidRPr="000A39B0" w:rsidRDefault="0082053E" w:rsidP="0082053E">
            <w:pPr>
              <w:spacing w:after="0" w:line="360" w:lineRule="auto"/>
              <w:jc w:val="center"/>
              <w:rPr>
                <w:sz w:val="16"/>
                <w:szCs w:val="16"/>
                <w:lang w:val="en-US"/>
              </w:rPr>
            </w:pPr>
            <w:r w:rsidRPr="000A39B0">
              <w:rPr>
                <w:sz w:val="16"/>
                <w:szCs w:val="16"/>
                <w:lang w:val="en-US"/>
              </w:rPr>
              <w:t>$145/day (0.12%)</w:t>
            </w:r>
            <w:r w:rsidRPr="000A39B0">
              <w:rPr>
                <w:sz w:val="16"/>
                <w:szCs w:val="16"/>
                <w:lang w:val="en-US"/>
              </w:rPr>
              <w:br/>
              <w:t>Standing Committees</w:t>
            </w:r>
          </w:p>
        </w:tc>
        <w:tc>
          <w:tcPr>
            <w:tcW w:w="3081" w:type="dxa"/>
          </w:tcPr>
          <w:p w:rsidR="0082053E" w:rsidRPr="000A39B0" w:rsidRDefault="0082053E" w:rsidP="0082053E">
            <w:pPr>
              <w:spacing w:after="0" w:line="360" w:lineRule="auto"/>
              <w:jc w:val="center"/>
              <w:rPr>
                <w:sz w:val="16"/>
                <w:szCs w:val="16"/>
                <w:lang w:val="en-US"/>
              </w:rPr>
            </w:pPr>
            <w:r w:rsidRPr="000A39B0">
              <w:rPr>
                <w:sz w:val="16"/>
                <w:szCs w:val="16"/>
                <w:lang w:val="en-US"/>
              </w:rPr>
              <w:t>$121/day (0.1%)</w:t>
            </w:r>
            <w:r w:rsidRPr="000A39B0">
              <w:rPr>
                <w:sz w:val="16"/>
                <w:szCs w:val="16"/>
                <w:lang w:val="en-US"/>
              </w:rPr>
              <w:br/>
              <w:t>Standing Committees</w:t>
            </w:r>
          </w:p>
        </w:tc>
      </w:tr>
      <w:tr w:rsidR="0082053E" w:rsidRPr="000A39B0" w:rsidTr="009B596F">
        <w:tc>
          <w:tcPr>
            <w:tcW w:w="2972" w:type="dxa"/>
          </w:tcPr>
          <w:p w:rsidR="0082053E" w:rsidRPr="000A39B0" w:rsidRDefault="0082053E" w:rsidP="0082053E">
            <w:pPr>
              <w:spacing w:after="0" w:line="360" w:lineRule="auto"/>
              <w:jc w:val="center"/>
              <w:rPr>
                <w:sz w:val="16"/>
                <w:szCs w:val="16"/>
                <w:lang w:val="en-US"/>
              </w:rPr>
            </w:pPr>
            <w:r w:rsidRPr="000A39B0">
              <w:rPr>
                <w:sz w:val="16"/>
                <w:szCs w:val="16"/>
                <w:lang w:val="en-US"/>
              </w:rPr>
              <w:t>Victoria</w:t>
            </w:r>
            <w:r w:rsidRPr="000A39B0">
              <w:rPr>
                <w:sz w:val="16"/>
                <w:szCs w:val="16"/>
                <w:vertAlign w:val="superscript"/>
                <w:lang w:val="en-US"/>
              </w:rPr>
              <w:footnoteReference w:id="80"/>
            </w:r>
          </w:p>
        </w:tc>
        <w:tc>
          <w:tcPr>
            <w:tcW w:w="3081" w:type="dxa"/>
          </w:tcPr>
          <w:p w:rsidR="0082053E" w:rsidRPr="000A39B0" w:rsidRDefault="0082053E" w:rsidP="00B74A76">
            <w:pPr>
              <w:spacing w:after="0" w:line="360" w:lineRule="auto"/>
              <w:jc w:val="center"/>
              <w:rPr>
                <w:sz w:val="16"/>
                <w:szCs w:val="16"/>
                <w:lang w:val="en-US"/>
              </w:rPr>
            </w:pPr>
            <w:r w:rsidRPr="000A39B0">
              <w:rPr>
                <w:sz w:val="16"/>
                <w:szCs w:val="16"/>
                <w:lang w:val="en-US"/>
              </w:rPr>
              <w:t xml:space="preserve">$7 </w:t>
            </w:r>
            <w:r w:rsidR="00B74A76" w:rsidRPr="000A39B0">
              <w:rPr>
                <w:sz w:val="16"/>
                <w:szCs w:val="16"/>
                <w:lang w:val="en-US"/>
              </w:rPr>
              <w:t>264</w:t>
            </w:r>
            <w:r w:rsidRPr="000A39B0">
              <w:rPr>
                <w:sz w:val="16"/>
                <w:szCs w:val="16"/>
                <w:lang w:val="en-US"/>
              </w:rPr>
              <w:t xml:space="preserve"> (5%) -</w:t>
            </w:r>
            <w:r w:rsidRPr="000A39B0">
              <w:rPr>
                <w:sz w:val="16"/>
                <w:szCs w:val="16"/>
                <w:lang w:val="en-US"/>
              </w:rPr>
              <w:br/>
              <w:t>$2</w:t>
            </w:r>
            <w:r w:rsidR="00B74A76" w:rsidRPr="000A39B0">
              <w:rPr>
                <w:sz w:val="16"/>
                <w:szCs w:val="16"/>
                <w:lang w:val="en-US"/>
              </w:rPr>
              <w:t>1</w:t>
            </w:r>
            <w:r w:rsidRPr="000A39B0">
              <w:rPr>
                <w:sz w:val="16"/>
                <w:szCs w:val="16"/>
                <w:lang w:val="en-US"/>
              </w:rPr>
              <w:t xml:space="preserve"> </w:t>
            </w:r>
            <w:r w:rsidR="00B74A76" w:rsidRPr="000A39B0">
              <w:rPr>
                <w:sz w:val="16"/>
                <w:szCs w:val="16"/>
                <w:lang w:val="en-US"/>
              </w:rPr>
              <w:t>792</w:t>
            </w:r>
            <w:r w:rsidRPr="000A39B0">
              <w:rPr>
                <w:sz w:val="16"/>
                <w:szCs w:val="16"/>
                <w:lang w:val="en-US"/>
              </w:rPr>
              <w:t xml:space="preserve"> (15%)</w:t>
            </w:r>
          </w:p>
        </w:tc>
        <w:tc>
          <w:tcPr>
            <w:tcW w:w="3081" w:type="dxa"/>
          </w:tcPr>
          <w:p w:rsidR="0082053E" w:rsidRPr="000A39B0" w:rsidRDefault="0082053E" w:rsidP="0082053E">
            <w:pPr>
              <w:spacing w:after="0" w:line="360" w:lineRule="auto"/>
              <w:jc w:val="center"/>
              <w:rPr>
                <w:sz w:val="16"/>
                <w:szCs w:val="16"/>
                <w:lang w:val="en-US"/>
              </w:rPr>
            </w:pPr>
            <w:r w:rsidRPr="000A39B0">
              <w:rPr>
                <w:sz w:val="16"/>
                <w:szCs w:val="16"/>
                <w:lang w:val="en-US"/>
              </w:rPr>
              <w:t>NA</w:t>
            </w:r>
          </w:p>
        </w:tc>
      </w:tr>
      <w:tr w:rsidR="0082053E" w:rsidRPr="000A39B0" w:rsidTr="009B596F">
        <w:tc>
          <w:tcPr>
            <w:tcW w:w="2972" w:type="dxa"/>
          </w:tcPr>
          <w:p w:rsidR="0082053E" w:rsidRPr="000A39B0" w:rsidRDefault="0082053E" w:rsidP="0082053E">
            <w:pPr>
              <w:spacing w:after="0" w:line="360" w:lineRule="auto"/>
              <w:jc w:val="center"/>
              <w:rPr>
                <w:sz w:val="16"/>
                <w:szCs w:val="16"/>
                <w:lang w:val="en-US"/>
              </w:rPr>
            </w:pPr>
            <w:r w:rsidRPr="000A39B0">
              <w:rPr>
                <w:sz w:val="16"/>
                <w:szCs w:val="16"/>
                <w:lang w:val="en-US"/>
              </w:rPr>
              <w:t>Western Australia</w:t>
            </w:r>
            <w:r w:rsidRPr="000A39B0">
              <w:rPr>
                <w:sz w:val="16"/>
                <w:szCs w:val="16"/>
                <w:vertAlign w:val="superscript"/>
                <w:lang w:val="en-US"/>
              </w:rPr>
              <w:footnoteReference w:id="81"/>
            </w:r>
          </w:p>
        </w:tc>
        <w:tc>
          <w:tcPr>
            <w:tcW w:w="3081" w:type="dxa"/>
          </w:tcPr>
          <w:p w:rsidR="0082053E" w:rsidRPr="000A39B0" w:rsidRDefault="0082053E" w:rsidP="0082053E">
            <w:pPr>
              <w:spacing w:after="0" w:line="360" w:lineRule="auto"/>
              <w:jc w:val="center"/>
              <w:rPr>
                <w:sz w:val="16"/>
                <w:szCs w:val="16"/>
                <w:lang w:val="en-US"/>
              </w:rPr>
            </w:pPr>
            <w:r w:rsidRPr="000A39B0">
              <w:rPr>
                <w:sz w:val="16"/>
                <w:szCs w:val="16"/>
                <w:lang w:val="en-US"/>
              </w:rPr>
              <w:t xml:space="preserve">$14 864 </w:t>
            </w:r>
            <w:r w:rsidRPr="000A39B0">
              <w:rPr>
                <w:sz w:val="16"/>
                <w:szCs w:val="16"/>
                <w:lang w:val="en-US"/>
              </w:rPr>
              <w:br/>
              <w:t>Standing Committee</w:t>
            </w:r>
          </w:p>
        </w:tc>
        <w:tc>
          <w:tcPr>
            <w:tcW w:w="3081" w:type="dxa"/>
          </w:tcPr>
          <w:p w:rsidR="0082053E" w:rsidRPr="000A39B0" w:rsidRDefault="0082053E" w:rsidP="0082053E">
            <w:pPr>
              <w:spacing w:after="0" w:line="360" w:lineRule="auto"/>
              <w:jc w:val="center"/>
              <w:rPr>
                <w:sz w:val="16"/>
                <w:szCs w:val="16"/>
                <w:lang w:val="en-US"/>
              </w:rPr>
            </w:pPr>
            <w:r w:rsidRPr="000A39B0">
              <w:rPr>
                <w:sz w:val="16"/>
                <w:szCs w:val="16"/>
                <w:lang w:val="en-US"/>
              </w:rPr>
              <w:t xml:space="preserve">$10 405 </w:t>
            </w:r>
            <w:r w:rsidRPr="000A39B0">
              <w:rPr>
                <w:sz w:val="16"/>
                <w:szCs w:val="16"/>
                <w:lang w:val="en-US"/>
              </w:rPr>
              <w:br/>
              <w:t>Standing Committee</w:t>
            </w:r>
          </w:p>
        </w:tc>
      </w:tr>
    </w:tbl>
    <w:p w:rsidR="004A5250" w:rsidRDefault="00B74A76" w:rsidP="00B84048">
      <w:pPr>
        <w:pStyle w:val="textbasic"/>
        <w:spacing w:before="240"/>
      </w:pPr>
      <w:r>
        <w:t>The</w:t>
      </w:r>
      <w:r w:rsidR="004A5250">
        <w:t xml:space="preserve"> 201</w:t>
      </w:r>
      <w:r w:rsidR="00161506">
        <w:t>4</w:t>
      </w:r>
      <w:r w:rsidR="004A5250">
        <w:t xml:space="preserve"> </w:t>
      </w:r>
      <w:r w:rsidR="00161506">
        <w:t>Report</w:t>
      </w:r>
      <w:r w:rsidR="004A5250">
        <w:t xml:space="preserve"> recommended that: </w:t>
      </w:r>
    </w:p>
    <w:p w:rsidR="004A5250" w:rsidRPr="0041655B" w:rsidRDefault="009B596F" w:rsidP="009B596F">
      <w:pPr>
        <w:pStyle w:val="texti"/>
      </w:pPr>
      <w:r>
        <w:t>(i)</w:t>
      </w:r>
      <w:r>
        <w:tab/>
      </w:r>
      <w:r w:rsidR="004A5250" w:rsidRPr="0041655B">
        <w:t>The daily sitting fee for a member of a Standing Committee be abolished with effect from 1</w:t>
      </w:r>
      <w:r w:rsidR="001B3CA8">
        <w:t> </w:t>
      </w:r>
      <w:r w:rsidR="004A5250" w:rsidRPr="0041655B">
        <w:t>July 2014</w:t>
      </w:r>
      <w:r>
        <w:t>; and</w:t>
      </w:r>
      <w:r w:rsidR="004A5250" w:rsidRPr="0041655B">
        <w:t xml:space="preserve"> </w:t>
      </w:r>
    </w:p>
    <w:p w:rsidR="004A5250" w:rsidRPr="0041655B" w:rsidRDefault="009B596F" w:rsidP="009B596F">
      <w:pPr>
        <w:pStyle w:val="texti"/>
        <w:rPr>
          <w:lang w:val="en-US"/>
        </w:rPr>
      </w:pPr>
      <w:r>
        <w:t>(ii)</w:t>
      </w:r>
      <w:r>
        <w:tab/>
      </w:r>
      <w:r w:rsidR="004A5250" w:rsidRPr="0041655B">
        <w:t>The Chair of a Standing or Select Committee be paid a daily sitting fee equivalent to 0.12% of the annual basic salary for each day on which the Chair attends a summoned meeting of the Committee. This allowance to take effect from 1 July 2014.</w:t>
      </w:r>
    </w:p>
    <w:p w:rsidR="004A5250" w:rsidRDefault="00B74A76" w:rsidP="00F324DE">
      <w:pPr>
        <w:pStyle w:val="textbasic"/>
      </w:pPr>
      <w:r>
        <w:t xml:space="preserve">The Commission </w:t>
      </w:r>
      <w:r w:rsidR="00161506">
        <w:t>sought</w:t>
      </w:r>
      <w:r>
        <w:t xml:space="preserve"> submissions about whether there is r</w:t>
      </w:r>
      <w:r w:rsidR="004A5250">
        <w:t xml:space="preserve">eason to depart from </w:t>
      </w:r>
      <w:r w:rsidR="00657527">
        <w:t xml:space="preserve">the </w:t>
      </w:r>
      <w:r w:rsidR="004A5250">
        <w:t>recommendation</w:t>
      </w:r>
      <w:r w:rsidR="0082053E">
        <w:t xml:space="preserve"> of the 201</w:t>
      </w:r>
      <w:r w:rsidR="00161506">
        <w:t>4</w:t>
      </w:r>
      <w:r w:rsidR="0082053E">
        <w:t xml:space="preserve"> </w:t>
      </w:r>
      <w:r w:rsidR="00161506">
        <w:t>Report</w:t>
      </w:r>
      <w:r w:rsidR="00B34CCE">
        <w:t>.</w:t>
      </w:r>
    </w:p>
    <w:p w:rsidR="00B84048" w:rsidRDefault="00600323" w:rsidP="00B84048">
      <w:pPr>
        <w:pStyle w:val="textbasic"/>
      </w:pPr>
      <w:r w:rsidRPr="00600323">
        <w:t>The</w:t>
      </w:r>
      <w:r>
        <w:rPr>
          <w:b/>
        </w:rPr>
        <w:t xml:space="preserve"> </w:t>
      </w:r>
      <w:r w:rsidRPr="00600323">
        <w:rPr>
          <w:b/>
        </w:rPr>
        <w:t>ANMF (Tas)</w:t>
      </w:r>
      <w:r w:rsidRPr="00600323">
        <w:t xml:space="preserve"> supports</w:t>
      </w:r>
      <w:r w:rsidR="00B84048">
        <w:t xml:space="preserve">: </w:t>
      </w:r>
    </w:p>
    <w:p w:rsidR="00600323" w:rsidRDefault="00B84048" w:rsidP="00B84048">
      <w:pPr>
        <w:pStyle w:val="quoteitalics1"/>
      </w:pPr>
      <w:r w:rsidRPr="00B84048">
        <w:t>“</w:t>
      </w:r>
      <w:r>
        <w:tab/>
      </w:r>
      <w:r w:rsidR="00600323" w:rsidRPr="00B84048">
        <w:t>incorporating the daily committee fee as part of the work value study sitting requirements which should be factored in to the bas</w:t>
      </w:r>
      <w:r w:rsidR="00B4239A" w:rsidRPr="00B84048">
        <w:t>ic</w:t>
      </w:r>
      <w:r w:rsidR="00600323" w:rsidRPr="00B84048">
        <w:t xml:space="preserve"> salary and </w:t>
      </w:r>
      <w:r w:rsidR="00B4239A" w:rsidRPr="00B84048">
        <w:t xml:space="preserve">abolishing </w:t>
      </w:r>
      <w:r w:rsidR="00600323" w:rsidRPr="00B84048">
        <w:t>this fee. It is expected that parliamentarians participate in committee work</w:t>
      </w:r>
      <w:r w:rsidRPr="00B84048">
        <w:t>”</w:t>
      </w:r>
      <w:r w:rsidR="00600323" w:rsidRPr="00B84048">
        <w:t>.</w:t>
      </w:r>
      <w:r w:rsidR="00600323" w:rsidRPr="00600323">
        <w:t xml:space="preserve"> </w:t>
      </w:r>
    </w:p>
    <w:p w:rsidR="00600323" w:rsidRPr="007F7E57" w:rsidRDefault="00600323" w:rsidP="00F324DE">
      <w:pPr>
        <w:pStyle w:val="textbasic"/>
      </w:pPr>
      <w:r w:rsidRPr="00600323">
        <w:t>Similarly</w:t>
      </w:r>
      <w:r>
        <w:rPr>
          <w:b/>
        </w:rPr>
        <w:t xml:space="preserve"> </w:t>
      </w:r>
      <w:r w:rsidRPr="007F7E57">
        <w:rPr>
          <w:b/>
        </w:rPr>
        <w:t>Unions Tasmania</w:t>
      </w:r>
      <w:r>
        <w:t xml:space="preserve"> </w:t>
      </w:r>
      <w:r w:rsidRPr="007F7E57">
        <w:t>sees no reason why the daily committee fee should be retained</w:t>
      </w:r>
      <w:r>
        <w:t>.  It submits that</w:t>
      </w:r>
      <w:r w:rsidRPr="007F7E57">
        <w:t xml:space="preserve"> the basic salary has increased </w:t>
      </w:r>
      <w:r>
        <w:t xml:space="preserve">(noting it supports the basic salary being increased to </w:t>
      </w:r>
      <w:r w:rsidRPr="007F7E57">
        <w:t>$128</w:t>
      </w:r>
      <w:r>
        <w:t xml:space="preserve"> </w:t>
      </w:r>
      <w:r w:rsidRPr="007F7E57">
        <w:t xml:space="preserve">000 </w:t>
      </w:r>
      <w:r>
        <w:t xml:space="preserve">pa adjusted by </w:t>
      </w:r>
      <w:r w:rsidRPr="007F7E57">
        <w:t>the differential between th</w:t>
      </w:r>
      <w:r>
        <w:t>at salary</w:t>
      </w:r>
      <w:r w:rsidRPr="007F7E57">
        <w:t xml:space="preserve"> and the average of the salaries </w:t>
      </w:r>
      <w:r>
        <w:t xml:space="preserve">of the members of the </w:t>
      </w:r>
      <w:r w:rsidR="00B4239A">
        <w:t>Stat</w:t>
      </w:r>
      <w:r w:rsidRPr="007F7E57">
        <w:t xml:space="preserve">e and </w:t>
      </w:r>
      <w:r w:rsidR="00B4239A" w:rsidRPr="007F7E57">
        <w:t>Territory Parliament</w:t>
      </w:r>
      <w:r w:rsidR="00B4239A">
        <w:t>s</w:t>
      </w:r>
      <w:r w:rsidR="00B4239A" w:rsidRPr="007F7E57">
        <w:t xml:space="preserve"> </w:t>
      </w:r>
      <w:r w:rsidRPr="007F7E57">
        <w:t xml:space="preserve">(excluding Tasmania) </w:t>
      </w:r>
      <w:r>
        <w:t xml:space="preserve">determined </w:t>
      </w:r>
      <w:r w:rsidR="00657527">
        <w:t xml:space="preserve">at </w:t>
      </w:r>
      <w:r w:rsidRPr="007F7E57">
        <w:t>1 January 2015</w:t>
      </w:r>
      <w:r>
        <w:t>) and c</w:t>
      </w:r>
      <w:r w:rsidRPr="007F7E57">
        <w:t xml:space="preserve">ommittee work is a core part of the work of a parliamentarian and should not be subject to additional remuneration. </w:t>
      </w:r>
    </w:p>
    <w:p w:rsidR="007F7E57" w:rsidRDefault="007F7E57" w:rsidP="00F324DE">
      <w:pPr>
        <w:pStyle w:val="textbasic"/>
      </w:pPr>
      <w:r w:rsidRPr="007F7E57">
        <w:t xml:space="preserve">The </w:t>
      </w:r>
      <w:r w:rsidRPr="007F7E57">
        <w:rPr>
          <w:b/>
        </w:rPr>
        <w:t>CPSU</w:t>
      </w:r>
      <w:r w:rsidRPr="007F7E57">
        <w:t xml:space="preserve"> </w:t>
      </w:r>
      <w:r w:rsidR="00600323">
        <w:t xml:space="preserve">also </w:t>
      </w:r>
      <w:r w:rsidRPr="007F7E57">
        <w:t>supports the 201</w:t>
      </w:r>
      <w:r>
        <w:t>4</w:t>
      </w:r>
      <w:r w:rsidRPr="007F7E57">
        <w:t xml:space="preserve"> </w:t>
      </w:r>
      <w:r>
        <w:t>Report</w:t>
      </w:r>
      <w:r w:rsidRPr="007F7E57">
        <w:t xml:space="preserve"> recommendation that sitting fees for members of committees </w:t>
      </w:r>
      <w:r w:rsidR="00657527">
        <w:t>be</w:t>
      </w:r>
      <w:r w:rsidRPr="007F7E57">
        <w:t xml:space="preserve"> abolished, and </w:t>
      </w:r>
      <w:r>
        <w:t>suggests</w:t>
      </w:r>
      <w:r w:rsidRPr="007F7E57">
        <w:t xml:space="preserve"> the sitting fee for </w:t>
      </w:r>
      <w:r>
        <w:t xml:space="preserve">the </w:t>
      </w:r>
      <w:r w:rsidRPr="007F7E57">
        <w:t xml:space="preserve">chairs </w:t>
      </w:r>
      <w:r>
        <w:t xml:space="preserve">of parliamentary </w:t>
      </w:r>
      <w:r w:rsidRPr="007F7E57">
        <w:t>committees should be replaced by an additional salary loading</w:t>
      </w:r>
      <w:r>
        <w:t xml:space="preserve"> (as applies to the Chairs of Committee).  It proposes that the loading be </w:t>
      </w:r>
      <w:r w:rsidRPr="007F7E57">
        <w:t xml:space="preserve">calculated </w:t>
      </w:r>
      <w:r>
        <w:t>as</w:t>
      </w:r>
      <w:r w:rsidRPr="007F7E57">
        <w:t xml:space="preserve"> $145 </w:t>
      </w:r>
      <w:r>
        <w:t>multiplied by</w:t>
      </w:r>
      <w:r w:rsidRPr="007F7E57">
        <w:t xml:space="preserve"> the average number of days a committee chair would sit.</w:t>
      </w:r>
    </w:p>
    <w:p w:rsidR="00B34CCE" w:rsidRDefault="00B34CCE" w:rsidP="00F324DE">
      <w:pPr>
        <w:pStyle w:val="textbasic"/>
      </w:pPr>
      <w:r w:rsidRPr="001B2C0D">
        <w:t xml:space="preserve">The activity data </w:t>
      </w:r>
      <w:r w:rsidR="007473DA">
        <w:t xml:space="preserve">provided to us by the Clerks </w:t>
      </w:r>
      <w:r w:rsidRPr="001B2C0D">
        <w:t xml:space="preserve">suggests the pattern </w:t>
      </w:r>
      <w:r w:rsidR="007473DA">
        <w:t>of committee work described</w:t>
      </w:r>
      <w:r w:rsidRPr="001B2C0D">
        <w:t xml:space="preserve"> at the time of the 2014 Report has continued. </w:t>
      </w:r>
      <w:r w:rsidR="007473DA">
        <w:t xml:space="preserve"> </w:t>
      </w:r>
      <w:r w:rsidRPr="001B2C0D">
        <w:t xml:space="preserve">The </w:t>
      </w:r>
      <w:r w:rsidR="00D12A0A">
        <w:t xml:space="preserve">average </w:t>
      </w:r>
      <w:r w:rsidRPr="001B2C0D">
        <w:t xml:space="preserve">length of </w:t>
      </w:r>
      <w:r w:rsidR="0076267D">
        <w:t xml:space="preserve">committee </w:t>
      </w:r>
      <w:r w:rsidRPr="001B2C0D">
        <w:t xml:space="preserve">meetings </w:t>
      </w:r>
      <w:r w:rsidR="0076267D">
        <w:t>var</w:t>
      </w:r>
      <w:r w:rsidR="00B4239A">
        <w:t>ies</w:t>
      </w:r>
      <w:r w:rsidR="0076267D">
        <w:t xml:space="preserve"> </w:t>
      </w:r>
      <w:r w:rsidR="0076267D">
        <w:lastRenderedPageBreak/>
        <w:t>considerably</w:t>
      </w:r>
      <w:r w:rsidRPr="001B2C0D">
        <w:t xml:space="preserve"> from 15 minutes </w:t>
      </w:r>
      <w:r w:rsidR="00E14D34">
        <w:t>(</w:t>
      </w:r>
      <w:r w:rsidRPr="001B2C0D">
        <w:t xml:space="preserve">possibly </w:t>
      </w:r>
      <w:r w:rsidR="00D12A0A">
        <w:t xml:space="preserve">just a </w:t>
      </w:r>
      <w:r w:rsidRPr="001B2C0D">
        <w:t>telephone conference</w:t>
      </w:r>
      <w:r w:rsidR="00E14D34">
        <w:t>)</w:t>
      </w:r>
      <w:r w:rsidRPr="001B2C0D">
        <w:t xml:space="preserve"> up to </w:t>
      </w:r>
      <w:r w:rsidR="0076267D">
        <w:t>several</w:t>
      </w:r>
      <w:r w:rsidRPr="001B2C0D">
        <w:t xml:space="preserve"> hours but typically in the range of one to three hours. Where applicable</w:t>
      </w:r>
      <w:r w:rsidR="00B4239A">
        <w:t>,</w:t>
      </w:r>
      <w:r w:rsidRPr="001B2C0D">
        <w:t xml:space="preserve"> the sitting fee is paid on a per day basis, irrespective of the time occupied in the meeting. </w:t>
      </w:r>
    </w:p>
    <w:p w:rsidR="00B34CCE" w:rsidRPr="001B2C0D" w:rsidRDefault="00B34CCE" w:rsidP="00F324DE">
      <w:pPr>
        <w:pStyle w:val="textbasic"/>
      </w:pPr>
      <w:r w:rsidRPr="001B2C0D">
        <w:t>Again no persuasive argument was advanced as to why sitting fees are payable to members of Standing Committees but not Select Committees.</w:t>
      </w:r>
    </w:p>
    <w:p w:rsidR="00B34CCE" w:rsidRPr="0065150A" w:rsidRDefault="00DD7CB0" w:rsidP="0065150A">
      <w:pPr>
        <w:pStyle w:val="textbasic"/>
      </w:pPr>
      <w:r w:rsidRPr="0065150A">
        <w:t>Based on the information provided in the 2014 Report</w:t>
      </w:r>
      <w:r w:rsidRPr="0065150A">
        <w:rPr>
          <w:rStyle w:val="FootnoteReference"/>
        </w:rPr>
        <w:footnoteReference w:id="82"/>
      </w:r>
      <w:r w:rsidR="00B4239A">
        <w:t>,</w:t>
      </w:r>
      <w:r w:rsidRPr="0065150A">
        <w:t xml:space="preserve"> the average annual cost of </w:t>
      </w:r>
      <w:r w:rsidR="00B4239A" w:rsidRPr="0065150A">
        <w:t xml:space="preserve">sitting fees </w:t>
      </w:r>
      <w:r w:rsidRPr="0065150A">
        <w:t>paid for the years 2006-07 to 2012-13 was $</w:t>
      </w:r>
      <w:r w:rsidR="00C81EAD" w:rsidRPr="0065150A">
        <w:t>15 047</w:t>
      </w:r>
      <w:r w:rsidRPr="0065150A">
        <w:t xml:space="preserve"> in the Legislative Council and $</w:t>
      </w:r>
      <w:r w:rsidR="00C81EAD" w:rsidRPr="0065150A">
        <w:t>15 952</w:t>
      </w:r>
      <w:r w:rsidRPr="0065150A">
        <w:t xml:space="preserve"> in the House of Assembly</w:t>
      </w:r>
      <w:r w:rsidR="00B34CCE" w:rsidRPr="0065150A">
        <w:t>.</w:t>
      </w:r>
    </w:p>
    <w:p w:rsidR="00B34CCE" w:rsidRPr="0065150A" w:rsidRDefault="00DD7CB0" w:rsidP="0065150A">
      <w:pPr>
        <w:pStyle w:val="textbasic"/>
      </w:pPr>
      <w:r w:rsidRPr="0065150A">
        <w:t>From the information we were provided for 2014-15 as part of this Inquiry</w:t>
      </w:r>
      <w:r w:rsidR="00B4239A">
        <w:t>,</w:t>
      </w:r>
      <w:r w:rsidRPr="0065150A">
        <w:t xml:space="preserve"> the costs were </w:t>
      </w:r>
      <w:r w:rsidR="00C81EAD" w:rsidRPr="0065150A">
        <w:t>higher than those averages</w:t>
      </w:r>
      <w:r w:rsidR="00B4239A">
        <w:t xml:space="preserve"> </w:t>
      </w:r>
      <w:r w:rsidRPr="0065150A">
        <w:t xml:space="preserve">- Legislative Council </w:t>
      </w:r>
      <w:r w:rsidR="00B34CCE" w:rsidRPr="0065150A">
        <w:t>$18</w:t>
      </w:r>
      <w:r w:rsidRPr="0065150A">
        <w:t> </w:t>
      </w:r>
      <w:r w:rsidR="00B34CCE" w:rsidRPr="0065150A">
        <w:t>876</w:t>
      </w:r>
      <w:r w:rsidRPr="0065150A">
        <w:t xml:space="preserve"> and House of Assembly $27 360.</w:t>
      </w:r>
    </w:p>
    <w:p w:rsidR="00B34CCE" w:rsidRDefault="00B34CCE" w:rsidP="00F324DE">
      <w:pPr>
        <w:pStyle w:val="textbasic"/>
      </w:pPr>
      <w:r w:rsidRPr="001B2C0D">
        <w:t xml:space="preserve">On the basis that Ministers and </w:t>
      </w:r>
      <w:r w:rsidR="00C81EAD">
        <w:t xml:space="preserve">the </w:t>
      </w:r>
      <w:r w:rsidR="00657527">
        <w:t xml:space="preserve">Presiding </w:t>
      </w:r>
      <w:r w:rsidR="00657527" w:rsidRPr="00657527">
        <w:t xml:space="preserve">Officers </w:t>
      </w:r>
      <w:r w:rsidRPr="00657527">
        <w:t>generally do</w:t>
      </w:r>
      <w:r w:rsidRPr="001B2C0D">
        <w:t xml:space="preserve"> not sit on committees</w:t>
      </w:r>
      <w:r w:rsidR="00B4239A">
        <w:t>,</w:t>
      </w:r>
      <w:r w:rsidRPr="001B2C0D">
        <w:t xml:space="preserve"> the fee paid on average per member appears to be in the order of </w:t>
      </w:r>
      <w:r w:rsidRPr="00657527">
        <w:t>$1</w:t>
      </w:r>
      <w:r w:rsidR="00600323" w:rsidRPr="00657527">
        <w:rPr>
          <w:color w:val="FF0000"/>
        </w:rPr>
        <w:t xml:space="preserve"> </w:t>
      </w:r>
      <w:r w:rsidR="00657527">
        <w:t>594</w:t>
      </w:r>
      <w:r w:rsidRPr="001B2C0D">
        <w:t xml:space="preserve"> pa.</w:t>
      </w:r>
    </w:p>
    <w:p w:rsidR="00104803" w:rsidRDefault="00104803" w:rsidP="00F324DE">
      <w:pPr>
        <w:pStyle w:val="textbasic"/>
      </w:pPr>
      <w:r>
        <w:t xml:space="preserve">We think it is also worth clarifying </w:t>
      </w:r>
      <w:r w:rsidR="002744FD">
        <w:t xml:space="preserve">in this Report </w:t>
      </w:r>
      <w:r>
        <w:t xml:space="preserve">the difference between the additional salary loading paid to the Chair of Committees and the sitting fee paid to a chair of a </w:t>
      </w:r>
      <w:r w:rsidR="007954E2">
        <w:t>committee</w:t>
      </w:r>
      <w:r>
        <w:t>.  Some submissions that we received appeared to confuse the</w:t>
      </w:r>
      <w:r w:rsidR="00C764B2">
        <w:t>se</w:t>
      </w:r>
      <w:r>
        <w:t xml:space="preserve"> two </w:t>
      </w:r>
      <w:r w:rsidR="00C764B2">
        <w:t xml:space="preserve">different </w:t>
      </w:r>
      <w:r>
        <w:t>entitlements.</w:t>
      </w:r>
    </w:p>
    <w:p w:rsidR="0054367F" w:rsidRPr="00FB43A8" w:rsidRDefault="00104803" w:rsidP="0054367F">
      <w:pPr>
        <w:pStyle w:val="textbasic"/>
      </w:pPr>
      <w:r>
        <w:t>The Chair of Committees is an office of the Parliament.</w:t>
      </w:r>
      <w:r w:rsidR="00533753">
        <w:t xml:space="preserve">  There is one in each House.</w:t>
      </w:r>
      <w:r>
        <w:t xml:space="preserve">  </w:t>
      </w:r>
      <w:r w:rsidR="009247CE">
        <w:t>An MP</w:t>
      </w:r>
      <w:r>
        <w:t xml:space="preserve"> is elected to that role after the </w:t>
      </w:r>
      <w:r w:rsidR="00533753">
        <w:t xml:space="preserve">President or the </w:t>
      </w:r>
      <w:r>
        <w:t>Speaker</w:t>
      </w:r>
      <w:r w:rsidR="00533753">
        <w:t xml:space="preserve"> (as the case may be) </w:t>
      </w:r>
      <w:r>
        <w:t xml:space="preserve">is decided.  The role is sometimes referred to as Deputy </w:t>
      </w:r>
      <w:r w:rsidR="00533753">
        <w:t>President or Deputy Speaker</w:t>
      </w:r>
      <w:r w:rsidR="00B4239A">
        <w:t>,</w:t>
      </w:r>
      <w:r>
        <w:t xml:space="preserve"> as one of the main functions is to </w:t>
      </w:r>
      <w:r w:rsidRPr="00104803">
        <w:rPr>
          <w:lang w:val="en-AU"/>
        </w:rPr>
        <w:t>take</w:t>
      </w:r>
      <w:r w:rsidR="00533753">
        <w:rPr>
          <w:lang w:val="en-AU"/>
        </w:rPr>
        <w:t xml:space="preserve"> over as</w:t>
      </w:r>
      <w:r w:rsidRPr="00104803">
        <w:rPr>
          <w:lang w:val="en-AU"/>
        </w:rPr>
        <w:t xml:space="preserve"> Chair </w:t>
      </w:r>
      <w:r w:rsidR="00533753">
        <w:rPr>
          <w:lang w:val="en-AU"/>
        </w:rPr>
        <w:t xml:space="preserve">(ie </w:t>
      </w:r>
      <w:r w:rsidR="00533753" w:rsidRPr="00533753">
        <w:rPr>
          <w:lang w:val="en-AU"/>
        </w:rPr>
        <w:t>preside over the proceedings and enforce the Standing Orders and Rules</w:t>
      </w:r>
      <w:r w:rsidR="00533753">
        <w:rPr>
          <w:lang w:val="en-AU"/>
        </w:rPr>
        <w:t xml:space="preserve">) </w:t>
      </w:r>
      <w:r w:rsidRPr="00104803">
        <w:rPr>
          <w:lang w:val="en-AU"/>
        </w:rPr>
        <w:t xml:space="preserve">when required to do so by the </w:t>
      </w:r>
      <w:r w:rsidR="00533753">
        <w:rPr>
          <w:lang w:val="en-AU"/>
        </w:rPr>
        <w:t xml:space="preserve">President or </w:t>
      </w:r>
      <w:r w:rsidRPr="00104803">
        <w:rPr>
          <w:lang w:val="en-AU"/>
        </w:rPr>
        <w:t xml:space="preserve">Speaker. </w:t>
      </w:r>
      <w:r>
        <w:t xml:space="preserve"> The other specific function is during debates of legislation.  </w:t>
      </w:r>
      <w:r w:rsidRPr="00104803">
        <w:rPr>
          <w:lang w:val="en-AU"/>
        </w:rPr>
        <w:t xml:space="preserve">If </w:t>
      </w:r>
      <w:r>
        <w:rPr>
          <w:lang w:val="en-AU"/>
        </w:rPr>
        <w:t>a</w:t>
      </w:r>
      <w:r w:rsidRPr="00104803">
        <w:rPr>
          <w:lang w:val="en-AU"/>
        </w:rPr>
        <w:t xml:space="preserve"> motion is carried</w:t>
      </w:r>
      <w:r>
        <w:rPr>
          <w:lang w:val="en-AU"/>
        </w:rPr>
        <w:t xml:space="preserve"> to endorse a</w:t>
      </w:r>
      <w:r w:rsidRPr="00104803">
        <w:rPr>
          <w:lang w:val="en-AU"/>
        </w:rPr>
        <w:t xml:space="preserve"> bill in principle</w:t>
      </w:r>
      <w:r>
        <w:rPr>
          <w:lang w:val="en-AU"/>
        </w:rPr>
        <w:t xml:space="preserve"> after the second reading</w:t>
      </w:r>
      <w:r w:rsidRPr="00104803">
        <w:rPr>
          <w:lang w:val="en-AU"/>
        </w:rPr>
        <w:t xml:space="preserve">, and then </w:t>
      </w:r>
      <w:r w:rsidR="00533753">
        <w:rPr>
          <w:lang w:val="en-AU"/>
        </w:rPr>
        <w:t xml:space="preserve">the bill </w:t>
      </w:r>
      <w:r w:rsidRPr="00104803">
        <w:rPr>
          <w:lang w:val="en-AU"/>
        </w:rPr>
        <w:t>proceeds to what is known as the Committee stage</w:t>
      </w:r>
      <w:r>
        <w:rPr>
          <w:lang w:val="en-AU"/>
        </w:rPr>
        <w:t>, t</w:t>
      </w:r>
      <w:r w:rsidRPr="00104803">
        <w:rPr>
          <w:lang w:val="en-AU"/>
        </w:rPr>
        <w:t xml:space="preserve">he </w:t>
      </w:r>
      <w:r w:rsidR="00533753">
        <w:rPr>
          <w:lang w:val="en-AU"/>
        </w:rPr>
        <w:t xml:space="preserve">President or </w:t>
      </w:r>
      <w:r w:rsidRPr="00104803">
        <w:rPr>
          <w:lang w:val="en-AU"/>
        </w:rPr>
        <w:t>Speaker leaves the Chair</w:t>
      </w:r>
      <w:r>
        <w:rPr>
          <w:lang w:val="en-AU"/>
        </w:rPr>
        <w:t>.  T</w:t>
      </w:r>
      <w:r w:rsidRPr="00104803">
        <w:rPr>
          <w:lang w:val="en-AU"/>
        </w:rPr>
        <w:t>he Chair of Committees then presides</w:t>
      </w:r>
      <w:r>
        <w:rPr>
          <w:lang w:val="en-AU"/>
        </w:rPr>
        <w:t xml:space="preserve"> as t</w:t>
      </w:r>
      <w:r w:rsidRPr="00104803">
        <w:rPr>
          <w:lang w:val="en-AU"/>
        </w:rPr>
        <w:t xml:space="preserve">he bill is considered clause by clause and amended where necessary. </w:t>
      </w:r>
      <w:r w:rsidR="00533753">
        <w:rPr>
          <w:lang w:val="en-AU"/>
        </w:rPr>
        <w:t xml:space="preserve"> The chamber may be referred to as a </w:t>
      </w:r>
      <w:r w:rsidR="00C37B1C">
        <w:rPr>
          <w:lang w:val="en-AU"/>
        </w:rPr>
        <w:t>‘</w:t>
      </w:r>
      <w:r w:rsidR="00533753">
        <w:rPr>
          <w:lang w:val="en-AU"/>
        </w:rPr>
        <w:t xml:space="preserve">Committee of the </w:t>
      </w:r>
      <w:r w:rsidR="00C37B1C">
        <w:rPr>
          <w:lang w:val="en-AU"/>
        </w:rPr>
        <w:t>Whole’</w:t>
      </w:r>
      <w:r w:rsidR="00533753">
        <w:rPr>
          <w:lang w:val="en-AU"/>
        </w:rPr>
        <w:t xml:space="preserve"> during this period.  </w:t>
      </w:r>
      <w:r>
        <w:rPr>
          <w:lang w:val="en-AU"/>
        </w:rPr>
        <w:t xml:space="preserve">At the end of that process the chair reports back to the </w:t>
      </w:r>
      <w:r w:rsidR="00533753">
        <w:rPr>
          <w:lang w:val="en-AU"/>
        </w:rPr>
        <w:t xml:space="preserve">President or </w:t>
      </w:r>
      <w:r>
        <w:rPr>
          <w:lang w:val="en-AU"/>
        </w:rPr>
        <w:t xml:space="preserve">Speaker who </w:t>
      </w:r>
      <w:r w:rsidRPr="00FB43A8">
        <w:rPr>
          <w:lang w:val="en-AU"/>
        </w:rPr>
        <w:t>resumes as the presiding officer and the third reading takes place.</w:t>
      </w:r>
      <w:r w:rsidR="00533753" w:rsidRPr="00FB43A8">
        <w:rPr>
          <w:lang w:val="en-AU"/>
        </w:rPr>
        <w:t xml:space="preserve">  </w:t>
      </w:r>
      <w:r w:rsidR="0054367F" w:rsidRPr="00FB43A8">
        <w:t xml:space="preserve">The Chair of Committees </w:t>
      </w:r>
      <w:r w:rsidR="00561D94" w:rsidRPr="00FB43A8">
        <w:t xml:space="preserve">may </w:t>
      </w:r>
      <w:r w:rsidR="0054367F" w:rsidRPr="00FB43A8">
        <w:t xml:space="preserve">also become Acting </w:t>
      </w:r>
      <w:r w:rsidR="00561D94" w:rsidRPr="00FB43A8">
        <w:t xml:space="preserve">President or Acting </w:t>
      </w:r>
      <w:r w:rsidR="0054367F" w:rsidRPr="00FB43A8">
        <w:t>Speaker</w:t>
      </w:r>
      <w:r w:rsidR="00561D94" w:rsidRPr="00FB43A8">
        <w:t>, as the case may be,</w:t>
      </w:r>
      <w:r w:rsidR="0054367F" w:rsidRPr="00FB43A8">
        <w:t xml:space="preserve"> during any lengthy absences of the </w:t>
      </w:r>
      <w:r w:rsidR="00561D94" w:rsidRPr="00FB43A8">
        <w:t>relevant Presiding Officer</w:t>
      </w:r>
      <w:r w:rsidR="0054367F" w:rsidRPr="00FB43A8">
        <w:t xml:space="preserve">, for example due to extended illness.  In this case the Chair of Committees would also be undertaking those parts of the role of the </w:t>
      </w:r>
      <w:r w:rsidR="00561D94" w:rsidRPr="00FB43A8">
        <w:t>Presiding Officer</w:t>
      </w:r>
      <w:r w:rsidR="0054367F" w:rsidRPr="00FB43A8">
        <w:t xml:space="preserve"> not associated with the Chamber or the House sitting -</w:t>
      </w:r>
      <w:r w:rsidR="00057844">
        <w:t xml:space="preserve"> </w:t>
      </w:r>
      <w:r w:rsidR="0054367F" w:rsidRPr="00FB43A8">
        <w:t xml:space="preserve">ie administrative functions, appointments, representing the </w:t>
      </w:r>
      <w:r w:rsidR="00561D94" w:rsidRPr="00FB43A8">
        <w:t xml:space="preserve">Chamber or </w:t>
      </w:r>
      <w:r w:rsidR="0054367F" w:rsidRPr="00FB43A8">
        <w:t>House etc.</w:t>
      </w:r>
    </w:p>
    <w:p w:rsidR="00104803" w:rsidRPr="00FB43A8" w:rsidRDefault="00533753" w:rsidP="00F324DE">
      <w:pPr>
        <w:pStyle w:val="textbasic"/>
        <w:rPr>
          <w:lang w:val="en-AU"/>
        </w:rPr>
      </w:pPr>
      <w:r w:rsidRPr="00FB43A8">
        <w:rPr>
          <w:lang w:val="en-AU"/>
        </w:rPr>
        <w:t>As an office</w:t>
      </w:r>
      <w:r w:rsidR="00C764B2" w:rsidRPr="00FB43A8">
        <w:rPr>
          <w:lang w:val="en-AU"/>
        </w:rPr>
        <w:t xml:space="preserve"> holder</w:t>
      </w:r>
      <w:r w:rsidRPr="00FB43A8">
        <w:rPr>
          <w:lang w:val="en-AU"/>
        </w:rPr>
        <w:t xml:space="preserve"> of the Parliament the Chair of Committees in each House receives an additional salary of 20 per cent of the basic salary.</w:t>
      </w:r>
    </w:p>
    <w:p w:rsidR="00533753" w:rsidRPr="00533753" w:rsidRDefault="00533753" w:rsidP="00F324DE">
      <w:pPr>
        <w:pStyle w:val="textbasic"/>
      </w:pPr>
      <w:r w:rsidRPr="00FB43A8">
        <w:t xml:space="preserve">The role described above is different </w:t>
      </w:r>
      <w:r w:rsidR="00B4239A" w:rsidRPr="00FB43A8">
        <w:t>from</w:t>
      </w:r>
      <w:r w:rsidRPr="00FB43A8">
        <w:t xml:space="preserve"> that of a chair of a </w:t>
      </w:r>
      <w:r w:rsidR="00657527" w:rsidRPr="00FB43A8">
        <w:t xml:space="preserve">parliamentary </w:t>
      </w:r>
      <w:r w:rsidRPr="00FB43A8">
        <w:t>committee. Parliamentary committees are established for different purposes and by different methods. Some are established by statute</w:t>
      </w:r>
      <w:r w:rsidR="00E1189C" w:rsidRPr="00FB43A8">
        <w:t xml:space="preserve"> </w:t>
      </w:r>
      <w:r w:rsidR="00C37B1C" w:rsidRPr="00FB43A8">
        <w:t xml:space="preserve">(ie the </w:t>
      </w:r>
      <w:r w:rsidR="00451856" w:rsidRPr="00FB43A8">
        <w:rPr>
          <w:bCs/>
          <w:lang w:val="en-AU"/>
        </w:rPr>
        <w:t xml:space="preserve">Integrity, </w:t>
      </w:r>
      <w:r w:rsidR="00C37B1C" w:rsidRPr="00FB43A8">
        <w:rPr>
          <w:rFonts w:cs="Arial"/>
        </w:rPr>
        <w:t>Public Works, Public Accounts and Subordinate</w:t>
      </w:r>
      <w:r w:rsidR="00C37B1C" w:rsidRPr="00C764B2">
        <w:rPr>
          <w:rFonts w:cs="Arial"/>
        </w:rPr>
        <w:t xml:space="preserve"> Legislation Committees</w:t>
      </w:r>
      <w:r w:rsidR="00C37B1C" w:rsidRPr="00C764B2">
        <w:t xml:space="preserve">) </w:t>
      </w:r>
      <w:r w:rsidR="00E1189C" w:rsidRPr="00C764B2">
        <w:t xml:space="preserve">and others are </w:t>
      </w:r>
      <w:r w:rsidR="00E1189C">
        <w:t>set up in response to a motion approved by one or both Houses.  Some committees are</w:t>
      </w:r>
      <w:r w:rsidRPr="00533753">
        <w:t xml:space="preserve"> made up of members of both Houses</w:t>
      </w:r>
      <w:r w:rsidR="00E1189C">
        <w:t>, whereas others comprise members of one House</w:t>
      </w:r>
      <w:r w:rsidRPr="00533753">
        <w:t xml:space="preserve">. </w:t>
      </w:r>
      <w:r w:rsidR="00E1189C">
        <w:t xml:space="preserve">There are </w:t>
      </w:r>
      <w:r w:rsidR="00657527" w:rsidRPr="00533753">
        <w:t xml:space="preserve">standing committees </w:t>
      </w:r>
      <w:r w:rsidR="00E1189C">
        <w:t>(ie always established by each Parliament)</w:t>
      </w:r>
      <w:r w:rsidRPr="00533753">
        <w:t xml:space="preserve"> </w:t>
      </w:r>
      <w:r w:rsidR="00C37B1C" w:rsidRPr="00533753">
        <w:t xml:space="preserve">and select committees </w:t>
      </w:r>
      <w:r w:rsidR="00C37B1C">
        <w:t xml:space="preserve">(established when necessary) </w:t>
      </w:r>
      <w:r w:rsidR="00E1189C">
        <w:t>which</w:t>
      </w:r>
      <w:r w:rsidRPr="00533753">
        <w:t xml:space="preserve"> regulate some of the functions of the Parliament </w:t>
      </w:r>
      <w:r w:rsidR="00C37B1C">
        <w:t xml:space="preserve">(eg the Joint </w:t>
      </w:r>
      <w:r w:rsidRPr="00533753">
        <w:t>House and Library, Standing Orders, Privileges and Printing Committees</w:t>
      </w:r>
      <w:r w:rsidR="00C37B1C">
        <w:t>)</w:t>
      </w:r>
      <w:r w:rsidRPr="00533753">
        <w:t xml:space="preserve">. </w:t>
      </w:r>
    </w:p>
    <w:p w:rsidR="00533753" w:rsidRDefault="00533753" w:rsidP="00F324DE">
      <w:pPr>
        <w:pStyle w:val="textbasic"/>
      </w:pPr>
      <w:r w:rsidRPr="00533753">
        <w:lastRenderedPageBreak/>
        <w:t xml:space="preserve">From time to time </w:t>
      </w:r>
      <w:r w:rsidR="002744FD">
        <w:t>MPs may</w:t>
      </w:r>
      <w:r w:rsidRPr="00533753">
        <w:t xml:space="preserve"> see the need to appoint a select committee to inquire into a specific matter </w:t>
      </w:r>
      <w:r w:rsidR="00C37B1C">
        <w:t xml:space="preserve">(eg to conduct an inquiry into a sector of the economy) </w:t>
      </w:r>
      <w:r w:rsidRPr="00533753">
        <w:t xml:space="preserve">and report back to it. These committees can be select committees of </w:t>
      </w:r>
      <w:r w:rsidR="00E1189C">
        <w:t>one</w:t>
      </w:r>
      <w:r w:rsidRPr="00533753">
        <w:t xml:space="preserve"> House only or joint select committees made up of members of both Houses. </w:t>
      </w:r>
    </w:p>
    <w:p w:rsidR="00E1189C" w:rsidRPr="00533753" w:rsidRDefault="00E1189C" w:rsidP="00F324DE">
      <w:pPr>
        <w:pStyle w:val="textbasic"/>
      </w:pPr>
      <w:r>
        <w:t xml:space="preserve">In all cases each committee established will </w:t>
      </w:r>
      <w:r w:rsidR="00C37B1C">
        <w:t>comprise</w:t>
      </w:r>
      <w:r>
        <w:t xml:space="preserve"> a chair and other designated or elected </w:t>
      </w:r>
      <w:r w:rsidR="00C37B1C">
        <w:t>MPs</w:t>
      </w:r>
      <w:r>
        <w:t xml:space="preserve">.  It is the </w:t>
      </w:r>
      <w:r w:rsidR="00C37B1C">
        <w:t xml:space="preserve">appointed </w:t>
      </w:r>
      <w:r>
        <w:t xml:space="preserve">chairs of these committees </w:t>
      </w:r>
      <w:r w:rsidR="00C37B1C">
        <w:t>(who may</w:t>
      </w:r>
      <w:r w:rsidR="00657527">
        <w:t xml:space="preserve"> </w:t>
      </w:r>
      <w:r w:rsidR="00C37B1C">
        <w:t xml:space="preserve">be any of the MPs) </w:t>
      </w:r>
      <w:r>
        <w:t>who are entitled to receive the si</w:t>
      </w:r>
      <w:r w:rsidR="00C37B1C">
        <w:t>t</w:t>
      </w:r>
      <w:r>
        <w:t xml:space="preserve">ting fee provide by clause 3 of Schedule 6 </w:t>
      </w:r>
      <w:r w:rsidR="00B4239A">
        <w:t>to</w:t>
      </w:r>
      <w:r>
        <w:t xml:space="preserve"> the 2012</w:t>
      </w:r>
      <w:r w:rsidR="00C37B1C">
        <w:t xml:space="preserve"> Act</w:t>
      </w:r>
      <w:r>
        <w:t>, and the matter under review in this part of the Report</w:t>
      </w:r>
      <w:r w:rsidR="00C37B1C">
        <w:t>.</w:t>
      </w:r>
    </w:p>
    <w:p w:rsidR="00B34CCE" w:rsidRPr="001B2C0D" w:rsidRDefault="00B34CCE" w:rsidP="00F324DE">
      <w:pPr>
        <w:pStyle w:val="textbasic"/>
      </w:pPr>
      <w:r w:rsidRPr="001B2C0D">
        <w:t xml:space="preserve">The 2014 Report concluded that </w:t>
      </w:r>
      <w:r w:rsidR="00657527">
        <w:t>c</w:t>
      </w:r>
      <w:r w:rsidRPr="001B2C0D">
        <w:t xml:space="preserve">ommittee work is very </w:t>
      </w:r>
      <w:r w:rsidR="00C764B2">
        <w:t xml:space="preserve">much part of the core role of </w:t>
      </w:r>
      <w:r w:rsidR="006D5495">
        <w:t>an MP</w:t>
      </w:r>
      <w:r w:rsidRPr="001B2C0D">
        <w:t xml:space="preserve"> in the same manner as participating in parliamentary debates, attending briefings etc. The Report recommended that sitting fees for members of Standing Committees be abolished.</w:t>
      </w:r>
    </w:p>
    <w:p w:rsidR="00B34CCE" w:rsidRPr="001B2C0D" w:rsidRDefault="00B34CCE" w:rsidP="00F324DE">
      <w:pPr>
        <w:pStyle w:val="textbasic"/>
      </w:pPr>
      <w:r w:rsidRPr="001B2C0D">
        <w:t>We agree with this conclusion.</w:t>
      </w:r>
    </w:p>
    <w:p w:rsidR="00B34CCE" w:rsidRPr="001B2C0D" w:rsidRDefault="00B34CCE" w:rsidP="00F324DE">
      <w:pPr>
        <w:pStyle w:val="textbasic"/>
      </w:pPr>
      <w:r w:rsidRPr="001B2C0D">
        <w:t>There is</w:t>
      </w:r>
      <w:r w:rsidR="00B4239A">
        <w:t>,</w:t>
      </w:r>
      <w:r w:rsidRPr="001B2C0D">
        <w:t xml:space="preserve"> however</w:t>
      </w:r>
      <w:r w:rsidR="00B4239A">
        <w:t>,</w:t>
      </w:r>
      <w:r w:rsidRPr="001B2C0D">
        <w:t xml:space="preserve"> a strong case for continuing the allowance for </w:t>
      </w:r>
      <w:r w:rsidR="00057844">
        <w:t>c</w:t>
      </w:r>
      <w:r w:rsidR="00057844" w:rsidRPr="001B2C0D">
        <w:t>ommittee</w:t>
      </w:r>
      <w:r w:rsidR="00057844">
        <w:t xml:space="preserve"> C</w:t>
      </w:r>
      <w:r w:rsidR="00057844" w:rsidRPr="001B2C0D">
        <w:t>hair</w:t>
      </w:r>
      <w:r w:rsidR="00057844">
        <w:t>s</w:t>
      </w:r>
      <w:r w:rsidRPr="001B2C0D">
        <w:t>. We are advised that</w:t>
      </w:r>
      <w:r w:rsidR="00B4239A">
        <w:t>,</w:t>
      </w:r>
      <w:r w:rsidRPr="001B2C0D">
        <w:t xml:space="preserve"> whil</w:t>
      </w:r>
      <w:r w:rsidR="00B4239A">
        <w:t>e</w:t>
      </w:r>
      <w:r w:rsidRPr="001B2C0D">
        <w:t xml:space="preserve"> administrative support is provided through the staff of the Parliament, the role of the Chair is certainly over and above </w:t>
      </w:r>
      <w:r w:rsidR="00C764B2">
        <w:t xml:space="preserve">that </w:t>
      </w:r>
      <w:r w:rsidRPr="001B2C0D">
        <w:t>of a committee member. The Chair is responsible for managing the evidentiary process and importantly, finali</w:t>
      </w:r>
      <w:r w:rsidR="00B4239A">
        <w:t>s</w:t>
      </w:r>
      <w:r w:rsidRPr="001B2C0D">
        <w:t>ing the draft report prior to consideration by the committee as a whole.</w:t>
      </w:r>
    </w:p>
    <w:p w:rsidR="00B34CCE" w:rsidRPr="001B2C0D" w:rsidRDefault="00B34CCE" w:rsidP="00F324DE">
      <w:pPr>
        <w:pStyle w:val="textbasic"/>
      </w:pPr>
      <w:r w:rsidRPr="001B2C0D">
        <w:t xml:space="preserve">The </w:t>
      </w:r>
      <w:r w:rsidRPr="002744FD">
        <w:rPr>
          <w:b/>
        </w:rPr>
        <w:t>CPSU</w:t>
      </w:r>
      <w:r w:rsidR="00C764B2">
        <w:t xml:space="preserve"> submits</w:t>
      </w:r>
      <w:r w:rsidRPr="001B2C0D">
        <w:t xml:space="preserve"> that this additional responsibility should be recognised through a salary loading. This is a common practice in other jurisdictions. There is</w:t>
      </w:r>
      <w:r w:rsidR="00B4239A">
        <w:t>,</w:t>
      </w:r>
      <w:r w:rsidRPr="001B2C0D">
        <w:t xml:space="preserve"> however</w:t>
      </w:r>
      <w:r w:rsidR="00B4239A">
        <w:t>,</w:t>
      </w:r>
      <w:r w:rsidRPr="001B2C0D">
        <w:t xml:space="preserve"> insufficient evidence before us to proceed down this path with safety although it may be worthy of consideration in future reviews.</w:t>
      </w:r>
    </w:p>
    <w:p w:rsidR="002744FD" w:rsidRPr="001B2C0D" w:rsidRDefault="002744FD" w:rsidP="00CC5844">
      <w:pPr>
        <w:pStyle w:val="Heading2"/>
      </w:pPr>
      <w:bookmarkStart w:id="65" w:name="_Toc443486939"/>
      <w:r>
        <w:t>10.2</w:t>
      </w:r>
      <w:r>
        <w:tab/>
        <w:t>Recommendation</w:t>
      </w:r>
      <w:bookmarkEnd w:id="65"/>
    </w:p>
    <w:p w:rsidR="002744FD" w:rsidRPr="002744FD" w:rsidRDefault="002744FD" w:rsidP="00F324DE">
      <w:pPr>
        <w:pStyle w:val="textbasic"/>
      </w:pPr>
      <w:r w:rsidRPr="002744FD">
        <w:t>We recommend that</w:t>
      </w:r>
      <w:r w:rsidR="00657527">
        <w:t>:</w:t>
      </w:r>
    </w:p>
    <w:p w:rsidR="002744FD" w:rsidRPr="002744FD" w:rsidRDefault="002744FD" w:rsidP="002744FD">
      <w:pPr>
        <w:pStyle w:val="texti"/>
        <w:rPr>
          <w:b/>
        </w:rPr>
      </w:pPr>
      <w:r w:rsidRPr="002744FD">
        <w:rPr>
          <w:b/>
        </w:rPr>
        <w:t>(</w:t>
      </w:r>
      <w:r w:rsidR="00C764B2">
        <w:rPr>
          <w:b/>
        </w:rPr>
        <w:t>1</w:t>
      </w:r>
      <w:r w:rsidR="003662FC">
        <w:rPr>
          <w:b/>
        </w:rPr>
        <w:t>1</w:t>
      </w:r>
      <w:r w:rsidRPr="002744FD">
        <w:rPr>
          <w:b/>
        </w:rPr>
        <w:t>)</w:t>
      </w:r>
      <w:r w:rsidRPr="002744FD">
        <w:rPr>
          <w:b/>
        </w:rPr>
        <w:tab/>
      </w:r>
      <w:r w:rsidR="00C764B2" w:rsidRPr="002744FD">
        <w:rPr>
          <w:b/>
        </w:rPr>
        <w:t xml:space="preserve">The </w:t>
      </w:r>
      <w:r w:rsidRPr="002744FD">
        <w:rPr>
          <w:b/>
        </w:rPr>
        <w:t>sitting fees for members of Standing Committees be abolished with effect from 1 July 2016</w:t>
      </w:r>
      <w:r w:rsidR="007954E2">
        <w:rPr>
          <w:b/>
        </w:rPr>
        <w:t>.</w:t>
      </w:r>
    </w:p>
    <w:p w:rsidR="00B34CCE" w:rsidRPr="002744FD" w:rsidRDefault="002744FD" w:rsidP="002744FD">
      <w:pPr>
        <w:pStyle w:val="texti"/>
        <w:rPr>
          <w:b/>
        </w:rPr>
      </w:pPr>
      <w:r w:rsidRPr="002744FD">
        <w:rPr>
          <w:b/>
        </w:rPr>
        <w:t>(</w:t>
      </w:r>
      <w:r w:rsidR="003662FC">
        <w:rPr>
          <w:b/>
        </w:rPr>
        <w:t>1</w:t>
      </w:r>
      <w:r w:rsidR="00C764B2">
        <w:rPr>
          <w:b/>
        </w:rPr>
        <w:t>2</w:t>
      </w:r>
      <w:r w:rsidRPr="002744FD">
        <w:rPr>
          <w:b/>
        </w:rPr>
        <w:t>)</w:t>
      </w:r>
      <w:r w:rsidRPr="002744FD">
        <w:rPr>
          <w:b/>
        </w:rPr>
        <w:tab/>
      </w:r>
      <w:r w:rsidR="00C764B2" w:rsidRPr="002744FD">
        <w:rPr>
          <w:b/>
        </w:rPr>
        <w:t xml:space="preserve">The </w:t>
      </w:r>
      <w:r w:rsidR="00B34CCE" w:rsidRPr="002744FD">
        <w:rPr>
          <w:b/>
        </w:rPr>
        <w:t>Chair of a Standing or Select Committee be paid a daily sitting fee equivalent to 0.12% of the annual basic salary for each day on which the Chair attends a summoned meeting of the Committee. This allowance is to take effect from 1 July 2016.</w:t>
      </w:r>
    </w:p>
    <w:p w:rsidR="004E3456" w:rsidRDefault="00870928" w:rsidP="00F700FC">
      <w:pPr>
        <w:pStyle w:val="Heading1"/>
      </w:pPr>
      <w:bookmarkStart w:id="66" w:name="_Toc443486940"/>
      <w:r>
        <w:t>11</w:t>
      </w:r>
      <w:r>
        <w:tab/>
      </w:r>
      <w:r w:rsidR="004E3456">
        <w:t>Telecommunications Allowance</w:t>
      </w:r>
      <w:bookmarkEnd w:id="66"/>
    </w:p>
    <w:p w:rsidR="004E3456" w:rsidRPr="00B91C4D" w:rsidRDefault="004321E6" w:rsidP="00CC5844">
      <w:pPr>
        <w:pStyle w:val="Heading2"/>
      </w:pPr>
      <w:bookmarkStart w:id="67" w:name="_Toc443486941"/>
      <w:r>
        <w:t>11.1</w:t>
      </w:r>
      <w:r>
        <w:tab/>
      </w:r>
      <w:r w:rsidR="004D229F">
        <w:t>Information</w:t>
      </w:r>
      <w:bookmarkEnd w:id="67"/>
    </w:p>
    <w:p w:rsidR="008C312A" w:rsidRPr="00587F17" w:rsidRDefault="008C312A" w:rsidP="00F324DE">
      <w:pPr>
        <w:pStyle w:val="textbasic"/>
      </w:pPr>
      <w:r w:rsidRPr="00587F17">
        <w:t xml:space="preserve">The </w:t>
      </w:r>
      <w:r w:rsidR="009C2293">
        <w:t>2012 Act</w:t>
      </w:r>
      <w:r w:rsidRPr="00587F17">
        <w:t xml:space="preserve"> provides that there is payable to each </w:t>
      </w:r>
      <w:r>
        <w:t>MP</w:t>
      </w:r>
      <w:r w:rsidRPr="00587F17">
        <w:t xml:space="preserve"> a Telecommunications Allowance as follows:</w:t>
      </w:r>
      <w:r>
        <w:rPr>
          <w:rStyle w:val="FootnoteReference"/>
          <w:szCs w:val="20"/>
        </w:rPr>
        <w:footnoteReference w:id="83"/>
      </w:r>
    </w:p>
    <w:p w:rsidR="008C312A" w:rsidRPr="002744FD" w:rsidRDefault="008C312A" w:rsidP="004321E6">
      <w:pPr>
        <w:tabs>
          <w:tab w:val="left" w:pos="1134"/>
        </w:tabs>
        <w:spacing w:before="100" w:beforeAutospacing="1" w:after="100" w:afterAutospacing="1"/>
        <w:ind w:left="709" w:right="521" w:hanging="142"/>
        <w:rPr>
          <w:i/>
          <w:sz w:val="18"/>
          <w:szCs w:val="18"/>
        </w:rPr>
      </w:pPr>
      <w:bookmarkStart w:id="68" w:name="JS6@GC4@Gc2@EN"/>
      <w:bookmarkEnd w:id="68"/>
      <w:r w:rsidRPr="002744FD">
        <w:rPr>
          <w:bCs/>
          <w:i/>
          <w:sz w:val="18"/>
          <w:szCs w:val="18"/>
        </w:rPr>
        <w:t>“</w:t>
      </w:r>
      <w:r w:rsidR="004321E6" w:rsidRPr="002744FD">
        <w:rPr>
          <w:bCs/>
          <w:i/>
          <w:sz w:val="18"/>
          <w:szCs w:val="18"/>
        </w:rPr>
        <w:tab/>
      </w:r>
      <w:r w:rsidRPr="002744FD">
        <w:rPr>
          <w:bCs/>
          <w:i/>
          <w:sz w:val="18"/>
          <w:szCs w:val="18"/>
        </w:rPr>
        <w:t>(2)</w:t>
      </w:r>
      <w:r w:rsidR="00070DE8" w:rsidRPr="002744FD">
        <w:rPr>
          <w:i/>
          <w:sz w:val="18"/>
          <w:szCs w:val="18"/>
        </w:rPr>
        <w:tab/>
      </w:r>
      <w:r w:rsidRPr="002744FD">
        <w:rPr>
          <w:i/>
          <w:sz w:val="18"/>
          <w:szCs w:val="18"/>
        </w:rPr>
        <w:t>The Allowance is to be paid by way of reimbursement of –</w:t>
      </w:r>
      <w:bookmarkStart w:id="69" w:name="JS6@GC4@Gc2@Hpa@EN"/>
      <w:bookmarkEnd w:id="69"/>
    </w:p>
    <w:p w:rsidR="008C312A" w:rsidRPr="002744FD" w:rsidRDefault="008C312A" w:rsidP="00070DE8">
      <w:pPr>
        <w:spacing w:beforeAutospacing="1" w:after="100" w:afterAutospacing="1"/>
        <w:ind w:left="1560" w:right="521" w:hanging="426"/>
        <w:jc w:val="both"/>
        <w:rPr>
          <w:i/>
          <w:sz w:val="18"/>
          <w:szCs w:val="18"/>
        </w:rPr>
      </w:pPr>
      <w:r w:rsidRPr="002744FD">
        <w:rPr>
          <w:bCs/>
          <w:i/>
          <w:sz w:val="18"/>
          <w:szCs w:val="18"/>
        </w:rPr>
        <w:t>(a)</w:t>
      </w:r>
      <w:r w:rsidRPr="002744FD">
        <w:rPr>
          <w:i/>
          <w:sz w:val="18"/>
          <w:szCs w:val="18"/>
        </w:rPr>
        <w:t xml:space="preserve"> </w:t>
      </w:r>
      <w:r w:rsidR="00070DE8" w:rsidRPr="002744FD">
        <w:rPr>
          <w:i/>
          <w:sz w:val="18"/>
          <w:szCs w:val="18"/>
        </w:rPr>
        <w:tab/>
      </w:r>
      <w:r w:rsidRPr="002744FD">
        <w:rPr>
          <w:i/>
          <w:sz w:val="18"/>
          <w:szCs w:val="18"/>
        </w:rPr>
        <w:t>service and equipment charges for one telephone service installed in the member of Parliament's home, and 80% of all call charges applicable to that fixed line; and</w:t>
      </w:r>
    </w:p>
    <w:p w:rsidR="008C312A" w:rsidRPr="002744FD" w:rsidRDefault="008C312A" w:rsidP="00712653">
      <w:pPr>
        <w:spacing w:before="100" w:beforeAutospacing="1" w:after="100" w:afterAutospacing="1"/>
        <w:ind w:left="1560" w:right="521" w:hanging="448"/>
        <w:jc w:val="both"/>
        <w:rPr>
          <w:i/>
          <w:sz w:val="18"/>
          <w:szCs w:val="18"/>
        </w:rPr>
      </w:pPr>
      <w:bookmarkStart w:id="70" w:name="JS6@GC4@Gc2@Hpb@EN"/>
      <w:bookmarkEnd w:id="70"/>
      <w:r w:rsidRPr="002744FD">
        <w:rPr>
          <w:bCs/>
          <w:i/>
          <w:sz w:val="18"/>
          <w:szCs w:val="18"/>
        </w:rPr>
        <w:lastRenderedPageBreak/>
        <w:t>(b)</w:t>
      </w:r>
      <w:r w:rsidRPr="002744FD">
        <w:rPr>
          <w:i/>
          <w:sz w:val="18"/>
          <w:szCs w:val="18"/>
        </w:rPr>
        <w:t xml:space="preserve"> </w:t>
      </w:r>
      <w:r w:rsidR="00070DE8" w:rsidRPr="002744FD">
        <w:rPr>
          <w:i/>
          <w:sz w:val="18"/>
          <w:szCs w:val="18"/>
        </w:rPr>
        <w:tab/>
      </w:r>
      <w:r w:rsidRPr="002744FD">
        <w:rPr>
          <w:i/>
          <w:sz w:val="18"/>
          <w:szCs w:val="18"/>
        </w:rPr>
        <w:t>80% of all charges for a mobile telephone –</w:t>
      </w:r>
      <w:r w:rsidR="00CD22A4" w:rsidRPr="002744FD">
        <w:rPr>
          <w:i/>
          <w:sz w:val="18"/>
          <w:szCs w:val="18"/>
        </w:rPr>
        <w:t xml:space="preserve"> </w:t>
      </w:r>
      <w:r w:rsidRPr="002744FD">
        <w:rPr>
          <w:i/>
          <w:sz w:val="18"/>
          <w:szCs w:val="18"/>
        </w:rPr>
        <w:t xml:space="preserve">except as outlined in </w:t>
      </w:r>
      <w:r w:rsidRPr="007954E2">
        <w:rPr>
          <w:i/>
          <w:color w:val="333333"/>
          <w:sz w:val="18"/>
          <w:szCs w:val="18"/>
        </w:rPr>
        <w:t>subclause</w:t>
      </w:r>
      <w:r w:rsidR="007954E2">
        <w:rPr>
          <w:i/>
          <w:color w:val="333333"/>
          <w:sz w:val="18"/>
          <w:szCs w:val="18"/>
        </w:rPr>
        <w:t> </w:t>
      </w:r>
      <w:r w:rsidRPr="007954E2">
        <w:rPr>
          <w:i/>
          <w:color w:val="333333"/>
          <w:sz w:val="18"/>
          <w:szCs w:val="18"/>
        </w:rPr>
        <w:t>(3)</w:t>
      </w:r>
      <w:r w:rsidRPr="002744FD">
        <w:rPr>
          <w:i/>
          <w:sz w:val="18"/>
          <w:szCs w:val="18"/>
        </w:rPr>
        <w:t>.</w:t>
      </w:r>
    </w:p>
    <w:p w:rsidR="008C312A" w:rsidRPr="002744FD" w:rsidRDefault="008C312A" w:rsidP="00070DE8">
      <w:pPr>
        <w:spacing w:before="100" w:beforeAutospacing="1" w:after="100" w:afterAutospacing="1"/>
        <w:ind w:left="1134" w:right="521" w:hanging="425"/>
        <w:jc w:val="both"/>
        <w:rPr>
          <w:i/>
          <w:sz w:val="18"/>
          <w:szCs w:val="18"/>
        </w:rPr>
      </w:pPr>
      <w:bookmarkStart w:id="71" w:name="JS6@GC4@Gc3@EN"/>
      <w:bookmarkEnd w:id="71"/>
      <w:r w:rsidRPr="002744FD">
        <w:rPr>
          <w:bCs/>
          <w:i/>
          <w:sz w:val="18"/>
          <w:szCs w:val="18"/>
        </w:rPr>
        <w:t>(3)</w:t>
      </w:r>
      <w:r w:rsidRPr="002744FD">
        <w:rPr>
          <w:i/>
          <w:sz w:val="18"/>
          <w:szCs w:val="18"/>
        </w:rPr>
        <w:t xml:space="preserve"> </w:t>
      </w:r>
      <w:r w:rsidR="00070DE8" w:rsidRPr="002744FD">
        <w:rPr>
          <w:i/>
          <w:sz w:val="18"/>
          <w:szCs w:val="18"/>
        </w:rPr>
        <w:tab/>
      </w:r>
      <w:r w:rsidRPr="002744FD">
        <w:rPr>
          <w:i/>
          <w:sz w:val="18"/>
          <w:szCs w:val="18"/>
        </w:rPr>
        <w:t>The Allowance in respect of a mobile telephone for the holder of the offices of the President of the Legislative Council, Speaker of the House of Assembly, Leader of the Opposition and Leader of a recognised non-government party, is to be unlimited.”</w:t>
      </w:r>
    </w:p>
    <w:p w:rsidR="00E84F7B" w:rsidRDefault="00E84F7B" w:rsidP="00F324DE">
      <w:pPr>
        <w:pStyle w:val="textbasic"/>
      </w:pPr>
      <w:bookmarkStart w:id="72" w:name="JS6@EN"/>
      <w:bookmarkEnd w:id="72"/>
      <w:r>
        <w:t>The 201</w:t>
      </w:r>
      <w:r w:rsidR="006F00C7">
        <w:t>4</w:t>
      </w:r>
      <w:r>
        <w:t xml:space="preserve"> </w:t>
      </w:r>
      <w:r w:rsidR="006F00C7">
        <w:t>Report</w:t>
      </w:r>
      <w:r>
        <w:t xml:space="preserve"> also noted that</w:t>
      </w:r>
      <w:r w:rsidR="00B4239A">
        <w:t>,</w:t>
      </w:r>
      <w:r>
        <w:t xml:space="preserve"> </w:t>
      </w:r>
      <w:r w:rsidR="008C312A" w:rsidRPr="00587F17">
        <w:t>in addition to th</w:t>
      </w:r>
      <w:r>
        <w:t>is</w:t>
      </w:r>
      <w:r w:rsidR="008C312A" w:rsidRPr="00587F17">
        <w:t xml:space="preserve"> allowance, each </w:t>
      </w:r>
      <w:r>
        <w:t>MP</w:t>
      </w:r>
      <w:r w:rsidR="008C312A" w:rsidRPr="00587F17">
        <w:t xml:space="preserve"> has access to a Members’ Resource Allowance</w:t>
      </w:r>
      <w:r>
        <w:t xml:space="preserve"> (MRA)</w:t>
      </w:r>
      <w:r w:rsidR="008C312A" w:rsidRPr="00587F17">
        <w:t xml:space="preserve"> of $7</w:t>
      </w:r>
      <w:r>
        <w:t xml:space="preserve"> </w:t>
      </w:r>
      <w:r w:rsidR="008C312A" w:rsidRPr="00587F17">
        <w:t xml:space="preserve">500 pa. This allowance is provided </w:t>
      </w:r>
      <w:r>
        <w:t xml:space="preserve">under a policy decision of </w:t>
      </w:r>
      <w:r w:rsidR="008C312A" w:rsidRPr="00587F17">
        <w:t xml:space="preserve">the Government through a budget allocation. It is not </w:t>
      </w:r>
      <w:r>
        <w:t xml:space="preserve">provided as a legislated provision under the </w:t>
      </w:r>
      <w:r w:rsidR="009C2293">
        <w:t>2012 Act</w:t>
      </w:r>
      <w:r w:rsidR="008C312A" w:rsidRPr="00587F17">
        <w:t xml:space="preserve">. </w:t>
      </w:r>
    </w:p>
    <w:p w:rsidR="008C312A" w:rsidRPr="00587F17" w:rsidRDefault="00E84F7B" w:rsidP="00F324DE">
      <w:pPr>
        <w:pStyle w:val="textbasic"/>
      </w:pPr>
      <w:r>
        <w:t xml:space="preserve">The MRA has been </w:t>
      </w:r>
      <w:r w:rsidR="008C312A" w:rsidRPr="00587F17">
        <w:t xml:space="preserve">used for the purpose of purchasing hardware items, such as a smart phone, tablet (iPad), laptop computer and docking station. </w:t>
      </w:r>
      <w:r>
        <w:t>The 2013 Tribunal was also informed that the MRA</w:t>
      </w:r>
      <w:r w:rsidR="008C312A" w:rsidRPr="00587F17">
        <w:t xml:space="preserve"> </w:t>
      </w:r>
      <w:r>
        <w:t>may</w:t>
      </w:r>
      <w:r w:rsidR="008C312A" w:rsidRPr="00587F17">
        <w:t xml:space="preserve"> also</w:t>
      </w:r>
      <w:r>
        <w:t xml:space="preserve"> be</w:t>
      </w:r>
      <w:r w:rsidR="008C312A" w:rsidRPr="00587F17">
        <w:t xml:space="preserve"> used to fund the data component of these devices.</w:t>
      </w:r>
      <w:r w:rsidRPr="00E84F7B">
        <w:t xml:space="preserve"> </w:t>
      </w:r>
      <w:r w:rsidRPr="00587F17">
        <w:t xml:space="preserve">The </w:t>
      </w:r>
      <w:r>
        <w:t>MRA</w:t>
      </w:r>
      <w:r w:rsidRPr="00587F17">
        <w:t xml:space="preserve"> is not paid directly to the member but is administered on a ‘draw down’ basis. If the allowance is not fully expended in any year, the unspent balance reverts to consolidated revenue. From the information available to the Tribunal, the Resources Allowance is </w:t>
      </w:r>
      <w:r w:rsidR="00B4239A">
        <w:t xml:space="preserve">considered </w:t>
      </w:r>
      <w:r w:rsidRPr="00587F17">
        <w:t xml:space="preserve">adequate for the purpose </w:t>
      </w:r>
      <w:r w:rsidR="00B4239A" w:rsidRPr="00587F17">
        <w:t xml:space="preserve">for </w:t>
      </w:r>
      <w:r w:rsidR="00B4239A">
        <w:t xml:space="preserve">which </w:t>
      </w:r>
      <w:r w:rsidRPr="00587F17">
        <w:t>it is intended.</w:t>
      </w:r>
    </w:p>
    <w:p w:rsidR="008C312A" w:rsidRPr="00587F17" w:rsidRDefault="00E84F7B" w:rsidP="00F324DE">
      <w:pPr>
        <w:pStyle w:val="textbasic"/>
      </w:pPr>
      <w:r>
        <w:t>The 201</w:t>
      </w:r>
      <w:r w:rsidR="006F00C7">
        <w:t>4</w:t>
      </w:r>
      <w:r>
        <w:t xml:space="preserve"> </w:t>
      </w:r>
      <w:r w:rsidR="006F00C7">
        <w:t>Report</w:t>
      </w:r>
      <w:r>
        <w:t xml:space="preserve"> </w:t>
      </w:r>
      <w:r w:rsidR="006F00C7">
        <w:t>noted</w:t>
      </w:r>
      <w:r>
        <w:t xml:space="preserve"> that m</w:t>
      </w:r>
      <w:r w:rsidR="008C312A" w:rsidRPr="00587F17">
        <w:t>obile phones are administered on the basis of a ‘whole of parliament’ contra</w:t>
      </w:r>
      <w:r w:rsidR="00657527">
        <w:t>ct. Members are sent an account on a regular basis</w:t>
      </w:r>
      <w:r w:rsidR="008C312A" w:rsidRPr="00587F17">
        <w:t xml:space="preserve"> for </w:t>
      </w:r>
      <w:r w:rsidR="00657527">
        <w:t>2</w:t>
      </w:r>
      <w:r w:rsidR="008C312A" w:rsidRPr="00587F17">
        <w:t>0% of the data and call charge</w:t>
      </w:r>
      <w:r w:rsidR="00657527">
        <w:t>s</w:t>
      </w:r>
      <w:r w:rsidR="008C312A" w:rsidRPr="00587F17">
        <w:t xml:space="preserve"> applicable to that phone. </w:t>
      </w:r>
      <w:r>
        <w:t>In 2013 t</w:t>
      </w:r>
      <w:r w:rsidR="008C312A" w:rsidRPr="00587F17">
        <w:t>here appear</w:t>
      </w:r>
      <w:r>
        <w:t>ed</w:t>
      </w:r>
      <w:r w:rsidR="008C312A" w:rsidRPr="00587F17">
        <w:t xml:space="preserve"> to be widespread satisfaction with this arrangement.</w:t>
      </w:r>
    </w:p>
    <w:p w:rsidR="00E84F7B" w:rsidRDefault="008C312A" w:rsidP="00F324DE">
      <w:pPr>
        <w:pStyle w:val="textbasic"/>
      </w:pPr>
      <w:r w:rsidRPr="00587F17">
        <w:t>In relation to home landline services, the advent of ‘bundled’ accounts has made it very difficult to identify ‘service and equipment’ charges for a home telephone</w:t>
      </w:r>
      <w:r w:rsidR="00E84F7B">
        <w:t xml:space="preserve"> and often people have dispensed with a ‘traditional’ landline all together.</w:t>
      </w:r>
    </w:p>
    <w:p w:rsidR="008C312A" w:rsidRPr="00587F17" w:rsidRDefault="00E84F7B" w:rsidP="00F324DE">
      <w:pPr>
        <w:pStyle w:val="textbasic"/>
      </w:pPr>
      <w:r>
        <w:t>In 2013</w:t>
      </w:r>
      <w:r w:rsidR="008C312A" w:rsidRPr="00587F17">
        <w:t xml:space="preserve"> </w:t>
      </w:r>
      <w:r w:rsidR="00657527">
        <w:t>fewer</w:t>
      </w:r>
      <w:r w:rsidR="008C312A" w:rsidRPr="00587F17">
        <w:t xml:space="preserve"> than half of </w:t>
      </w:r>
      <w:r w:rsidR="00657527">
        <w:t>MPs</w:t>
      </w:r>
      <w:r w:rsidR="008C312A" w:rsidRPr="00587F17">
        <w:t xml:space="preserve"> </w:t>
      </w:r>
      <w:r>
        <w:t xml:space="preserve">appeared to </w:t>
      </w:r>
      <w:r w:rsidR="008C312A" w:rsidRPr="00587F17">
        <w:t>submit</w:t>
      </w:r>
      <w:r>
        <w:t xml:space="preserve"> claims for</w:t>
      </w:r>
      <w:r w:rsidR="008C312A" w:rsidRPr="00587F17">
        <w:t xml:space="preserve"> reimbursement for </w:t>
      </w:r>
      <w:r>
        <w:t xml:space="preserve">the costs of </w:t>
      </w:r>
      <w:r w:rsidR="008C312A" w:rsidRPr="00587F17">
        <w:t xml:space="preserve">a home telephone service. </w:t>
      </w:r>
      <w:r>
        <w:t xml:space="preserve">The </w:t>
      </w:r>
      <w:r w:rsidR="006F00C7">
        <w:t>2014 Report</w:t>
      </w:r>
      <w:r>
        <w:t xml:space="preserve"> recommend the</w:t>
      </w:r>
      <w:r w:rsidR="008C312A" w:rsidRPr="00587F17">
        <w:t xml:space="preserve"> replacement of existing arrangements with a standard monetary allowance</w:t>
      </w:r>
      <w:r>
        <w:t xml:space="preserve"> of $50 per month, but only where there was evidence provided that a home landline was installed at the MP’s home.</w:t>
      </w:r>
    </w:p>
    <w:p w:rsidR="008A49C0" w:rsidRPr="008A49C0" w:rsidRDefault="008A49C0" w:rsidP="00F324DE">
      <w:pPr>
        <w:pStyle w:val="textbasic"/>
      </w:pPr>
      <w:r>
        <w:t>The 201</w:t>
      </w:r>
      <w:r w:rsidR="006F00C7">
        <w:t>4</w:t>
      </w:r>
      <w:r>
        <w:t xml:space="preserve"> </w:t>
      </w:r>
      <w:r w:rsidR="006F00C7">
        <w:t>Report</w:t>
      </w:r>
      <w:r>
        <w:t xml:space="preserve"> did not recommend that there be any change to t</w:t>
      </w:r>
      <w:r w:rsidRPr="008A49C0">
        <w:t>he allowance in respect of a mobile telephone for the holder of offices of the President of the Legislative Council, Speaker of the House of Assembly, Leader of the Opposition and Leader of a recognised non-government party</w:t>
      </w:r>
      <w:r>
        <w:t>.  It was to remain</w:t>
      </w:r>
      <w:r w:rsidRPr="008A49C0">
        <w:t xml:space="preserve"> unlimited.</w:t>
      </w:r>
    </w:p>
    <w:p w:rsidR="00E84F7B" w:rsidRDefault="007777A5" w:rsidP="00775B98">
      <w:pPr>
        <w:pStyle w:val="textbasic"/>
      </w:pPr>
      <w:r>
        <w:t>In the 2014 Report the Tribunal observed that</w:t>
      </w:r>
      <w:r w:rsidR="00775B98">
        <w:t xml:space="preserve"> t</w:t>
      </w:r>
      <w:r w:rsidR="008A49C0" w:rsidRPr="008A49C0">
        <w:t xml:space="preserve">elecommunications </w:t>
      </w:r>
      <w:r w:rsidR="008A49C0">
        <w:t>and technology are</w:t>
      </w:r>
      <w:r w:rsidR="008C312A" w:rsidRPr="00587F17">
        <w:t xml:space="preserve"> </w:t>
      </w:r>
      <w:r w:rsidR="00E84F7B">
        <w:t>changing rapidly</w:t>
      </w:r>
      <w:r w:rsidR="008C312A" w:rsidRPr="00587F17">
        <w:t xml:space="preserve"> and it is not difficult to envisage the day when fixed line home telephones will no longer be a reimbursable component of </w:t>
      </w:r>
      <w:r w:rsidR="00E84F7B">
        <w:t>any</w:t>
      </w:r>
      <w:r w:rsidR="008C312A" w:rsidRPr="00587F17">
        <w:t xml:space="preserve"> telecommunications package. </w:t>
      </w:r>
    </w:p>
    <w:p w:rsidR="00E84F7B" w:rsidRDefault="00E84F7B" w:rsidP="00F324DE">
      <w:pPr>
        <w:pStyle w:val="textbasic"/>
      </w:pPr>
      <w:r>
        <w:t xml:space="preserve">The Commission </w:t>
      </w:r>
      <w:r w:rsidR="006F00C7">
        <w:t>sought</w:t>
      </w:r>
      <w:r>
        <w:t xml:space="preserve"> submissions about the form any future telecommunications</w:t>
      </w:r>
      <w:r w:rsidR="002F122A">
        <w:t>-</w:t>
      </w:r>
      <w:r>
        <w:t>based allowance should take.</w:t>
      </w:r>
    </w:p>
    <w:p w:rsidR="00600323" w:rsidRPr="00600323" w:rsidRDefault="00600323" w:rsidP="00F324DE">
      <w:pPr>
        <w:pStyle w:val="textbasic"/>
      </w:pPr>
      <w:r>
        <w:t xml:space="preserve">The </w:t>
      </w:r>
      <w:r w:rsidRPr="00600323">
        <w:rPr>
          <w:b/>
        </w:rPr>
        <w:t>CPSU</w:t>
      </w:r>
      <w:r>
        <w:t xml:space="preserve"> note</w:t>
      </w:r>
      <w:r w:rsidR="00C764B2">
        <w:t>s</w:t>
      </w:r>
      <w:r>
        <w:t xml:space="preserve"> that MPs</w:t>
      </w:r>
      <w:r w:rsidRPr="00600323">
        <w:t xml:space="preserve">, like other workers, need reasonable access to the tools needed to do their jobs. Modern phone and group data plans that can include uncapped usage mean </w:t>
      </w:r>
      <w:r w:rsidR="002F122A">
        <w:t xml:space="preserve">that </w:t>
      </w:r>
      <w:r w:rsidRPr="00600323">
        <w:t xml:space="preserve">benefits that once existed by proportioning some phone and internet data as a personal cost often now incur greater administrative costs than savings. </w:t>
      </w:r>
    </w:p>
    <w:p w:rsidR="00600323" w:rsidRPr="00600323" w:rsidRDefault="00600323" w:rsidP="00F324DE">
      <w:pPr>
        <w:pStyle w:val="textbasic"/>
      </w:pPr>
      <w:r>
        <w:lastRenderedPageBreak/>
        <w:t>MPs</w:t>
      </w:r>
      <w:r w:rsidRPr="00600323">
        <w:t xml:space="preserve"> should be given the IT and communications equipment required to do the job and it should be put on appropriate plans and paid by the taxpayer. Clear policies should be developed for phone and data usage and individual members should be able to choose the equipment they prefer from a list of options. </w:t>
      </w:r>
    </w:p>
    <w:p w:rsidR="00600323" w:rsidRDefault="00600323" w:rsidP="00F324DE">
      <w:pPr>
        <w:pStyle w:val="textbasic"/>
      </w:pPr>
      <w:r>
        <w:t>MPs</w:t>
      </w:r>
      <w:r w:rsidRPr="00600323">
        <w:t xml:space="preserve"> should be contactable on their mobile device </w:t>
      </w:r>
      <w:r w:rsidR="002F122A">
        <w:t xml:space="preserve">and </w:t>
      </w:r>
      <w:r w:rsidRPr="00600323">
        <w:t>so should not be recompensed for the provision of a landline home telephone service.</w:t>
      </w:r>
    </w:p>
    <w:p w:rsidR="00600323" w:rsidRDefault="00E10647" w:rsidP="00F324DE">
      <w:pPr>
        <w:pStyle w:val="textbasic"/>
      </w:pPr>
      <w:r w:rsidRPr="00E10647">
        <w:t>The</w:t>
      </w:r>
      <w:r>
        <w:rPr>
          <w:b/>
        </w:rPr>
        <w:t xml:space="preserve"> </w:t>
      </w:r>
      <w:r w:rsidR="00600323" w:rsidRPr="00E10647">
        <w:rPr>
          <w:b/>
        </w:rPr>
        <w:t>ANMF (Tas)</w:t>
      </w:r>
      <w:r w:rsidR="00600323">
        <w:t xml:space="preserve"> submit</w:t>
      </w:r>
      <w:r w:rsidR="00C764B2">
        <w:t xml:space="preserve">s </w:t>
      </w:r>
      <w:r w:rsidR="00600323">
        <w:t>that the</w:t>
      </w:r>
      <w:r w:rsidR="00600323" w:rsidRPr="00600323">
        <w:t xml:space="preserve"> provision of smart mobile phones with current 80% call/data paid but not home lines should be allowable. </w:t>
      </w:r>
      <w:r>
        <w:t>However, it considers that t</w:t>
      </w:r>
      <w:r w:rsidR="00600323" w:rsidRPr="00600323">
        <w:t xml:space="preserve">he </w:t>
      </w:r>
      <w:r>
        <w:t xml:space="preserve">(administrative) </w:t>
      </w:r>
      <w:r w:rsidR="00600323" w:rsidRPr="00600323">
        <w:t>Member’s Resource Allowance ($7</w:t>
      </w:r>
      <w:r w:rsidR="002F122A">
        <w:t xml:space="preserve"> </w:t>
      </w:r>
      <w:r w:rsidR="00600323" w:rsidRPr="00600323">
        <w:t xml:space="preserve">500 pa) should be removed </w:t>
      </w:r>
      <w:r>
        <w:t>and</w:t>
      </w:r>
      <w:r w:rsidR="00600323" w:rsidRPr="00600323">
        <w:t xml:space="preserve"> IT equipment </w:t>
      </w:r>
      <w:r w:rsidRPr="00600323">
        <w:t>require</w:t>
      </w:r>
      <w:r>
        <w:t xml:space="preserve">d by MPs to do their work be supplied </w:t>
      </w:r>
      <w:r w:rsidR="00600323" w:rsidRPr="00600323">
        <w:t xml:space="preserve">from the </w:t>
      </w:r>
      <w:r w:rsidR="00E86B39">
        <w:t>‘</w:t>
      </w:r>
      <w:r w:rsidR="00600323" w:rsidRPr="00600323">
        <w:t>whole of parliament</w:t>
      </w:r>
      <w:r w:rsidR="00E86B39">
        <w:t>’</w:t>
      </w:r>
      <w:r w:rsidR="00600323" w:rsidRPr="00600323">
        <w:t xml:space="preserve"> contract. </w:t>
      </w:r>
      <w:r>
        <w:t xml:space="preserve"> As mentioned in section 9.1 i</w:t>
      </w:r>
      <w:r w:rsidR="00600323" w:rsidRPr="00600323">
        <w:t xml:space="preserve">t is also noted that </w:t>
      </w:r>
      <w:r w:rsidR="00E86B39">
        <w:t>‘home office expenses’</w:t>
      </w:r>
      <w:r w:rsidR="00600323" w:rsidRPr="00600323">
        <w:t xml:space="preserve"> and </w:t>
      </w:r>
      <w:r w:rsidR="00E86B39">
        <w:t>‘</w:t>
      </w:r>
      <w:r w:rsidR="00600323" w:rsidRPr="00600323">
        <w:t>Internet access fees</w:t>
      </w:r>
      <w:r w:rsidR="00E86B39">
        <w:t>’</w:t>
      </w:r>
      <w:r w:rsidR="00600323" w:rsidRPr="00600323">
        <w:t xml:space="preserve"> are included as part of the </w:t>
      </w:r>
      <w:r w:rsidRPr="00600323">
        <w:t xml:space="preserve">Electorate Allowance </w:t>
      </w:r>
      <w:r w:rsidR="00600323" w:rsidRPr="00600323">
        <w:t>and this should be clarified.</w:t>
      </w:r>
    </w:p>
    <w:p w:rsidR="00E10647" w:rsidRDefault="00E10647" w:rsidP="00F324DE">
      <w:pPr>
        <w:pStyle w:val="textbasic"/>
      </w:pPr>
      <w:r w:rsidRPr="00E10647">
        <w:rPr>
          <w:b/>
        </w:rPr>
        <w:t>Unions Tasmania</w:t>
      </w:r>
      <w:r>
        <w:t xml:space="preserve"> propose</w:t>
      </w:r>
      <w:r w:rsidR="00C764B2">
        <w:t>s</w:t>
      </w:r>
      <w:r>
        <w:t xml:space="preserve"> that the entitlement of </w:t>
      </w:r>
      <w:r w:rsidR="006D5495">
        <w:t>an MP</w:t>
      </w:r>
      <w:r>
        <w:t xml:space="preserve"> to the Telecommunications Allowance be removed.</w:t>
      </w:r>
    </w:p>
    <w:p w:rsidR="006F00C7" w:rsidRPr="00C81EAD" w:rsidRDefault="006F00C7" w:rsidP="007954E2">
      <w:pPr>
        <w:pStyle w:val="textbasic"/>
      </w:pPr>
      <w:r w:rsidRPr="00C81EAD">
        <w:t xml:space="preserve">From the information before the Commission, the MRA continues to be </w:t>
      </w:r>
      <w:r w:rsidR="002F122A">
        <w:t xml:space="preserve">considered </w:t>
      </w:r>
      <w:r w:rsidRPr="00C81EAD">
        <w:t xml:space="preserve">adequate for the purposes </w:t>
      </w:r>
      <w:r w:rsidR="002F122A" w:rsidRPr="00C81EAD">
        <w:t xml:space="preserve">for </w:t>
      </w:r>
      <w:r w:rsidR="002F122A">
        <w:t xml:space="preserve">which </w:t>
      </w:r>
      <w:r w:rsidRPr="00C81EAD">
        <w:t>it was intended.</w:t>
      </w:r>
    </w:p>
    <w:p w:rsidR="006F00C7" w:rsidRPr="00C81EAD" w:rsidRDefault="006F00C7" w:rsidP="007954E2">
      <w:pPr>
        <w:pStyle w:val="textbasic"/>
      </w:pPr>
      <w:r w:rsidRPr="00C81EAD">
        <w:t>In relation to home</w:t>
      </w:r>
      <w:r w:rsidR="002F122A">
        <w:t>-</w:t>
      </w:r>
      <w:r w:rsidRPr="00C81EAD">
        <w:t xml:space="preserve">based landline services, the difficulties identified in the 2014 Report continue to be apparent. </w:t>
      </w:r>
    </w:p>
    <w:p w:rsidR="006F00C7" w:rsidRPr="00C81EAD" w:rsidRDefault="006F00C7" w:rsidP="007954E2">
      <w:pPr>
        <w:pStyle w:val="textbasic"/>
      </w:pPr>
      <w:r w:rsidRPr="00C81EAD">
        <w:t>We were informed that only approximately 25% of MPs actually submit a claim for reimbursement</w:t>
      </w:r>
      <w:r w:rsidR="002F122A">
        <w:t>,</w:t>
      </w:r>
      <w:r w:rsidRPr="00C81EAD">
        <w:t xml:space="preserve"> which is a lower proportion than in 2014.  </w:t>
      </w:r>
    </w:p>
    <w:p w:rsidR="00E10647" w:rsidRPr="00C81EAD" w:rsidRDefault="006F00C7" w:rsidP="007954E2">
      <w:pPr>
        <w:pStyle w:val="textbasic"/>
      </w:pPr>
      <w:r w:rsidRPr="00C81EAD">
        <w:t xml:space="preserve">Given the portability of technology and the support provided by the Parliament and through the MRA there is in our view no justification for continuing with reimbursement for home based landline services. </w:t>
      </w:r>
    </w:p>
    <w:p w:rsidR="006F00C7" w:rsidRPr="00C81EAD" w:rsidRDefault="006F00C7" w:rsidP="007954E2">
      <w:pPr>
        <w:pStyle w:val="textbasic"/>
      </w:pPr>
      <w:r w:rsidRPr="00C81EAD">
        <w:t xml:space="preserve">We also note that the 2006 Committee of Review specifically noted that the Electorate Allowance covers </w:t>
      </w:r>
      <w:r w:rsidRPr="00C81EAD">
        <w:rPr>
          <w:i/>
        </w:rPr>
        <w:t xml:space="preserve">inter alia </w:t>
      </w:r>
      <w:r w:rsidR="00C764B2">
        <w:t>‘home office expenses’</w:t>
      </w:r>
      <w:r w:rsidRPr="00C764B2">
        <w:t xml:space="preserve"> </w:t>
      </w:r>
      <w:r w:rsidR="00C764B2">
        <w:t>and ‘</w:t>
      </w:r>
      <w:r w:rsidRPr="00C764B2">
        <w:t>internet access fees</w:t>
      </w:r>
      <w:r w:rsidR="00C764B2">
        <w:t>’.</w:t>
      </w:r>
      <w:r w:rsidRPr="00C81EAD">
        <w:t xml:space="preserve"> We </w:t>
      </w:r>
      <w:r w:rsidR="003B7D8C" w:rsidRPr="00C81EAD">
        <w:t>recommend</w:t>
      </w:r>
      <w:r w:rsidRPr="00C81EAD">
        <w:t xml:space="preserve"> that this </w:t>
      </w:r>
      <w:r w:rsidR="003B7D8C" w:rsidRPr="00C81EAD">
        <w:t>component of the Telecommunication</w:t>
      </w:r>
      <w:r w:rsidR="002F122A">
        <w:t>s</w:t>
      </w:r>
      <w:r w:rsidR="003B7D8C" w:rsidRPr="00C81EAD">
        <w:t xml:space="preserve"> Allowance </w:t>
      </w:r>
      <w:r w:rsidRPr="00C81EAD">
        <w:t xml:space="preserve">be </w:t>
      </w:r>
      <w:r w:rsidR="00C764B2">
        <w:t>discontinued</w:t>
      </w:r>
      <w:r w:rsidRPr="00C81EAD">
        <w:t xml:space="preserve"> from 1 July 2016.</w:t>
      </w:r>
    </w:p>
    <w:p w:rsidR="006F00C7" w:rsidRPr="00C81EAD" w:rsidRDefault="006F00C7" w:rsidP="007954E2">
      <w:pPr>
        <w:pStyle w:val="textbasic"/>
      </w:pPr>
      <w:r w:rsidRPr="00C81EAD">
        <w:t xml:space="preserve">The cost of the Telecommunications Allowance has decreased significantly over </w:t>
      </w:r>
      <w:r w:rsidR="00C764B2">
        <w:t xml:space="preserve">time </w:t>
      </w:r>
      <w:r w:rsidRPr="00C81EAD">
        <w:t>and is now less than half what i</w:t>
      </w:r>
      <w:r w:rsidR="00057844">
        <w:t>t</w:t>
      </w:r>
      <w:r w:rsidRPr="00C81EAD">
        <w:t xml:space="preserve"> was five or six years ago </w:t>
      </w:r>
      <w:r w:rsidR="00E14D34">
        <w:t>(</w:t>
      </w:r>
      <w:r w:rsidRPr="00C81EAD">
        <w:t xml:space="preserve">see Appendix </w:t>
      </w:r>
      <w:r w:rsidR="00C764B2">
        <w:t>5</w:t>
      </w:r>
      <w:r w:rsidR="00E14D34">
        <w:t>)</w:t>
      </w:r>
      <w:r w:rsidR="00657527" w:rsidRPr="00C81EAD">
        <w:t>.</w:t>
      </w:r>
    </w:p>
    <w:p w:rsidR="006F00C7" w:rsidRPr="00C81EAD" w:rsidRDefault="006F00C7" w:rsidP="007954E2">
      <w:pPr>
        <w:pStyle w:val="textbasic"/>
      </w:pPr>
      <w:r w:rsidRPr="00C81EAD">
        <w:t>A mobile teleph</w:t>
      </w:r>
      <w:r w:rsidR="00C764B2">
        <w:t xml:space="preserve">one is undeniably an essential tool of trade for </w:t>
      </w:r>
      <w:r w:rsidR="006D5495">
        <w:t>an MP</w:t>
      </w:r>
      <w:r w:rsidR="00657527">
        <w:t>,</w:t>
      </w:r>
      <w:r w:rsidRPr="00C81EAD">
        <w:t xml:space="preserve"> the cost of which should be largely borne by the Parliament.</w:t>
      </w:r>
    </w:p>
    <w:p w:rsidR="00E10647" w:rsidRDefault="00E10647" w:rsidP="00CC5844">
      <w:pPr>
        <w:pStyle w:val="Heading2"/>
      </w:pPr>
      <w:bookmarkStart w:id="73" w:name="_Toc443486942"/>
      <w:r>
        <w:t>11.2</w:t>
      </w:r>
      <w:r>
        <w:tab/>
        <w:t>Recommendation</w:t>
      </w:r>
      <w:bookmarkEnd w:id="73"/>
    </w:p>
    <w:p w:rsidR="00C81EAD" w:rsidRPr="00C81EAD" w:rsidRDefault="006F00C7" w:rsidP="006F00C7">
      <w:pPr>
        <w:jc w:val="both"/>
        <w:rPr>
          <w:sz w:val="18"/>
          <w:lang w:val="en-US"/>
        </w:rPr>
      </w:pPr>
      <w:r w:rsidRPr="00C81EAD">
        <w:rPr>
          <w:sz w:val="18"/>
          <w:lang w:val="en-US"/>
        </w:rPr>
        <w:t xml:space="preserve">We </w:t>
      </w:r>
      <w:r w:rsidR="00E10647" w:rsidRPr="00C81EAD">
        <w:rPr>
          <w:sz w:val="18"/>
          <w:lang w:val="en-US"/>
        </w:rPr>
        <w:t>recommend that</w:t>
      </w:r>
      <w:r w:rsidR="00C81EAD" w:rsidRPr="00C81EAD">
        <w:rPr>
          <w:sz w:val="18"/>
          <w:lang w:val="en-US"/>
        </w:rPr>
        <w:t>:</w:t>
      </w:r>
      <w:r w:rsidRPr="00C81EAD">
        <w:rPr>
          <w:sz w:val="18"/>
          <w:lang w:val="en-US"/>
        </w:rPr>
        <w:t xml:space="preserve"> </w:t>
      </w:r>
    </w:p>
    <w:p w:rsidR="00E10647" w:rsidRPr="00C81EAD" w:rsidRDefault="003662FC" w:rsidP="003662FC">
      <w:pPr>
        <w:ind w:left="709" w:hanging="709"/>
        <w:jc w:val="both"/>
        <w:rPr>
          <w:b/>
          <w:sz w:val="18"/>
          <w:lang w:val="en-US"/>
        </w:rPr>
      </w:pPr>
      <w:r>
        <w:rPr>
          <w:b/>
          <w:sz w:val="18"/>
          <w:lang w:val="en-US"/>
        </w:rPr>
        <w:t>(13)</w:t>
      </w:r>
      <w:r>
        <w:rPr>
          <w:b/>
          <w:sz w:val="18"/>
          <w:lang w:val="en-US"/>
        </w:rPr>
        <w:tab/>
      </w:r>
      <w:r w:rsidR="00C764B2">
        <w:rPr>
          <w:b/>
          <w:sz w:val="18"/>
          <w:lang w:val="en-US"/>
        </w:rPr>
        <w:t>T</w:t>
      </w:r>
      <w:r w:rsidR="00C764B2" w:rsidRPr="00C81EAD">
        <w:rPr>
          <w:b/>
          <w:sz w:val="18"/>
          <w:lang w:val="en-US"/>
        </w:rPr>
        <w:t xml:space="preserve">he </w:t>
      </w:r>
      <w:r w:rsidR="006F00C7" w:rsidRPr="00C81EAD">
        <w:rPr>
          <w:b/>
          <w:sz w:val="18"/>
          <w:lang w:val="en-US"/>
        </w:rPr>
        <w:t xml:space="preserve">existing </w:t>
      </w:r>
      <w:r w:rsidR="003B7D8C" w:rsidRPr="00C81EAD">
        <w:rPr>
          <w:b/>
          <w:sz w:val="18"/>
          <w:lang w:val="en-US"/>
        </w:rPr>
        <w:t xml:space="preserve">rate of </w:t>
      </w:r>
      <w:r w:rsidR="006F00C7" w:rsidRPr="00C81EAD">
        <w:rPr>
          <w:b/>
          <w:sz w:val="18"/>
          <w:lang w:val="en-US"/>
        </w:rPr>
        <w:t xml:space="preserve">reimbursement </w:t>
      </w:r>
      <w:r w:rsidR="003B7D8C" w:rsidRPr="00C81EAD">
        <w:rPr>
          <w:b/>
          <w:sz w:val="18"/>
          <w:lang w:val="en-US"/>
        </w:rPr>
        <w:t xml:space="preserve">of mobile phone charges </w:t>
      </w:r>
      <w:r w:rsidR="006F00C7" w:rsidRPr="00C81EAD">
        <w:rPr>
          <w:b/>
          <w:sz w:val="18"/>
          <w:lang w:val="en-US"/>
        </w:rPr>
        <w:t xml:space="preserve">be increased </w:t>
      </w:r>
      <w:r w:rsidR="003B7D8C" w:rsidRPr="00C81EAD">
        <w:rPr>
          <w:b/>
          <w:sz w:val="18"/>
          <w:lang w:val="en-US"/>
        </w:rPr>
        <w:t xml:space="preserve">from 80% </w:t>
      </w:r>
      <w:r w:rsidR="006F00C7" w:rsidRPr="00C81EAD">
        <w:rPr>
          <w:b/>
          <w:sz w:val="18"/>
          <w:lang w:val="en-US"/>
        </w:rPr>
        <w:t>to 90%</w:t>
      </w:r>
      <w:r w:rsidR="00657527">
        <w:rPr>
          <w:b/>
          <w:sz w:val="18"/>
          <w:lang w:val="en-US"/>
        </w:rPr>
        <w:t>.</w:t>
      </w:r>
    </w:p>
    <w:p w:rsidR="003B7D8C" w:rsidRPr="00C81EAD" w:rsidRDefault="00C764B2" w:rsidP="003662FC">
      <w:pPr>
        <w:ind w:left="709" w:hanging="709"/>
        <w:jc w:val="both"/>
        <w:rPr>
          <w:b/>
          <w:sz w:val="18"/>
          <w:lang w:val="en-US"/>
        </w:rPr>
      </w:pPr>
      <w:r>
        <w:rPr>
          <w:b/>
          <w:sz w:val="18"/>
          <w:lang w:val="en-US"/>
        </w:rPr>
        <w:t>(</w:t>
      </w:r>
      <w:r w:rsidR="003662FC">
        <w:rPr>
          <w:b/>
          <w:sz w:val="18"/>
          <w:lang w:val="en-US"/>
        </w:rPr>
        <w:t>14</w:t>
      </w:r>
      <w:r>
        <w:rPr>
          <w:b/>
          <w:sz w:val="18"/>
          <w:lang w:val="en-US"/>
        </w:rPr>
        <w:t>)</w:t>
      </w:r>
      <w:r>
        <w:rPr>
          <w:b/>
          <w:sz w:val="18"/>
          <w:lang w:val="en-US"/>
        </w:rPr>
        <w:tab/>
        <w:t>T</w:t>
      </w:r>
      <w:r w:rsidRPr="00C81EAD">
        <w:rPr>
          <w:b/>
          <w:sz w:val="18"/>
          <w:lang w:val="en-US"/>
        </w:rPr>
        <w:t xml:space="preserve">he </w:t>
      </w:r>
      <w:r w:rsidR="00E10647" w:rsidRPr="00C81EAD">
        <w:rPr>
          <w:b/>
          <w:sz w:val="18"/>
          <w:lang w:val="en-US"/>
        </w:rPr>
        <w:t xml:space="preserve">entitlement to reimbursement of </w:t>
      </w:r>
      <w:r w:rsidR="00E10647" w:rsidRPr="00C81EAD">
        <w:rPr>
          <w:b/>
          <w:sz w:val="18"/>
        </w:rPr>
        <w:t xml:space="preserve">service and equipment charges for one telephone service installed in </w:t>
      </w:r>
      <w:r w:rsidR="006D5495">
        <w:rPr>
          <w:b/>
          <w:sz w:val="18"/>
        </w:rPr>
        <w:t>an MP</w:t>
      </w:r>
      <w:r w:rsidR="00E10647" w:rsidRPr="00C81EAD">
        <w:rPr>
          <w:b/>
          <w:sz w:val="18"/>
        </w:rPr>
        <w:t xml:space="preserve">’s </w:t>
      </w:r>
      <w:r w:rsidR="00CD4077" w:rsidRPr="00C81EAD">
        <w:rPr>
          <w:b/>
          <w:sz w:val="18"/>
        </w:rPr>
        <w:t xml:space="preserve">home </w:t>
      </w:r>
      <w:r w:rsidR="00E10647" w:rsidRPr="00C81EAD">
        <w:rPr>
          <w:b/>
          <w:sz w:val="18"/>
        </w:rPr>
        <w:t>and 80% of all call charges applicable to that fixed line</w:t>
      </w:r>
      <w:r w:rsidR="00E10647" w:rsidRPr="00C81EAD">
        <w:rPr>
          <w:b/>
          <w:sz w:val="18"/>
          <w:lang w:val="en-US"/>
        </w:rPr>
        <w:t xml:space="preserve"> cease</w:t>
      </w:r>
      <w:r w:rsidR="006F00C7" w:rsidRPr="00C81EAD">
        <w:rPr>
          <w:b/>
          <w:sz w:val="18"/>
          <w:lang w:val="en-US"/>
        </w:rPr>
        <w:t xml:space="preserve">. </w:t>
      </w:r>
    </w:p>
    <w:p w:rsidR="00C764B2" w:rsidRPr="00C81EAD" w:rsidRDefault="00C764B2" w:rsidP="003662FC">
      <w:pPr>
        <w:ind w:left="709" w:hanging="709"/>
        <w:jc w:val="both"/>
        <w:rPr>
          <w:b/>
          <w:sz w:val="18"/>
          <w:lang w:val="en-US"/>
        </w:rPr>
      </w:pPr>
      <w:r>
        <w:rPr>
          <w:b/>
          <w:sz w:val="18"/>
          <w:lang w:val="en-US"/>
        </w:rPr>
        <w:t>(</w:t>
      </w:r>
      <w:r w:rsidR="003662FC">
        <w:rPr>
          <w:b/>
          <w:sz w:val="18"/>
          <w:lang w:val="en-US"/>
        </w:rPr>
        <w:t>15</w:t>
      </w:r>
      <w:r>
        <w:rPr>
          <w:b/>
          <w:sz w:val="18"/>
          <w:lang w:val="en-US"/>
        </w:rPr>
        <w:t>)</w:t>
      </w:r>
      <w:r>
        <w:rPr>
          <w:b/>
          <w:sz w:val="18"/>
          <w:lang w:val="en-US"/>
        </w:rPr>
        <w:tab/>
        <w:t>These revised provisions apply from 1 July 2016.</w:t>
      </w:r>
    </w:p>
    <w:p w:rsidR="00C81EAD" w:rsidRDefault="00C764B2" w:rsidP="003662FC">
      <w:pPr>
        <w:ind w:left="709" w:hanging="709"/>
        <w:jc w:val="both"/>
        <w:rPr>
          <w:b/>
          <w:sz w:val="18"/>
          <w:lang w:val="en-US"/>
        </w:rPr>
      </w:pPr>
      <w:r>
        <w:rPr>
          <w:b/>
          <w:sz w:val="18"/>
          <w:lang w:val="en-US"/>
        </w:rPr>
        <w:t>(</w:t>
      </w:r>
      <w:r w:rsidR="003662FC">
        <w:rPr>
          <w:b/>
          <w:sz w:val="18"/>
          <w:lang w:val="en-US"/>
        </w:rPr>
        <w:t>16</w:t>
      </w:r>
      <w:r>
        <w:rPr>
          <w:b/>
          <w:sz w:val="18"/>
          <w:lang w:val="en-US"/>
        </w:rPr>
        <w:t>)</w:t>
      </w:r>
      <w:r>
        <w:rPr>
          <w:b/>
          <w:sz w:val="18"/>
          <w:lang w:val="en-US"/>
        </w:rPr>
        <w:tab/>
      </w:r>
      <w:r w:rsidRPr="00C81EAD">
        <w:rPr>
          <w:b/>
          <w:sz w:val="18"/>
          <w:lang w:val="en-US"/>
        </w:rPr>
        <w:t xml:space="preserve">The </w:t>
      </w:r>
      <w:r w:rsidR="00C81EAD" w:rsidRPr="00C81EAD">
        <w:rPr>
          <w:b/>
          <w:sz w:val="18"/>
          <w:lang w:val="en-US"/>
        </w:rPr>
        <w:t xml:space="preserve">arrangement in relation to the reimbursement of mobile phone charges for office holders designated in clause 4(3) of Schedule 6 </w:t>
      </w:r>
      <w:r w:rsidR="002F122A">
        <w:rPr>
          <w:b/>
          <w:sz w:val="18"/>
          <w:lang w:val="en-US"/>
        </w:rPr>
        <w:t>to</w:t>
      </w:r>
      <w:r w:rsidR="00C81EAD" w:rsidRPr="00C81EAD">
        <w:rPr>
          <w:b/>
          <w:sz w:val="18"/>
          <w:lang w:val="en-US"/>
        </w:rPr>
        <w:t xml:space="preserve"> the 2012 Act continue.</w:t>
      </w:r>
    </w:p>
    <w:p w:rsidR="004A5250" w:rsidRDefault="00870928" w:rsidP="00F700FC">
      <w:pPr>
        <w:pStyle w:val="Heading1"/>
      </w:pPr>
      <w:bookmarkStart w:id="74" w:name="_Toc443486943"/>
      <w:r>
        <w:lastRenderedPageBreak/>
        <w:t>12</w:t>
      </w:r>
      <w:r>
        <w:tab/>
      </w:r>
      <w:r w:rsidR="004A5250">
        <w:t>Entertainment Allowance</w:t>
      </w:r>
      <w:bookmarkEnd w:id="74"/>
    </w:p>
    <w:p w:rsidR="004A5250" w:rsidRPr="002E5422" w:rsidRDefault="00184C32" w:rsidP="00CC5844">
      <w:pPr>
        <w:pStyle w:val="Heading2"/>
      </w:pPr>
      <w:bookmarkStart w:id="75" w:name="_Toc443486944"/>
      <w:r>
        <w:t>12.1</w:t>
      </w:r>
      <w:r>
        <w:tab/>
      </w:r>
      <w:r w:rsidR="004D229F">
        <w:t>Information</w:t>
      </w:r>
      <w:bookmarkEnd w:id="75"/>
    </w:p>
    <w:p w:rsidR="004A5250" w:rsidRDefault="004A5250" w:rsidP="00F324DE">
      <w:pPr>
        <w:pStyle w:val="textbasic"/>
      </w:pPr>
      <w:r>
        <w:t>The Premier, President of the Legislative Council and the Speaker of the House of Assembly are entitled to an Entertainment Allowance</w:t>
      </w:r>
      <w:r>
        <w:rPr>
          <w:rStyle w:val="FootnoteReference"/>
        </w:rPr>
        <w:footnoteReference w:id="84"/>
      </w:r>
      <w:r>
        <w:t xml:space="preserve">, which is specified as a percentage of the basic salary </w:t>
      </w:r>
      <w:r w:rsidR="00E14D34">
        <w:t>(</w:t>
      </w:r>
      <w:r w:rsidR="00070DE8">
        <w:t xml:space="preserve">Table </w:t>
      </w:r>
      <w:r w:rsidR="00DE48D6">
        <w:t>1</w:t>
      </w:r>
      <w:r w:rsidR="00F700FC">
        <w:t>2</w:t>
      </w:r>
      <w:r w:rsidR="00E14D34">
        <w:t>)</w:t>
      </w:r>
      <w:r w:rsidR="00070DE8">
        <w:t>.</w:t>
      </w:r>
    </w:p>
    <w:p w:rsidR="00070DE8" w:rsidRDefault="00070DE8" w:rsidP="00F700FC">
      <w:pPr>
        <w:pStyle w:val="TableTitlemain"/>
      </w:pPr>
      <w:r w:rsidRPr="00070DE8">
        <w:t xml:space="preserve">Table </w:t>
      </w:r>
      <w:r w:rsidR="00DE48D6">
        <w:t>1</w:t>
      </w:r>
      <w:r w:rsidR="00F700FC">
        <w:t>2</w:t>
      </w:r>
      <w:r w:rsidR="00F700FC">
        <w:tab/>
      </w:r>
      <w:r w:rsidRPr="00070DE8">
        <w:t>Entertainment Allowance</w:t>
      </w:r>
      <w:r w:rsidR="00DB580B">
        <w:t>, Tasmanian Office Holders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410"/>
      </w:tblGrid>
      <w:tr w:rsidR="00DB580B" w:rsidRPr="00060E2B" w:rsidTr="00060E2B">
        <w:tc>
          <w:tcPr>
            <w:tcW w:w="4253" w:type="dxa"/>
            <w:shd w:val="clear" w:color="auto" w:fill="D9D9D9" w:themeFill="background1" w:themeFillShade="D9"/>
          </w:tcPr>
          <w:p w:rsidR="00DB580B" w:rsidRPr="00060E2B" w:rsidRDefault="00DB580B" w:rsidP="001C028F">
            <w:pPr>
              <w:spacing w:before="120" w:after="120"/>
              <w:jc w:val="both"/>
              <w:rPr>
                <w:b/>
                <w:sz w:val="16"/>
                <w:szCs w:val="16"/>
                <w:lang w:val="en-US"/>
              </w:rPr>
            </w:pPr>
            <w:r w:rsidRPr="00060E2B">
              <w:rPr>
                <w:b/>
                <w:bCs/>
                <w:sz w:val="16"/>
                <w:szCs w:val="16"/>
              </w:rPr>
              <w:t>Office</w:t>
            </w:r>
          </w:p>
        </w:tc>
        <w:tc>
          <w:tcPr>
            <w:tcW w:w="2410" w:type="dxa"/>
            <w:shd w:val="clear" w:color="auto" w:fill="D9D9D9" w:themeFill="background1" w:themeFillShade="D9"/>
          </w:tcPr>
          <w:p w:rsidR="00DB580B" w:rsidRPr="00060E2B" w:rsidRDefault="00DB580B" w:rsidP="001C028F">
            <w:pPr>
              <w:spacing w:before="120" w:after="120"/>
              <w:jc w:val="center"/>
              <w:rPr>
                <w:b/>
                <w:sz w:val="16"/>
                <w:szCs w:val="16"/>
                <w:lang w:val="en-US"/>
              </w:rPr>
            </w:pPr>
            <w:r w:rsidRPr="00060E2B">
              <w:rPr>
                <w:b/>
                <w:bCs/>
                <w:sz w:val="16"/>
                <w:szCs w:val="16"/>
              </w:rPr>
              <w:t xml:space="preserve">Allowance </w:t>
            </w:r>
            <w:r w:rsidRPr="00060E2B">
              <w:rPr>
                <w:b/>
                <w:bCs/>
                <w:sz w:val="16"/>
                <w:szCs w:val="16"/>
              </w:rPr>
              <w:br/>
              <w:t>(% of basic salary)</w:t>
            </w:r>
          </w:p>
        </w:tc>
      </w:tr>
      <w:tr w:rsidR="00DB580B" w:rsidRPr="008118C4" w:rsidTr="008118C4">
        <w:tc>
          <w:tcPr>
            <w:tcW w:w="4253" w:type="dxa"/>
            <w:shd w:val="clear" w:color="auto" w:fill="auto"/>
          </w:tcPr>
          <w:p w:rsidR="00DB580B" w:rsidRPr="008118C4" w:rsidRDefault="00DB580B" w:rsidP="008118C4">
            <w:pPr>
              <w:jc w:val="both"/>
              <w:rPr>
                <w:b/>
                <w:sz w:val="16"/>
                <w:szCs w:val="16"/>
                <w:lang w:val="en-US"/>
              </w:rPr>
            </w:pPr>
            <w:r w:rsidRPr="008118C4">
              <w:rPr>
                <w:sz w:val="16"/>
                <w:szCs w:val="16"/>
              </w:rPr>
              <w:t>Premier</w:t>
            </w:r>
          </w:p>
        </w:tc>
        <w:tc>
          <w:tcPr>
            <w:tcW w:w="2410" w:type="dxa"/>
            <w:shd w:val="clear" w:color="auto" w:fill="auto"/>
          </w:tcPr>
          <w:p w:rsidR="00DB580B" w:rsidRPr="008118C4" w:rsidRDefault="00DB580B" w:rsidP="002F122A">
            <w:pPr>
              <w:jc w:val="center"/>
              <w:rPr>
                <w:b/>
                <w:sz w:val="16"/>
                <w:szCs w:val="16"/>
                <w:lang w:val="en-US"/>
              </w:rPr>
            </w:pPr>
            <w:r w:rsidRPr="008118C4">
              <w:rPr>
                <w:sz w:val="16"/>
                <w:szCs w:val="16"/>
              </w:rPr>
              <w:t>12</w:t>
            </w:r>
            <w:r w:rsidR="00CD22A4">
              <w:rPr>
                <w:sz w:val="16"/>
                <w:szCs w:val="16"/>
              </w:rPr>
              <w:t>%</w:t>
            </w:r>
          </w:p>
        </w:tc>
      </w:tr>
      <w:tr w:rsidR="00DB580B" w:rsidRPr="008118C4" w:rsidTr="008118C4">
        <w:tc>
          <w:tcPr>
            <w:tcW w:w="4253" w:type="dxa"/>
            <w:shd w:val="clear" w:color="auto" w:fill="auto"/>
          </w:tcPr>
          <w:p w:rsidR="00DB580B" w:rsidRPr="008118C4" w:rsidRDefault="00DB580B" w:rsidP="008118C4">
            <w:pPr>
              <w:jc w:val="both"/>
              <w:rPr>
                <w:b/>
                <w:sz w:val="16"/>
                <w:szCs w:val="16"/>
                <w:lang w:val="en-US"/>
              </w:rPr>
            </w:pPr>
            <w:r w:rsidRPr="008118C4">
              <w:rPr>
                <w:sz w:val="16"/>
                <w:szCs w:val="16"/>
              </w:rPr>
              <w:t>President of the Legislative Council</w:t>
            </w:r>
          </w:p>
        </w:tc>
        <w:tc>
          <w:tcPr>
            <w:tcW w:w="2410" w:type="dxa"/>
            <w:shd w:val="clear" w:color="auto" w:fill="auto"/>
          </w:tcPr>
          <w:p w:rsidR="00DB580B" w:rsidRPr="008118C4" w:rsidRDefault="00DB580B" w:rsidP="002F122A">
            <w:pPr>
              <w:jc w:val="center"/>
              <w:rPr>
                <w:b/>
                <w:sz w:val="16"/>
                <w:szCs w:val="16"/>
                <w:lang w:val="en-US"/>
              </w:rPr>
            </w:pPr>
            <w:r w:rsidRPr="008118C4">
              <w:rPr>
                <w:sz w:val="16"/>
                <w:szCs w:val="16"/>
              </w:rPr>
              <w:t>6</w:t>
            </w:r>
            <w:r w:rsidR="00CD22A4">
              <w:rPr>
                <w:sz w:val="16"/>
                <w:szCs w:val="16"/>
              </w:rPr>
              <w:t>%</w:t>
            </w:r>
          </w:p>
        </w:tc>
      </w:tr>
      <w:tr w:rsidR="00DB580B" w:rsidRPr="008118C4" w:rsidTr="008118C4">
        <w:tc>
          <w:tcPr>
            <w:tcW w:w="4253" w:type="dxa"/>
            <w:shd w:val="clear" w:color="auto" w:fill="auto"/>
          </w:tcPr>
          <w:p w:rsidR="00DB580B" w:rsidRPr="008118C4" w:rsidRDefault="00DB580B" w:rsidP="008118C4">
            <w:pPr>
              <w:jc w:val="both"/>
              <w:rPr>
                <w:b/>
                <w:sz w:val="16"/>
                <w:szCs w:val="16"/>
                <w:lang w:val="en-US"/>
              </w:rPr>
            </w:pPr>
            <w:r w:rsidRPr="008118C4">
              <w:rPr>
                <w:sz w:val="16"/>
                <w:szCs w:val="16"/>
              </w:rPr>
              <w:t>Speaker of the House of Assembly</w:t>
            </w:r>
          </w:p>
        </w:tc>
        <w:tc>
          <w:tcPr>
            <w:tcW w:w="2410" w:type="dxa"/>
            <w:shd w:val="clear" w:color="auto" w:fill="auto"/>
            <w:vAlign w:val="center"/>
          </w:tcPr>
          <w:p w:rsidR="00DB580B" w:rsidRPr="008118C4" w:rsidRDefault="00DB580B" w:rsidP="002F122A">
            <w:pPr>
              <w:jc w:val="center"/>
              <w:rPr>
                <w:sz w:val="16"/>
                <w:szCs w:val="16"/>
              </w:rPr>
            </w:pPr>
            <w:r w:rsidRPr="008118C4">
              <w:rPr>
                <w:sz w:val="16"/>
                <w:szCs w:val="16"/>
              </w:rPr>
              <w:t>6</w:t>
            </w:r>
            <w:r w:rsidR="00CD22A4">
              <w:rPr>
                <w:sz w:val="16"/>
                <w:szCs w:val="16"/>
              </w:rPr>
              <w:t>%</w:t>
            </w:r>
          </w:p>
        </w:tc>
      </w:tr>
    </w:tbl>
    <w:p w:rsidR="00DB580B" w:rsidRDefault="00DB580B" w:rsidP="004A5250">
      <w:pPr>
        <w:jc w:val="both"/>
        <w:rPr>
          <w:b/>
          <w:lang w:val="en-US"/>
        </w:rPr>
      </w:pPr>
    </w:p>
    <w:p w:rsidR="004A5250" w:rsidRDefault="004A5250" w:rsidP="00F324DE">
      <w:pPr>
        <w:pStyle w:val="textbasic"/>
      </w:pPr>
      <w:r>
        <w:t>Submissions received by the Tribunal generally supported the continuation of this allowance and the Tribunal recommended no change.</w:t>
      </w:r>
      <w:r w:rsidR="00184C32">
        <w:t xml:space="preserve">  </w:t>
      </w:r>
      <w:r w:rsidRPr="00FE2B25">
        <w:t>The Commission invite</w:t>
      </w:r>
      <w:r w:rsidR="00184C32">
        <w:t>d</w:t>
      </w:r>
      <w:r w:rsidRPr="00FE2B25">
        <w:t xml:space="preserve"> submissions as to whether there are any reasons to depart from the recommendation of the </w:t>
      </w:r>
      <w:r w:rsidR="00184C32">
        <w:t>2014 Report</w:t>
      </w:r>
      <w:r w:rsidRPr="00FE2B25">
        <w:t>.</w:t>
      </w:r>
    </w:p>
    <w:p w:rsidR="00184C32" w:rsidRPr="00184C32" w:rsidRDefault="00184C32" w:rsidP="00F324DE">
      <w:pPr>
        <w:pStyle w:val="textbasic"/>
      </w:pPr>
      <w:r w:rsidRPr="00184C32">
        <w:t>There is a widespread recognition that the designated office holders are required to entertain on behalf of the State and that such costs, within reason, should be met by the Crown.</w:t>
      </w:r>
    </w:p>
    <w:p w:rsidR="00184C32" w:rsidRPr="00184C32" w:rsidRDefault="00184C32" w:rsidP="00F324DE">
      <w:pPr>
        <w:pStyle w:val="textbasic"/>
      </w:pPr>
      <w:r w:rsidRPr="00184C32">
        <w:t xml:space="preserve">The </w:t>
      </w:r>
      <w:r w:rsidRPr="00CD4077">
        <w:rPr>
          <w:b/>
        </w:rPr>
        <w:t>CPSU, Unions Tasmania</w:t>
      </w:r>
      <w:r w:rsidRPr="00184C32">
        <w:t xml:space="preserve"> and the </w:t>
      </w:r>
      <w:r w:rsidR="00712B10" w:rsidRPr="00CD4077">
        <w:rPr>
          <w:b/>
        </w:rPr>
        <w:t>ANMF (Tas)</w:t>
      </w:r>
      <w:r w:rsidRPr="00184C32">
        <w:t xml:space="preserve"> </w:t>
      </w:r>
      <w:r w:rsidR="00CD4077">
        <w:t>support</w:t>
      </w:r>
      <w:r w:rsidR="00C764B2">
        <w:t xml:space="preserve"> </w:t>
      </w:r>
      <w:r w:rsidR="00CD4077">
        <w:t xml:space="preserve">the intention of this benefit but </w:t>
      </w:r>
      <w:r w:rsidR="002F122A">
        <w:t>call</w:t>
      </w:r>
      <w:r w:rsidRPr="00184C32">
        <w:t xml:space="preserve"> for greater transparency </w:t>
      </w:r>
      <w:r w:rsidR="00CD4077">
        <w:t xml:space="preserve">and clarity in the purpose.  </w:t>
      </w:r>
      <w:r w:rsidR="00CD4077" w:rsidRPr="00CD4077">
        <w:rPr>
          <w:b/>
        </w:rPr>
        <w:t>ANMF (Tas)</w:t>
      </w:r>
      <w:r w:rsidR="00CD4077" w:rsidRPr="00CD4077">
        <w:t xml:space="preserve"> </w:t>
      </w:r>
      <w:r w:rsidR="00CD4077">
        <w:t>expresse</w:t>
      </w:r>
      <w:r w:rsidR="00C764B2">
        <w:t>s</w:t>
      </w:r>
      <w:r w:rsidRPr="00184C32">
        <w:t xml:space="preserve"> a preference for such costs to be met from a budget allocation rather than paid as an allowance to the individual.</w:t>
      </w:r>
      <w:r w:rsidR="00CD4077">
        <w:t xml:space="preserve">  </w:t>
      </w:r>
      <w:r w:rsidR="00CD4077" w:rsidRPr="00CD4077">
        <w:rPr>
          <w:b/>
        </w:rPr>
        <w:t>Unions Tasmania</w:t>
      </w:r>
      <w:r w:rsidR="00CD4077">
        <w:t xml:space="preserve"> support</w:t>
      </w:r>
      <w:r w:rsidR="00C764B2">
        <w:t>s</w:t>
      </w:r>
      <w:r w:rsidR="00CD4077">
        <w:t xml:space="preserve"> reimbursement of actual costs rather than a defined allowance.</w:t>
      </w:r>
    </w:p>
    <w:p w:rsidR="00184C32" w:rsidRPr="00184C32" w:rsidRDefault="00184C32" w:rsidP="00F324DE">
      <w:pPr>
        <w:pStyle w:val="textbasic"/>
      </w:pPr>
      <w:r w:rsidRPr="00184C32">
        <w:t xml:space="preserve">There is some </w:t>
      </w:r>
      <w:r w:rsidR="00CD4077">
        <w:t xml:space="preserve">merit </w:t>
      </w:r>
      <w:r w:rsidR="00657527">
        <w:t>in</w:t>
      </w:r>
      <w:r w:rsidR="00CD4077">
        <w:t xml:space="preserve"> these suggestions</w:t>
      </w:r>
      <w:r w:rsidRPr="00184C32">
        <w:t>.</w:t>
      </w:r>
      <w:r w:rsidR="00CD4077">
        <w:t xml:space="preserve">  </w:t>
      </w:r>
      <w:r w:rsidRPr="00184C32">
        <w:t>However there is no evidence that this allowance has in any way been misused</w:t>
      </w:r>
      <w:r>
        <w:t>,</w:t>
      </w:r>
      <w:r w:rsidRPr="00184C32">
        <w:t xml:space="preserve"> and in such circumstances </w:t>
      </w:r>
      <w:r>
        <w:t>there is no reason to</w:t>
      </w:r>
      <w:r w:rsidRPr="00184C32">
        <w:t xml:space="preserve"> propose </w:t>
      </w:r>
      <w:r>
        <w:t>that it not</w:t>
      </w:r>
      <w:r w:rsidRPr="00184C32">
        <w:t xml:space="preserve"> continue</w:t>
      </w:r>
      <w:r w:rsidR="00CD4077">
        <w:t xml:space="preserve"> as is</w:t>
      </w:r>
      <w:r>
        <w:t>.</w:t>
      </w:r>
      <w:r w:rsidRPr="00184C32">
        <w:t xml:space="preserve"> </w:t>
      </w:r>
    </w:p>
    <w:p w:rsidR="00184C32" w:rsidRDefault="00184C32" w:rsidP="00CC5844">
      <w:pPr>
        <w:pStyle w:val="Heading2"/>
      </w:pPr>
      <w:bookmarkStart w:id="76" w:name="_Toc443486945"/>
      <w:r>
        <w:t>12.2</w:t>
      </w:r>
      <w:r>
        <w:tab/>
        <w:t>Recommendation</w:t>
      </w:r>
      <w:bookmarkEnd w:id="76"/>
    </w:p>
    <w:p w:rsidR="00C81EAD" w:rsidRDefault="00184C32" w:rsidP="00F324DE">
      <w:pPr>
        <w:pStyle w:val="textbasic"/>
      </w:pPr>
      <w:r w:rsidRPr="002744FD">
        <w:t>We recommend that</w:t>
      </w:r>
      <w:r w:rsidR="00C81EAD">
        <w:t>:</w:t>
      </w:r>
      <w:r w:rsidRPr="002744FD">
        <w:t xml:space="preserve"> </w:t>
      </w:r>
    </w:p>
    <w:p w:rsidR="00184C32" w:rsidRPr="00C81EAD" w:rsidRDefault="00C764B2" w:rsidP="00C764B2">
      <w:pPr>
        <w:pStyle w:val="textbasic"/>
        <w:ind w:left="567" w:hanging="567"/>
        <w:rPr>
          <w:b/>
        </w:rPr>
      </w:pPr>
      <w:r>
        <w:rPr>
          <w:b/>
        </w:rPr>
        <w:t>(1</w:t>
      </w:r>
      <w:r w:rsidR="003662FC">
        <w:rPr>
          <w:b/>
        </w:rPr>
        <w:t>7</w:t>
      </w:r>
      <w:r>
        <w:rPr>
          <w:b/>
        </w:rPr>
        <w:t>)</w:t>
      </w:r>
      <w:r>
        <w:rPr>
          <w:b/>
        </w:rPr>
        <w:tab/>
      </w:r>
      <w:r w:rsidR="00C81EAD" w:rsidRPr="00C81EAD">
        <w:rPr>
          <w:b/>
        </w:rPr>
        <w:t>The</w:t>
      </w:r>
      <w:r w:rsidR="00184C32" w:rsidRPr="00C81EAD">
        <w:rPr>
          <w:b/>
        </w:rPr>
        <w:t xml:space="preserve"> existing Entertainment Allowance for the Premier, President of the Legislative Council and Speaker of the House of Assembly continue without change.</w:t>
      </w:r>
    </w:p>
    <w:p w:rsidR="005A4A68" w:rsidRDefault="00870928" w:rsidP="00F700FC">
      <w:pPr>
        <w:pStyle w:val="Heading1"/>
      </w:pPr>
      <w:bookmarkStart w:id="77" w:name="_Toc443486946"/>
      <w:r>
        <w:t>13</w:t>
      </w:r>
      <w:r>
        <w:tab/>
      </w:r>
      <w:r w:rsidR="0092478B">
        <w:t>Away from Home Travelling Allowance</w:t>
      </w:r>
      <w:bookmarkEnd w:id="77"/>
    </w:p>
    <w:p w:rsidR="002E5422" w:rsidRPr="002E5422" w:rsidRDefault="00BD6E57" w:rsidP="00CC5844">
      <w:pPr>
        <w:pStyle w:val="Heading2"/>
      </w:pPr>
      <w:bookmarkStart w:id="78" w:name="_Toc443486947"/>
      <w:r>
        <w:t>13.1</w:t>
      </w:r>
      <w:r>
        <w:tab/>
      </w:r>
      <w:r w:rsidR="004D229F">
        <w:t>Information</w:t>
      </w:r>
      <w:bookmarkEnd w:id="78"/>
    </w:p>
    <w:p w:rsidR="0041655B" w:rsidRPr="0041655B" w:rsidRDefault="0041655B" w:rsidP="00F324DE">
      <w:pPr>
        <w:pStyle w:val="textbasic"/>
      </w:pPr>
      <w:r>
        <w:t xml:space="preserve">In the </w:t>
      </w:r>
      <w:r w:rsidR="009C2293">
        <w:t>2012 Act</w:t>
      </w:r>
      <w:r>
        <w:t xml:space="preserve"> the</w:t>
      </w:r>
      <w:r w:rsidRPr="0041655B">
        <w:t xml:space="preserve"> Away from Home Travelling Allowance is expressed in the following terms</w:t>
      </w:r>
      <w:r w:rsidR="00657527">
        <w:t>:</w:t>
      </w:r>
      <w:r>
        <w:rPr>
          <w:rStyle w:val="FootnoteReference"/>
        </w:rPr>
        <w:footnoteReference w:id="85"/>
      </w:r>
    </w:p>
    <w:p w:rsidR="002744FD" w:rsidRPr="00B74A76" w:rsidRDefault="00DB580B" w:rsidP="002744FD">
      <w:pPr>
        <w:pStyle w:val="quoteitalics"/>
        <w:tabs>
          <w:tab w:val="left" w:pos="709"/>
        </w:tabs>
        <w:ind w:left="1134" w:hanging="567"/>
      </w:pPr>
      <w:bookmarkStart w:id="79" w:name="JS6@GC6@Gc1@EN"/>
      <w:bookmarkEnd w:id="79"/>
      <w:r w:rsidRPr="002744FD">
        <w:t>“</w:t>
      </w:r>
      <w:r w:rsidR="00F700FC" w:rsidRPr="002744FD">
        <w:tab/>
      </w:r>
      <w:r w:rsidR="0041655B" w:rsidRPr="002744FD">
        <w:t>(1)</w:t>
      </w:r>
      <w:r w:rsidR="008D19B0" w:rsidRPr="002744FD">
        <w:tab/>
      </w:r>
      <w:r w:rsidR="0041655B" w:rsidRPr="002744FD">
        <w:t xml:space="preserve">There is payable to a </w:t>
      </w:r>
      <w:r w:rsidR="002F122A">
        <w:t>m</w:t>
      </w:r>
      <w:r w:rsidR="00F44C80" w:rsidRPr="002744FD">
        <w:t xml:space="preserve">ember </w:t>
      </w:r>
      <w:r w:rsidR="0041655B" w:rsidRPr="002744FD">
        <w:t>of Parliament an Away From Home Travelling Allowance for expenses incurred while travelling on official parliamentary business.</w:t>
      </w:r>
      <w:bookmarkStart w:id="80" w:name="JS6@GC6@Gc2@EN"/>
      <w:bookmarkEnd w:id="80"/>
      <w:r w:rsidR="002744FD" w:rsidRPr="002744FD">
        <w:t xml:space="preserve"> </w:t>
      </w:r>
    </w:p>
    <w:p w:rsidR="002744FD" w:rsidRPr="00B74A76" w:rsidRDefault="0041655B" w:rsidP="002744FD">
      <w:pPr>
        <w:pStyle w:val="quoteitalics"/>
        <w:ind w:left="1134" w:hanging="425"/>
      </w:pPr>
      <w:r w:rsidRPr="00B74A76">
        <w:rPr>
          <w:bCs/>
        </w:rPr>
        <w:t>(2)</w:t>
      </w:r>
      <w:r w:rsidRPr="00B74A76">
        <w:t xml:space="preserve"> </w:t>
      </w:r>
      <w:r w:rsidR="008D19B0" w:rsidRPr="00B74A76">
        <w:tab/>
      </w:r>
      <w:r w:rsidRPr="00B74A76">
        <w:t>The rate of the Allowance is to be calculated in accordance with the Travel Allowance and Meal Allowance components prescribed from time to time by the Tasmanian State Service Award of the Commission.</w:t>
      </w:r>
      <w:bookmarkStart w:id="81" w:name="JS6@GC6@Gc3@EN"/>
      <w:bookmarkEnd w:id="81"/>
      <w:r w:rsidR="002744FD" w:rsidRPr="002744FD">
        <w:t xml:space="preserve"> </w:t>
      </w:r>
    </w:p>
    <w:p w:rsidR="002744FD" w:rsidRPr="00B74A76" w:rsidRDefault="0041655B" w:rsidP="002744FD">
      <w:pPr>
        <w:pStyle w:val="quoteitalics"/>
        <w:ind w:left="1134" w:hanging="425"/>
      </w:pPr>
      <w:r w:rsidRPr="00B74A76">
        <w:rPr>
          <w:bCs/>
        </w:rPr>
        <w:lastRenderedPageBreak/>
        <w:t>(3)</w:t>
      </w:r>
      <w:r w:rsidR="008D19B0" w:rsidRPr="00B74A76">
        <w:rPr>
          <w:bCs/>
        </w:rPr>
        <w:tab/>
      </w:r>
      <w:r w:rsidRPr="00B74A76">
        <w:t xml:space="preserve">Where a </w:t>
      </w:r>
      <w:r w:rsidR="002F122A">
        <w:t>m</w:t>
      </w:r>
      <w:r w:rsidR="00F44C80" w:rsidRPr="00B74A76">
        <w:t xml:space="preserve">ember </w:t>
      </w:r>
      <w:r w:rsidRPr="00B74A76">
        <w:t>of Parliament exceeds the Allowance to which he or she is entitled, the member may, subject to any guidelines issued from time to time by the Government, claim an allowance by way of reimbursement of expenses, at the rate equivalent to the actual expenses incurred, on submission of documentary evidence of those expenses.</w:t>
      </w:r>
      <w:bookmarkStart w:id="82" w:name="JS6@GC6@Gc4@EN"/>
      <w:bookmarkEnd w:id="82"/>
      <w:r w:rsidR="002744FD" w:rsidRPr="002744FD">
        <w:t xml:space="preserve"> </w:t>
      </w:r>
    </w:p>
    <w:p w:rsidR="002744FD" w:rsidRPr="00B74A76" w:rsidRDefault="0041655B" w:rsidP="002744FD">
      <w:pPr>
        <w:pStyle w:val="quoteitalics"/>
        <w:ind w:left="1134" w:hanging="425"/>
      </w:pPr>
      <w:r w:rsidRPr="00B74A76">
        <w:rPr>
          <w:bCs/>
        </w:rPr>
        <w:t>(4)</w:t>
      </w:r>
      <w:r w:rsidRPr="00B74A76">
        <w:t xml:space="preserve"> </w:t>
      </w:r>
      <w:r w:rsidR="008D19B0" w:rsidRPr="00B74A76">
        <w:tab/>
      </w:r>
      <w:r w:rsidRPr="00B74A76">
        <w:t>The Allowances referred to in subclauses (2) and (3) are mutually exclusive and a member must claim either the Travelling Allowance referred to in subclause (2) or the reimbursement of actual expenses referred to in subclause (3).</w:t>
      </w:r>
      <w:r w:rsidR="00DB580B">
        <w:t>”</w:t>
      </w:r>
      <w:r w:rsidR="002744FD" w:rsidRPr="002744FD">
        <w:t xml:space="preserve"> </w:t>
      </w:r>
    </w:p>
    <w:p w:rsidR="0092478B" w:rsidRDefault="008D19B0" w:rsidP="00F324DE">
      <w:pPr>
        <w:pStyle w:val="textbasic"/>
      </w:pPr>
      <w:r>
        <w:t>The 201</w:t>
      </w:r>
      <w:r w:rsidR="00BD6E57">
        <w:t>4</w:t>
      </w:r>
      <w:r w:rsidR="002E5422">
        <w:t xml:space="preserve"> </w:t>
      </w:r>
      <w:r w:rsidR="00BD6E57">
        <w:t>Report</w:t>
      </w:r>
      <w:r>
        <w:t xml:space="preserve"> did</w:t>
      </w:r>
      <w:r w:rsidRPr="008D19B0">
        <w:t xml:space="preserve"> not </w:t>
      </w:r>
      <w:r w:rsidR="00BD6E57">
        <w:t>recommend</w:t>
      </w:r>
      <w:r w:rsidRPr="008D19B0">
        <w:t xml:space="preserve"> any substantive change to this provision. </w:t>
      </w:r>
      <w:r w:rsidR="00BD6E57">
        <w:t>The Tribunal</w:t>
      </w:r>
      <w:r>
        <w:t xml:space="preserve"> noted there was no evidence that </w:t>
      </w:r>
      <w:r w:rsidRPr="008D19B0">
        <w:t>MPs require a more generous arrangement than that applicable to State Servants. As such</w:t>
      </w:r>
      <w:r w:rsidR="002F122A">
        <w:t>,</w:t>
      </w:r>
      <w:r w:rsidRPr="008D19B0">
        <w:t xml:space="preserve"> the question of adequacy is better served through the </w:t>
      </w:r>
      <w:r>
        <w:t xml:space="preserve">normal </w:t>
      </w:r>
      <w:r w:rsidRPr="008D19B0">
        <w:t>Award mechanism.</w:t>
      </w:r>
    </w:p>
    <w:p w:rsidR="008D19B0" w:rsidRDefault="008D19B0" w:rsidP="00F324DE">
      <w:pPr>
        <w:pStyle w:val="textbasic"/>
      </w:pPr>
      <w:r>
        <w:t xml:space="preserve">In a submission to the Tribunal the CPSU had </w:t>
      </w:r>
      <w:r w:rsidRPr="008D19B0">
        <w:t>observed that</w:t>
      </w:r>
      <w:r w:rsidRPr="008D19B0">
        <w:rPr>
          <w:b/>
        </w:rPr>
        <w:t xml:space="preserve"> </w:t>
      </w:r>
      <w:r w:rsidRPr="008D19B0">
        <w:t xml:space="preserve">under the current wording the allowance </w:t>
      </w:r>
      <w:r>
        <w:t>may be</w:t>
      </w:r>
      <w:r w:rsidRPr="008D19B0">
        <w:t xml:space="preserve"> </w:t>
      </w:r>
      <w:r>
        <w:t>read to</w:t>
      </w:r>
      <w:r w:rsidRPr="008D19B0">
        <w:t xml:space="preserve"> entitle</w:t>
      </w:r>
      <w:r>
        <w:t xml:space="preserve"> MPs</w:t>
      </w:r>
      <w:r w:rsidRPr="008D19B0">
        <w:t xml:space="preserve"> to meal allowances for day travel, which does not generally apply to </w:t>
      </w:r>
      <w:r w:rsidR="001B3CA8">
        <w:t>‘</w:t>
      </w:r>
      <w:r w:rsidRPr="002F122A">
        <w:t>Public Service workers</w:t>
      </w:r>
      <w:r w:rsidR="001B3CA8">
        <w:t>’</w:t>
      </w:r>
      <w:r w:rsidRPr="002F122A">
        <w:t>.</w:t>
      </w:r>
      <w:r w:rsidRPr="008D19B0">
        <w:t xml:space="preserve"> </w:t>
      </w:r>
      <w:r>
        <w:t>Although the Tribunal did not consider that t</w:t>
      </w:r>
      <w:r w:rsidRPr="008D19B0">
        <w:t xml:space="preserve">his </w:t>
      </w:r>
      <w:r>
        <w:t>was an accurate</w:t>
      </w:r>
      <w:r w:rsidRPr="008D19B0">
        <w:t xml:space="preserve"> reading of the allowance, </w:t>
      </w:r>
      <w:r>
        <w:t>it sought</w:t>
      </w:r>
      <w:r w:rsidRPr="008D19B0">
        <w:t xml:space="preserve"> to avoid any </w:t>
      </w:r>
      <w:r w:rsidR="00657527">
        <w:t>doubt</w:t>
      </w:r>
      <w:r w:rsidRPr="008D19B0">
        <w:t xml:space="preserve"> </w:t>
      </w:r>
      <w:r>
        <w:t xml:space="preserve">by recommending an amendment to </w:t>
      </w:r>
      <w:r w:rsidRPr="008D19B0">
        <w:t xml:space="preserve">the provision to ensure that both the rates and conditions from the </w:t>
      </w:r>
      <w:r w:rsidRPr="007954E2">
        <w:t>Tasmanian State Service Award</w:t>
      </w:r>
      <w:r w:rsidRPr="008D19B0">
        <w:t xml:space="preserve"> apply.</w:t>
      </w:r>
      <w:r>
        <w:t xml:space="preserve">  </w:t>
      </w:r>
    </w:p>
    <w:p w:rsidR="00657527" w:rsidRDefault="008D19B0" w:rsidP="00F324DE">
      <w:pPr>
        <w:pStyle w:val="textbasic"/>
      </w:pPr>
      <w:r>
        <w:t>The wording pro</w:t>
      </w:r>
      <w:r w:rsidR="00D95A63">
        <w:t>po</w:t>
      </w:r>
      <w:r>
        <w:t xml:space="preserve">sed was </w:t>
      </w:r>
      <w:r w:rsidRPr="008D19B0">
        <w:t>that</w:t>
      </w:r>
      <w:r w:rsidR="00657527">
        <w:t>:</w:t>
      </w:r>
    </w:p>
    <w:p w:rsidR="008D19B0" w:rsidRPr="008D19B0" w:rsidRDefault="008D19B0" w:rsidP="00657527">
      <w:pPr>
        <w:pStyle w:val="quoteitalics1"/>
      </w:pPr>
      <w:r w:rsidRPr="008D19B0">
        <w:t>“</w:t>
      </w:r>
      <w:r w:rsidR="00657527">
        <w:tab/>
      </w:r>
      <w:r w:rsidRPr="00DB580B">
        <w:t>The rate of and the circumstances under which the allowance is payable shall be in accordance with the Travel Allowance and Meal Allowance components prescribed from time to time by the Tasmanian State Service Award of the Commission.</w:t>
      </w:r>
      <w:r w:rsidRPr="008D19B0">
        <w:t>”</w:t>
      </w:r>
    </w:p>
    <w:p w:rsidR="0092478B" w:rsidRDefault="0092478B" w:rsidP="00F324DE">
      <w:pPr>
        <w:pStyle w:val="textbasic"/>
      </w:pPr>
      <w:r>
        <w:t xml:space="preserve">The </w:t>
      </w:r>
      <w:r w:rsidR="008D19B0">
        <w:t>Commission</w:t>
      </w:r>
      <w:r>
        <w:t xml:space="preserve"> </w:t>
      </w:r>
      <w:r w:rsidR="00BD6E57">
        <w:t>sought</w:t>
      </w:r>
      <w:r>
        <w:t xml:space="preserve"> submissions as to the adequacy or otherwise of this entitlement and whether there is reason to depart from the recommendation</w:t>
      </w:r>
      <w:r w:rsidR="00D95A63">
        <w:t xml:space="preserve"> of the 201</w:t>
      </w:r>
      <w:r w:rsidR="00CD4077">
        <w:t>4</w:t>
      </w:r>
      <w:r w:rsidR="00D95A63">
        <w:t xml:space="preserve"> </w:t>
      </w:r>
      <w:r w:rsidR="00CD4077">
        <w:t>Report</w:t>
      </w:r>
      <w:r>
        <w:t>.</w:t>
      </w:r>
    </w:p>
    <w:p w:rsidR="002744FD" w:rsidRDefault="00CD4077" w:rsidP="00F324DE">
      <w:pPr>
        <w:pStyle w:val="textbasic"/>
      </w:pPr>
      <w:r w:rsidRPr="00116B06">
        <w:rPr>
          <w:b/>
        </w:rPr>
        <w:t>Unions Tasmania</w:t>
      </w:r>
      <w:r>
        <w:t xml:space="preserve"> support</w:t>
      </w:r>
      <w:r w:rsidR="00C764B2">
        <w:t>s</w:t>
      </w:r>
      <w:r>
        <w:t xml:space="preserve"> th</w:t>
      </w:r>
      <w:r w:rsidR="00116B06">
        <w:t xml:space="preserve">e </w:t>
      </w:r>
      <w:r w:rsidR="00657527">
        <w:t>principle</w:t>
      </w:r>
      <w:r w:rsidR="00116B06">
        <w:t xml:space="preserve"> that</w:t>
      </w:r>
      <w:r>
        <w:t xml:space="preserve"> when MPs</w:t>
      </w:r>
      <w:r w:rsidRPr="00CD4077">
        <w:t xml:space="preserve"> are required to travel for work reasons away from their home base they should be provided a reasonable standard of meals and accommodation at no out of pocket expense to themselves. </w:t>
      </w:r>
      <w:r w:rsidR="00657527">
        <w:t>It considers that:</w:t>
      </w:r>
    </w:p>
    <w:p w:rsidR="002744FD" w:rsidRDefault="00116B06" w:rsidP="002744FD">
      <w:pPr>
        <w:pStyle w:val="quoteitalics1"/>
      </w:pPr>
      <w:r>
        <w:t>“</w:t>
      </w:r>
      <w:r w:rsidR="002744FD">
        <w:tab/>
      </w:r>
      <w:r w:rsidR="00CD4077" w:rsidRPr="00CD4077">
        <w:t>This can either be done by their employer meeting the costs of meals and accommodation or by the payment of allowances capped at the ATO limit.</w:t>
      </w:r>
      <w:r>
        <w:t>”</w:t>
      </w:r>
      <w:r w:rsidR="00CD4077" w:rsidRPr="00CD4077">
        <w:t xml:space="preserve"> </w:t>
      </w:r>
    </w:p>
    <w:p w:rsidR="002744FD" w:rsidRDefault="00C028FD" w:rsidP="00F324DE">
      <w:pPr>
        <w:pStyle w:val="textbasic"/>
      </w:pPr>
      <w:r w:rsidRPr="00C028FD">
        <w:t xml:space="preserve">The </w:t>
      </w:r>
      <w:r w:rsidRPr="00C028FD">
        <w:rPr>
          <w:b/>
        </w:rPr>
        <w:t>CPSU</w:t>
      </w:r>
      <w:r w:rsidRPr="00C028FD">
        <w:t xml:space="preserve"> submit</w:t>
      </w:r>
      <w:r w:rsidR="00C764B2">
        <w:t>s</w:t>
      </w:r>
      <w:r w:rsidRPr="00C028FD">
        <w:t xml:space="preserve"> that</w:t>
      </w:r>
      <w:r w:rsidR="00657527">
        <w:t>:</w:t>
      </w:r>
      <w:r w:rsidRPr="00C028FD">
        <w:t xml:space="preserve"> </w:t>
      </w:r>
    </w:p>
    <w:p w:rsidR="002744FD" w:rsidRDefault="00C028FD" w:rsidP="002744FD">
      <w:pPr>
        <w:pStyle w:val="quoteitalics1"/>
      </w:pPr>
      <w:r>
        <w:t>“</w:t>
      </w:r>
      <w:r w:rsidR="002744FD">
        <w:tab/>
      </w:r>
      <w:r w:rsidRPr="00C028FD">
        <w:t>Tasmanian politicians required to travel away from home to undertake their role should receive identical benefits as those paid to other public servants as set out in the Tasmanian State Service Award</w:t>
      </w:r>
      <w:r>
        <w:t>”</w:t>
      </w:r>
      <w:r w:rsidRPr="00C028FD">
        <w:t>.</w:t>
      </w:r>
      <w:r>
        <w:t xml:space="preserve">  </w:t>
      </w:r>
    </w:p>
    <w:p w:rsidR="00CD4077" w:rsidRPr="00CD4077" w:rsidRDefault="00C028FD" w:rsidP="00F324DE">
      <w:pPr>
        <w:pStyle w:val="textbasic"/>
      </w:pPr>
      <w:r>
        <w:t xml:space="preserve">This approach </w:t>
      </w:r>
      <w:r w:rsidR="00657527">
        <w:t>i</w:t>
      </w:r>
      <w:r>
        <w:t xml:space="preserve">s supported by the </w:t>
      </w:r>
      <w:r w:rsidRPr="00C028FD">
        <w:rPr>
          <w:b/>
        </w:rPr>
        <w:t>ANMF (Tas)</w:t>
      </w:r>
      <w:r>
        <w:t xml:space="preserve"> in its submission.</w:t>
      </w:r>
    </w:p>
    <w:p w:rsidR="002744FD" w:rsidRDefault="00C028FD" w:rsidP="00F324DE">
      <w:pPr>
        <w:pStyle w:val="textbasic"/>
      </w:pPr>
      <w:r w:rsidRPr="00C028FD">
        <w:rPr>
          <w:b/>
        </w:rPr>
        <w:t>Unions Tasmania</w:t>
      </w:r>
      <w:r>
        <w:t xml:space="preserve"> further note</w:t>
      </w:r>
      <w:r w:rsidR="00C764B2">
        <w:t>s</w:t>
      </w:r>
      <w:r>
        <w:t xml:space="preserve"> that c</w:t>
      </w:r>
      <w:r w:rsidR="00CD4077" w:rsidRPr="00CD4077">
        <w:t xml:space="preserve">urrently </w:t>
      </w:r>
      <w:r>
        <w:t>MPs</w:t>
      </w:r>
      <w:r w:rsidR="00CD4077" w:rsidRPr="00CD4077">
        <w:t xml:space="preserve"> are entitled to meal allowances for day travel. </w:t>
      </w:r>
      <w:r>
        <w:t>It submit</w:t>
      </w:r>
      <w:r w:rsidR="00C764B2">
        <w:t>s</w:t>
      </w:r>
      <w:r>
        <w:t xml:space="preserve"> that</w:t>
      </w:r>
      <w:r w:rsidR="007954E2">
        <w:t>:</w:t>
      </w:r>
      <w:r>
        <w:t xml:space="preserve"> </w:t>
      </w:r>
    </w:p>
    <w:p w:rsidR="00CD4077" w:rsidRDefault="00C028FD" w:rsidP="002744FD">
      <w:pPr>
        <w:pStyle w:val="quoteitalics1"/>
      </w:pPr>
      <w:r>
        <w:t>“</w:t>
      </w:r>
      <w:r w:rsidR="00EC62E2">
        <w:tab/>
      </w:r>
      <w:r w:rsidR="00CD4077" w:rsidRPr="00CD4077">
        <w:t>There should be a consistent approach to the provision of meal allowances, generally workers are not entitled to meal allowances on day travel unless they start before their normal start time or finish after their normal finish time. Usually day travel does not provide for the payment of a lunch allowance. This approach should also apply to politicians.</w:t>
      </w:r>
      <w:r>
        <w:t>”</w:t>
      </w:r>
    </w:p>
    <w:p w:rsidR="00BD6E57" w:rsidRPr="001B2C0D" w:rsidRDefault="00BD6E57" w:rsidP="00F324DE">
      <w:pPr>
        <w:pStyle w:val="textbasic"/>
      </w:pPr>
      <w:r w:rsidRPr="001B2C0D">
        <w:t>The Travelling Allowance is payable for eligible travel connected with parliamentary business, which, we are advised, includes:</w:t>
      </w:r>
    </w:p>
    <w:p w:rsidR="00BD6E57" w:rsidRPr="001B2C0D" w:rsidRDefault="00F700FC" w:rsidP="00F700FC">
      <w:pPr>
        <w:pStyle w:val="texti"/>
        <w:rPr>
          <w:lang w:val="en-US"/>
        </w:rPr>
      </w:pPr>
      <w:r>
        <w:rPr>
          <w:lang w:val="en-US"/>
        </w:rPr>
        <w:t>(i)</w:t>
      </w:r>
      <w:r>
        <w:rPr>
          <w:lang w:val="en-US"/>
        </w:rPr>
        <w:tab/>
      </w:r>
      <w:r w:rsidR="00BD6E57" w:rsidRPr="001B2C0D">
        <w:rPr>
          <w:lang w:val="en-US"/>
        </w:rPr>
        <w:t>Parliamentary sittings</w:t>
      </w:r>
      <w:r w:rsidR="00657527">
        <w:rPr>
          <w:lang w:val="en-US"/>
        </w:rPr>
        <w:t>,</w:t>
      </w:r>
    </w:p>
    <w:p w:rsidR="00BD6E57" w:rsidRPr="001B2C0D" w:rsidRDefault="00F700FC" w:rsidP="00F700FC">
      <w:pPr>
        <w:pStyle w:val="texti"/>
        <w:rPr>
          <w:lang w:val="en-US"/>
        </w:rPr>
      </w:pPr>
      <w:r>
        <w:rPr>
          <w:lang w:val="en-US"/>
        </w:rPr>
        <w:lastRenderedPageBreak/>
        <w:t>(ii)</w:t>
      </w:r>
      <w:r>
        <w:rPr>
          <w:lang w:val="en-US"/>
        </w:rPr>
        <w:tab/>
      </w:r>
      <w:r w:rsidR="00BD6E57" w:rsidRPr="001B2C0D">
        <w:rPr>
          <w:lang w:val="en-US"/>
        </w:rPr>
        <w:t>Party meetings</w:t>
      </w:r>
      <w:r w:rsidR="00657527">
        <w:rPr>
          <w:lang w:val="en-US"/>
        </w:rPr>
        <w:t>,</w:t>
      </w:r>
    </w:p>
    <w:p w:rsidR="00BD6E57" w:rsidRPr="001B2C0D" w:rsidRDefault="00F700FC" w:rsidP="00F700FC">
      <w:pPr>
        <w:pStyle w:val="texti"/>
        <w:rPr>
          <w:lang w:val="en-US"/>
        </w:rPr>
      </w:pPr>
      <w:r>
        <w:rPr>
          <w:lang w:val="en-US"/>
        </w:rPr>
        <w:t>(i</w:t>
      </w:r>
      <w:r w:rsidR="00DB2D49">
        <w:rPr>
          <w:lang w:val="en-US"/>
        </w:rPr>
        <w:t>i</w:t>
      </w:r>
      <w:r>
        <w:rPr>
          <w:lang w:val="en-US"/>
        </w:rPr>
        <w:t>i)</w:t>
      </w:r>
      <w:r>
        <w:rPr>
          <w:lang w:val="en-US"/>
        </w:rPr>
        <w:tab/>
      </w:r>
      <w:r w:rsidR="00BD6E57" w:rsidRPr="001B2C0D">
        <w:rPr>
          <w:lang w:val="en-US"/>
        </w:rPr>
        <w:t>Committee meetings</w:t>
      </w:r>
      <w:r w:rsidR="00657527">
        <w:rPr>
          <w:lang w:val="en-US"/>
        </w:rPr>
        <w:t>,</w:t>
      </w:r>
      <w:r w:rsidR="002F122A">
        <w:rPr>
          <w:lang w:val="en-US"/>
        </w:rPr>
        <w:t xml:space="preserve"> and</w:t>
      </w:r>
    </w:p>
    <w:p w:rsidR="00BD6E57" w:rsidRPr="001B2C0D" w:rsidRDefault="00F700FC" w:rsidP="00F700FC">
      <w:pPr>
        <w:pStyle w:val="texti"/>
        <w:rPr>
          <w:lang w:val="en-US"/>
        </w:rPr>
      </w:pPr>
      <w:r>
        <w:rPr>
          <w:lang w:val="en-US"/>
        </w:rPr>
        <w:t>(iv)</w:t>
      </w:r>
      <w:r>
        <w:rPr>
          <w:lang w:val="en-US"/>
        </w:rPr>
        <w:tab/>
      </w:r>
      <w:r w:rsidR="00BD6E57" w:rsidRPr="001B2C0D">
        <w:rPr>
          <w:lang w:val="en-US"/>
        </w:rPr>
        <w:t>Any other parliamentary business approved by the President</w:t>
      </w:r>
      <w:r w:rsidR="00BD6E57">
        <w:rPr>
          <w:lang w:val="en-US"/>
        </w:rPr>
        <w:t xml:space="preserve"> of the Legislative Council </w:t>
      </w:r>
      <w:r w:rsidR="00BD6E57" w:rsidRPr="001B2C0D">
        <w:rPr>
          <w:lang w:val="en-US"/>
        </w:rPr>
        <w:t xml:space="preserve">or </w:t>
      </w:r>
      <w:r w:rsidR="00BD6E57">
        <w:rPr>
          <w:lang w:val="en-US"/>
        </w:rPr>
        <w:t xml:space="preserve">the </w:t>
      </w:r>
      <w:r w:rsidR="00BD6E57" w:rsidRPr="001B2C0D">
        <w:rPr>
          <w:lang w:val="en-US"/>
        </w:rPr>
        <w:t xml:space="preserve">Speaker </w:t>
      </w:r>
      <w:r w:rsidR="00BD6E57">
        <w:rPr>
          <w:lang w:val="en-US"/>
        </w:rPr>
        <w:t>of the House of Assembly as appropriate.</w:t>
      </w:r>
      <w:r w:rsidR="00BD6E57" w:rsidRPr="001B2C0D">
        <w:rPr>
          <w:lang w:val="en-US"/>
        </w:rPr>
        <w:t xml:space="preserve"> </w:t>
      </w:r>
    </w:p>
    <w:p w:rsidR="00BD6E57" w:rsidRPr="001B2C0D" w:rsidRDefault="00BD6E57" w:rsidP="00F324DE">
      <w:pPr>
        <w:pStyle w:val="textbasic"/>
      </w:pPr>
      <w:r w:rsidRPr="001B2C0D">
        <w:t>Unlike most other parliaments, the allowance is not payable for travel on other electorate business, the costs of which must be met by the MP, presumably out of the Electorate Allowance.</w:t>
      </w:r>
    </w:p>
    <w:p w:rsidR="00BD6E57" w:rsidRPr="001B2C0D" w:rsidRDefault="00BD6E57" w:rsidP="00F324DE">
      <w:pPr>
        <w:pStyle w:val="textbasic"/>
      </w:pPr>
      <w:r w:rsidRPr="001B2C0D">
        <w:t xml:space="preserve">We see no reason to depart from the minor change proposed in the 2014 Report. </w:t>
      </w:r>
    </w:p>
    <w:p w:rsidR="00BD6E57" w:rsidRPr="00DB2D49" w:rsidRDefault="00BD6E57" w:rsidP="00CC5844">
      <w:pPr>
        <w:pStyle w:val="Heading2"/>
      </w:pPr>
      <w:bookmarkStart w:id="83" w:name="_Toc443486948"/>
      <w:r w:rsidRPr="00DB2D49">
        <w:t>13.2</w:t>
      </w:r>
      <w:r w:rsidRPr="00DB2D49">
        <w:tab/>
        <w:t>Recommendation</w:t>
      </w:r>
      <w:bookmarkEnd w:id="83"/>
    </w:p>
    <w:p w:rsidR="00DB2D49" w:rsidRPr="00DB2D49" w:rsidRDefault="00BD6E57" w:rsidP="00F324DE">
      <w:pPr>
        <w:pStyle w:val="textbasic"/>
      </w:pPr>
      <w:r w:rsidRPr="00DB2D49">
        <w:t>We recommend that</w:t>
      </w:r>
      <w:r w:rsidR="007E1E8C">
        <w:t>:</w:t>
      </w:r>
      <w:r w:rsidRPr="00DB2D49">
        <w:t xml:space="preserve"> </w:t>
      </w:r>
    </w:p>
    <w:p w:rsidR="00056EA7" w:rsidRPr="00DB2D49" w:rsidRDefault="00DB2D49" w:rsidP="00DB2D49">
      <w:pPr>
        <w:pStyle w:val="texti"/>
        <w:rPr>
          <w:b/>
        </w:rPr>
      </w:pPr>
      <w:r w:rsidRPr="00DB2D49">
        <w:rPr>
          <w:b/>
        </w:rPr>
        <w:t>(</w:t>
      </w:r>
      <w:r w:rsidR="00C764B2">
        <w:rPr>
          <w:b/>
        </w:rPr>
        <w:t>1</w:t>
      </w:r>
      <w:r w:rsidR="003662FC">
        <w:rPr>
          <w:b/>
        </w:rPr>
        <w:t>8</w:t>
      </w:r>
      <w:r w:rsidRPr="00DB2D49">
        <w:rPr>
          <w:b/>
        </w:rPr>
        <w:t>)</w:t>
      </w:r>
      <w:r w:rsidRPr="00DB2D49">
        <w:rPr>
          <w:b/>
        </w:rPr>
        <w:tab/>
        <w:t xml:space="preserve">The </w:t>
      </w:r>
      <w:r w:rsidR="00BD6E57" w:rsidRPr="00DB2D49">
        <w:rPr>
          <w:b/>
        </w:rPr>
        <w:t xml:space="preserve">Away from Home Travelling Allowance remain unchanged apart </w:t>
      </w:r>
      <w:r w:rsidR="002F122A">
        <w:rPr>
          <w:b/>
        </w:rPr>
        <w:t xml:space="preserve">from </w:t>
      </w:r>
      <w:r w:rsidR="00BD6E57" w:rsidRPr="00DB2D49">
        <w:rPr>
          <w:b/>
        </w:rPr>
        <w:t xml:space="preserve">amending </w:t>
      </w:r>
      <w:r w:rsidR="00056EA7" w:rsidRPr="00DB2D49">
        <w:rPr>
          <w:b/>
        </w:rPr>
        <w:t>subclause</w:t>
      </w:r>
      <w:r w:rsidR="00BD6E57" w:rsidRPr="00DB2D49">
        <w:rPr>
          <w:b/>
        </w:rPr>
        <w:t xml:space="preserve"> 2 of </w:t>
      </w:r>
      <w:r w:rsidR="00056EA7" w:rsidRPr="00DB2D49">
        <w:rPr>
          <w:b/>
        </w:rPr>
        <w:t>the definition of the allowance so that it reads</w:t>
      </w:r>
    </w:p>
    <w:p w:rsidR="00BD6E57" w:rsidRPr="00DB2D49" w:rsidRDefault="00056EA7" w:rsidP="00F700FC">
      <w:pPr>
        <w:pStyle w:val="quoteitalics1"/>
        <w:rPr>
          <w:b/>
        </w:rPr>
      </w:pPr>
      <w:r w:rsidRPr="00DB2D49">
        <w:rPr>
          <w:b/>
        </w:rPr>
        <w:t>“</w:t>
      </w:r>
      <w:r w:rsidRPr="00DB2D49">
        <w:rPr>
          <w:b/>
        </w:rPr>
        <w:tab/>
      </w:r>
      <w:r w:rsidR="00BD6E57" w:rsidRPr="00DB2D49">
        <w:rPr>
          <w:b/>
        </w:rPr>
        <w:t>The rate of and the circumstances under which the allowance is payable shall be in accordance with the Travel Allowance and Meal Allowance components prescribed from time to time by the Tasmanian State Service Award of the Commission</w:t>
      </w:r>
      <w:r w:rsidR="007954E2" w:rsidRPr="00DB2D49">
        <w:rPr>
          <w:b/>
        </w:rPr>
        <w:t>.</w:t>
      </w:r>
      <w:r w:rsidR="00EB62C9" w:rsidRPr="00DB2D49">
        <w:rPr>
          <w:b/>
        </w:rPr>
        <w:t>”</w:t>
      </w:r>
    </w:p>
    <w:p w:rsidR="00BD6E57" w:rsidRPr="00DB2D49" w:rsidRDefault="00DB2D49" w:rsidP="00DB2D49">
      <w:pPr>
        <w:pStyle w:val="texti"/>
        <w:rPr>
          <w:b/>
        </w:rPr>
      </w:pPr>
      <w:r w:rsidRPr="00DB2D49">
        <w:rPr>
          <w:b/>
        </w:rPr>
        <w:t>(</w:t>
      </w:r>
      <w:r w:rsidR="003662FC">
        <w:rPr>
          <w:b/>
        </w:rPr>
        <w:t>19</w:t>
      </w:r>
      <w:r w:rsidRPr="00DB2D49">
        <w:rPr>
          <w:b/>
        </w:rPr>
        <w:t>)</w:t>
      </w:r>
      <w:r w:rsidRPr="00DB2D49">
        <w:rPr>
          <w:b/>
        </w:rPr>
        <w:tab/>
      </w:r>
      <w:r w:rsidR="00BD6E57" w:rsidRPr="00DB2D49">
        <w:rPr>
          <w:b/>
        </w:rPr>
        <w:t>Th</w:t>
      </w:r>
      <w:r>
        <w:rPr>
          <w:b/>
        </w:rPr>
        <w:t>is</w:t>
      </w:r>
      <w:r w:rsidR="00BD6E57" w:rsidRPr="00DB2D49">
        <w:rPr>
          <w:b/>
        </w:rPr>
        <w:t xml:space="preserve"> revised provision apply from 1 July 2016.</w:t>
      </w:r>
    </w:p>
    <w:p w:rsidR="0092478B" w:rsidRDefault="00870928" w:rsidP="00F700FC">
      <w:pPr>
        <w:pStyle w:val="Heading1"/>
      </w:pPr>
      <w:bookmarkStart w:id="84" w:name="_Toc443486949"/>
      <w:r>
        <w:t>14</w:t>
      </w:r>
      <w:r>
        <w:tab/>
      </w:r>
      <w:r w:rsidR="0092478B">
        <w:t xml:space="preserve">Bass Strait </w:t>
      </w:r>
      <w:r w:rsidR="00931F7D">
        <w:t>Islands Trave</w:t>
      </w:r>
      <w:r w:rsidR="007E1E8C">
        <w:t>l</w:t>
      </w:r>
      <w:r w:rsidR="00931F7D">
        <w:t>ling Allowance</w:t>
      </w:r>
      <w:bookmarkEnd w:id="84"/>
    </w:p>
    <w:p w:rsidR="00D036C2" w:rsidRDefault="00D036C2" w:rsidP="00CC5844">
      <w:pPr>
        <w:pStyle w:val="Heading2"/>
      </w:pPr>
      <w:bookmarkStart w:id="85" w:name="_Toc443486950"/>
      <w:r>
        <w:t>14.1</w:t>
      </w:r>
      <w:r>
        <w:tab/>
      </w:r>
      <w:r w:rsidR="004D229F">
        <w:t>Information</w:t>
      </w:r>
      <w:bookmarkEnd w:id="85"/>
    </w:p>
    <w:p w:rsidR="008D19B0" w:rsidRPr="008D19B0" w:rsidRDefault="008D19B0" w:rsidP="00F324DE">
      <w:pPr>
        <w:pStyle w:val="textbasic"/>
      </w:pPr>
      <w:r>
        <w:t xml:space="preserve">The </w:t>
      </w:r>
      <w:r w:rsidRPr="008D19B0">
        <w:t>Bass Strait Islands Trave</w:t>
      </w:r>
      <w:r w:rsidR="007E1E8C">
        <w:t>l</w:t>
      </w:r>
      <w:r w:rsidRPr="008D19B0">
        <w:t>ling Allowance</w:t>
      </w:r>
      <w:r w:rsidR="004A5250">
        <w:rPr>
          <w:rStyle w:val="FootnoteReference"/>
        </w:rPr>
        <w:footnoteReference w:id="86"/>
      </w:r>
      <w:r>
        <w:t xml:space="preserve"> provides that </w:t>
      </w:r>
      <w:r w:rsidR="006D5495">
        <w:t>an MP</w:t>
      </w:r>
      <w:r w:rsidRPr="008D19B0">
        <w:t xml:space="preserve"> travelling to the Bass Strait Islands on official </w:t>
      </w:r>
      <w:r w:rsidR="002F122A">
        <w:t>p</w:t>
      </w:r>
      <w:r w:rsidRPr="008D19B0">
        <w:t>arliamentary business is entitled to an allowance equivalent to the reimbursement of expenses incurred</w:t>
      </w:r>
      <w:r>
        <w:t>.</w:t>
      </w:r>
    </w:p>
    <w:p w:rsidR="00931F7D" w:rsidRDefault="00931F7D" w:rsidP="00F324DE">
      <w:pPr>
        <w:pStyle w:val="textbasic"/>
      </w:pPr>
      <w:r>
        <w:t>The 201</w:t>
      </w:r>
      <w:r w:rsidR="00D036C2">
        <w:t>4</w:t>
      </w:r>
      <w:r w:rsidR="008D19B0">
        <w:t xml:space="preserve"> </w:t>
      </w:r>
      <w:r w:rsidR="00D036C2">
        <w:t>Report</w:t>
      </w:r>
      <w:r>
        <w:t xml:space="preserve"> </w:t>
      </w:r>
      <w:r w:rsidR="00D036C2">
        <w:t>noted</w:t>
      </w:r>
      <w:r>
        <w:t xml:space="preserve"> that this provision ha</w:t>
      </w:r>
      <w:r w:rsidR="008D19B0">
        <w:t>d</w:t>
      </w:r>
      <w:r w:rsidR="007E1E8C">
        <w:t xml:space="preserve"> universal support</w:t>
      </w:r>
      <w:r>
        <w:t xml:space="preserve"> and </w:t>
      </w:r>
      <w:r w:rsidR="008D19B0">
        <w:t>it should</w:t>
      </w:r>
      <w:r>
        <w:t xml:space="preserve"> continue in the current form</w:t>
      </w:r>
      <w:r w:rsidR="00D95A63">
        <w:t>.</w:t>
      </w:r>
    </w:p>
    <w:p w:rsidR="008D19B0" w:rsidRDefault="008D19B0" w:rsidP="00F324DE">
      <w:pPr>
        <w:pStyle w:val="textbasic"/>
      </w:pPr>
      <w:r>
        <w:t xml:space="preserve">The Commission </w:t>
      </w:r>
      <w:r w:rsidR="00D036C2">
        <w:t>sought</w:t>
      </w:r>
      <w:r>
        <w:t xml:space="preserve"> submissions as to whether there </w:t>
      </w:r>
      <w:r w:rsidR="00FE2B25">
        <w:t>are</w:t>
      </w:r>
      <w:r>
        <w:t xml:space="preserve"> any reasons to depart from the recommendation of the 201</w:t>
      </w:r>
      <w:r w:rsidR="00C764B2">
        <w:t>4 Report</w:t>
      </w:r>
      <w:r>
        <w:t>.</w:t>
      </w:r>
      <w:r w:rsidR="00C028FD">
        <w:t xml:space="preserve">  </w:t>
      </w:r>
    </w:p>
    <w:p w:rsidR="00DB2D49" w:rsidRDefault="00C028FD" w:rsidP="00F324DE">
      <w:pPr>
        <w:pStyle w:val="textbasic"/>
      </w:pPr>
      <w:r>
        <w:t xml:space="preserve">Only the </w:t>
      </w:r>
      <w:r w:rsidRPr="00C028FD">
        <w:rPr>
          <w:b/>
        </w:rPr>
        <w:t>ANMF (Tas)</w:t>
      </w:r>
      <w:r>
        <w:t xml:space="preserve"> suggest</w:t>
      </w:r>
      <w:r w:rsidR="003A0193">
        <w:t>s</w:t>
      </w:r>
      <w:r>
        <w:t xml:space="preserve"> any alternative view.  It submit</w:t>
      </w:r>
      <w:r w:rsidR="003A0193">
        <w:t>s</w:t>
      </w:r>
      <w:r>
        <w:t xml:space="preserve"> that</w:t>
      </w:r>
      <w:r w:rsidR="007E1E8C">
        <w:t>:</w:t>
      </w:r>
      <w:r>
        <w:t xml:space="preserve"> </w:t>
      </w:r>
    </w:p>
    <w:p w:rsidR="00DB2D49" w:rsidRDefault="00C028FD" w:rsidP="00DB2D49">
      <w:pPr>
        <w:pStyle w:val="quoteitalics1"/>
      </w:pPr>
      <w:r>
        <w:t>“</w:t>
      </w:r>
      <w:r w:rsidR="00DB2D49">
        <w:tab/>
      </w:r>
      <w:r w:rsidR="00EC62E2">
        <w:t>T</w:t>
      </w:r>
      <w:r w:rsidRPr="00C028FD">
        <w:t>his allowance should be included in the higher electorate allowance for those relevant electorates covering the Islands.</w:t>
      </w:r>
      <w:r>
        <w:t xml:space="preserve">”  </w:t>
      </w:r>
    </w:p>
    <w:p w:rsidR="00C028FD" w:rsidRDefault="00C028FD" w:rsidP="00F324DE">
      <w:pPr>
        <w:pStyle w:val="textbasic"/>
      </w:pPr>
      <w:r>
        <w:t xml:space="preserve">However this doesn’t take into account that MPs from any electorate may travel to the Islands. </w:t>
      </w:r>
    </w:p>
    <w:p w:rsidR="00D036C2" w:rsidRPr="001B2C0D" w:rsidRDefault="00D036C2" w:rsidP="00F324DE">
      <w:pPr>
        <w:pStyle w:val="textbasic"/>
      </w:pPr>
      <w:r w:rsidRPr="001B2C0D">
        <w:t xml:space="preserve">The cost of this allowance is relatively modest </w:t>
      </w:r>
      <w:r w:rsidR="00E14D34">
        <w:t>(</w:t>
      </w:r>
      <w:r w:rsidR="00DB2D49">
        <w:t xml:space="preserve">we were advised </w:t>
      </w:r>
      <w:r w:rsidRPr="001B2C0D">
        <w:t>$3</w:t>
      </w:r>
      <w:r w:rsidR="00DB2D49">
        <w:t xml:space="preserve"> </w:t>
      </w:r>
      <w:r w:rsidRPr="001B2C0D">
        <w:t>550 in 2014</w:t>
      </w:r>
      <w:r w:rsidR="00DB2D49">
        <w:t>-</w:t>
      </w:r>
      <w:r w:rsidRPr="001B2C0D">
        <w:t>15</w:t>
      </w:r>
      <w:r w:rsidR="00E14D34">
        <w:t>)</w:t>
      </w:r>
      <w:r w:rsidRPr="001B2C0D">
        <w:t xml:space="preserve"> and we see no reason to depart from the existing provision.</w:t>
      </w:r>
    </w:p>
    <w:p w:rsidR="00D036C2" w:rsidRDefault="00D036C2" w:rsidP="00CC5844">
      <w:pPr>
        <w:pStyle w:val="Heading2"/>
      </w:pPr>
      <w:bookmarkStart w:id="86" w:name="_Toc443486951"/>
      <w:r>
        <w:t>14.2</w:t>
      </w:r>
      <w:r>
        <w:tab/>
        <w:t>Recommendation</w:t>
      </w:r>
      <w:bookmarkEnd w:id="86"/>
    </w:p>
    <w:p w:rsidR="00130463" w:rsidRDefault="00D036C2" w:rsidP="00F324DE">
      <w:pPr>
        <w:pStyle w:val="textbasic"/>
      </w:pPr>
      <w:r w:rsidRPr="00DB2D49">
        <w:t>We recommend that</w:t>
      </w:r>
      <w:r w:rsidR="007E1E8C">
        <w:t>:</w:t>
      </w:r>
      <w:r w:rsidRPr="00DB2D49">
        <w:t xml:space="preserve"> </w:t>
      </w:r>
    </w:p>
    <w:p w:rsidR="00D036C2" w:rsidRPr="00130463" w:rsidRDefault="003A0193" w:rsidP="00F324DE">
      <w:pPr>
        <w:pStyle w:val="textbasic"/>
        <w:rPr>
          <w:b/>
        </w:rPr>
      </w:pPr>
      <w:r>
        <w:rPr>
          <w:b/>
        </w:rPr>
        <w:t>(</w:t>
      </w:r>
      <w:r w:rsidR="003662FC">
        <w:rPr>
          <w:b/>
        </w:rPr>
        <w:t>20</w:t>
      </w:r>
      <w:r>
        <w:rPr>
          <w:b/>
        </w:rPr>
        <w:t>)</w:t>
      </w:r>
      <w:r>
        <w:rPr>
          <w:b/>
        </w:rPr>
        <w:tab/>
      </w:r>
      <w:r w:rsidR="00130463" w:rsidRPr="00130463">
        <w:rPr>
          <w:b/>
        </w:rPr>
        <w:t>T</w:t>
      </w:r>
      <w:r w:rsidR="00D036C2" w:rsidRPr="00130463">
        <w:rPr>
          <w:b/>
        </w:rPr>
        <w:t>he existing Bass Strait Islands Trave</w:t>
      </w:r>
      <w:r w:rsidR="007E1E8C">
        <w:rPr>
          <w:b/>
        </w:rPr>
        <w:t>l</w:t>
      </w:r>
      <w:r w:rsidR="00D036C2" w:rsidRPr="00130463">
        <w:rPr>
          <w:b/>
        </w:rPr>
        <w:t>ling Allowance continue.</w:t>
      </w:r>
    </w:p>
    <w:p w:rsidR="00931F7D" w:rsidRDefault="00870928" w:rsidP="00F700FC">
      <w:pPr>
        <w:pStyle w:val="Heading1"/>
      </w:pPr>
      <w:bookmarkStart w:id="87" w:name="_Toc443486952"/>
      <w:r>
        <w:lastRenderedPageBreak/>
        <w:t>15</w:t>
      </w:r>
      <w:r>
        <w:tab/>
      </w:r>
      <w:r w:rsidR="00931F7D">
        <w:t>Taxi Allowance</w:t>
      </w:r>
      <w:bookmarkEnd w:id="87"/>
    </w:p>
    <w:p w:rsidR="00A318B7" w:rsidRDefault="00A318B7" w:rsidP="00CC5844">
      <w:pPr>
        <w:pStyle w:val="Heading2"/>
      </w:pPr>
      <w:bookmarkStart w:id="88" w:name="_Toc443486953"/>
      <w:r>
        <w:t>15.1</w:t>
      </w:r>
      <w:r>
        <w:tab/>
      </w:r>
      <w:r w:rsidR="004D229F">
        <w:t>Information</w:t>
      </w:r>
      <w:bookmarkEnd w:id="88"/>
    </w:p>
    <w:p w:rsidR="00931F7D" w:rsidRDefault="008D19B0" w:rsidP="00F324DE">
      <w:pPr>
        <w:pStyle w:val="textbasic"/>
      </w:pPr>
      <w:r w:rsidRPr="008D19B0">
        <w:t xml:space="preserve">The </w:t>
      </w:r>
      <w:r w:rsidR="009C2293">
        <w:t>2012 Act</w:t>
      </w:r>
      <w:r w:rsidR="004A5250">
        <w:rPr>
          <w:rStyle w:val="FootnoteReference"/>
        </w:rPr>
        <w:footnoteReference w:id="87"/>
      </w:r>
      <w:r w:rsidRPr="008D19B0">
        <w:t xml:space="preserve"> provides that</w:t>
      </w:r>
      <w:r w:rsidR="002F122A">
        <w:t>,</w:t>
      </w:r>
      <w:r w:rsidRPr="008D19B0">
        <w:t xml:space="preserve"> in order to avoid the necessity for a ministerial driver to be on call, a taxi allowance is payable </w:t>
      </w:r>
      <w:r w:rsidR="00FE2B25">
        <w:t xml:space="preserve">to a Minister </w:t>
      </w:r>
      <w:r w:rsidRPr="008D19B0">
        <w:t>by way of a voucher.</w:t>
      </w:r>
    </w:p>
    <w:p w:rsidR="00FE2B25" w:rsidRDefault="00FE2B25" w:rsidP="00F324DE">
      <w:pPr>
        <w:pStyle w:val="textbasic"/>
      </w:pPr>
      <w:r>
        <w:t>The 201</w:t>
      </w:r>
      <w:r w:rsidR="00A318B7">
        <w:t>4</w:t>
      </w:r>
      <w:r>
        <w:t xml:space="preserve"> </w:t>
      </w:r>
      <w:r w:rsidR="00A318B7">
        <w:t>Report</w:t>
      </w:r>
      <w:r>
        <w:t xml:space="preserve"> accepted the view of the then </w:t>
      </w:r>
      <w:r w:rsidRPr="00FE2B25">
        <w:t>State Government</w:t>
      </w:r>
      <w:r w:rsidRPr="00FE2B25">
        <w:rPr>
          <w:b/>
        </w:rPr>
        <w:t xml:space="preserve"> </w:t>
      </w:r>
      <w:r w:rsidRPr="00FE2B25">
        <w:t xml:space="preserve">that it was sensible, where cost effective, for a Minister to travel in a taxi after a function or other official duty, rather than keep a ministerial driver on hold. However this should be an administrative practice rather than </w:t>
      </w:r>
      <w:r>
        <w:t xml:space="preserve">be </w:t>
      </w:r>
      <w:r w:rsidRPr="00FE2B25">
        <w:t>a specified ‘allowance’</w:t>
      </w:r>
      <w:r>
        <w:t xml:space="preserve"> in the </w:t>
      </w:r>
      <w:r w:rsidR="009C2293">
        <w:t>2012 Act</w:t>
      </w:r>
      <w:r w:rsidRPr="00FE2B25">
        <w:t>.</w:t>
      </w:r>
    </w:p>
    <w:p w:rsidR="00A318B7" w:rsidRDefault="00FE2B25" w:rsidP="00F324DE">
      <w:pPr>
        <w:pStyle w:val="textbasic"/>
      </w:pPr>
      <w:r>
        <w:t xml:space="preserve">The Commission </w:t>
      </w:r>
      <w:r w:rsidR="00A318B7">
        <w:t>sought</w:t>
      </w:r>
      <w:r>
        <w:t xml:space="preserve"> submissions as to whether there are any reasons to depart from the recommendation of the 201</w:t>
      </w:r>
      <w:r w:rsidR="00A318B7">
        <w:t>4</w:t>
      </w:r>
      <w:r>
        <w:t xml:space="preserve"> </w:t>
      </w:r>
      <w:r w:rsidR="00A318B7">
        <w:t>Report</w:t>
      </w:r>
      <w:r w:rsidR="00240BE7">
        <w:t>.</w:t>
      </w:r>
    </w:p>
    <w:p w:rsidR="00240BE7" w:rsidRDefault="00AF1741" w:rsidP="00F324DE">
      <w:pPr>
        <w:pStyle w:val="textbasic"/>
      </w:pPr>
      <w:r>
        <w:t xml:space="preserve">All the submissions that made mention of the Taxi Allowance support the </w:t>
      </w:r>
      <w:r w:rsidRPr="00AF1741">
        <w:t>recommendation of the 2014 Report</w:t>
      </w:r>
      <w:r>
        <w:t>.</w:t>
      </w:r>
    </w:p>
    <w:p w:rsidR="00A318B7" w:rsidRPr="00A318B7" w:rsidRDefault="00A318B7" w:rsidP="00F324DE">
      <w:pPr>
        <w:pStyle w:val="textbasic"/>
      </w:pPr>
      <w:r w:rsidRPr="00A318B7">
        <w:t>We agree with the 2014 recommendation that this is a sensible arrangement which should be an administrative practice rathe</w:t>
      </w:r>
      <w:r w:rsidR="003A0193">
        <w:t>r than a specified allowance.</w:t>
      </w:r>
    </w:p>
    <w:p w:rsidR="00A318B7" w:rsidRPr="00A318B7" w:rsidRDefault="00A318B7" w:rsidP="00CC5844">
      <w:pPr>
        <w:pStyle w:val="Heading2"/>
      </w:pPr>
      <w:bookmarkStart w:id="89" w:name="_Toc443486954"/>
      <w:r>
        <w:t>15.2</w:t>
      </w:r>
      <w:r>
        <w:tab/>
      </w:r>
      <w:r w:rsidRPr="00A318B7">
        <w:t>Recommendation</w:t>
      </w:r>
      <w:bookmarkEnd w:id="89"/>
    </w:p>
    <w:p w:rsidR="00130463" w:rsidRDefault="00A318B7" w:rsidP="00F324DE">
      <w:pPr>
        <w:pStyle w:val="textbasic"/>
      </w:pPr>
      <w:r w:rsidRPr="00DB2D49">
        <w:t>We recommend that</w:t>
      </w:r>
      <w:r w:rsidR="007E1E8C">
        <w:t>:</w:t>
      </w:r>
      <w:r w:rsidRPr="00DB2D49">
        <w:t xml:space="preserve"> </w:t>
      </w:r>
    </w:p>
    <w:p w:rsidR="00A318B7" w:rsidRPr="00130463" w:rsidRDefault="003A0193" w:rsidP="00F324DE">
      <w:pPr>
        <w:pStyle w:val="textbasic"/>
        <w:rPr>
          <w:b/>
        </w:rPr>
      </w:pPr>
      <w:r>
        <w:rPr>
          <w:b/>
        </w:rPr>
        <w:t>(</w:t>
      </w:r>
      <w:r w:rsidR="003662FC">
        <w:rPr>
          <w:b/>
        </w:rPr>
        <w:t>2</w:t>
      </w:r>
      <w:r>
        <w:rPr>
          <w:b/>
        </w:rPr>
        <w:t>1)</w:t>
      </w:r>
      <w:r>
        <w:rPr>
          <w:b/>
        </w:rPr>
        <w:tab/>
      </w:r>
      <w:r w:rsidR="00130463" w:rsidRPr="00130463">
        <w:rPr>
          <w:b/>
        </w:rPr>
        <w:t>T</w:t>
      </w:r>
      <w:r w:rsidR="00A318B7" w:rsidRPr="00130463">
        <w:rPr>
          <w:b/>
        </w:rPr>
        <w:t xml:space="preserve">he Taxi Allowance be </w:t>
      </w:r>
      <w:r>
        <w:rPr>
          <w:b/>
        </w:rPr>
        <w:t>discontinued</w:t>
      </w:r>
      <w:r w:rsidR="00A318B7" w:rsidRPr="00130463">
        <w:rPr>
          <w:b/>
        </w:rPr>
        <w:t xml:space="preserve"> from 1 July 2016</w:t>
      </w:r>
      <w:r w:rsidR="007E1E8C">
        <w:rPr>
          <w:b/>
        </w:rPr>
        <w:t>.</w:t>
      </w:r>
    </w:p>
    <w:p w:rsidR="00931F7D" w:rsidRDefault="00870928" w:rsidP="00F700FC">
      <w:pPr>
        <w:pStyle w:val="Heading1"/>
      </w:pPr>
      <w:bookmarkStart w:id="90" w:name="_Toc443486955"/>
      <w:r>
        <w:t>16</w:t>
      </w:r>
      <w:r>
        <w:tab/>
      </w:r>
      <w:r w:rsidR="00931F7D">
        <w:t>Resettlement Allowance</w:t>
      </w:r>
      <w:bookmarkEnd w:id="90"/>
    </w:p>
    <w:p w:rsidR="002E5422" w:rsidRPr="002E5422" w:rsidRDefault="00E143B1" w:rsidP="00CC5844">
      <w:pPr>
        <w:pStyle w:val="Heading2"/>
      </w:pPr>
      <w:bookmarkStart w:id="91" w:name="_Toc443486956"/>
      <w:r>
        <w:t>16.1</w:t>
      </w:r>
      <w:r>
        <w:tab/>
      </w:r>
      <w:r w:rsidR="004D229F">
        <w:t>Information</w:t>
      </w:r>
      <w:bookmarkEnd w:id="91"/>
    </w:p>
    <w:p w:rsidR="00931F7D" w:rsidRDefault="006A3ACF" w:rsidP="00F324DE">
      <w:pPr>
        <w:pStyle w:val="textbasic"/>
      </w:pPr>
      <w:r w:rsidRPr="006A3ACF">
        <w:t>When an MP loses his or her seat in Parliament, payment of salary and other benefits such as the use o</w:t>
      </w:r>
      <w:r w:rsidR="002F122A">
        <w:t>f a car and mobile phone, cease</w:t>
      </w:r>
      <w:r w:rsidRPr="006A3ACF">
        <w:t xml:space="preserve"> immediately. MPs have no entitlement to a redundancy payment nor do they have accrued leave to fall back on. It is understandable that the sudden loss of a seat will often give rise to a financial shock which, under existing arrangements, is not in any way cushioned.</w:t>
      </w:r>
    </w:p>
    <w:p w:rsidR="006A3ACF" w:rsidRPr="006A3ACF" w:rsidRDefault="006A3ACF" w:rsidP="00F324DE">
      <w:pPr>
        <w:pStyle w:val="textbasic"/>
      </w:pPr>
      <w:r w:rsidRPr="006A3ACF">
        <w:t xml:space="preserve">The concept of a ‘Resettlement Allowance’ is now a feature of all Australian </w:t>
      </w:r>
      <w:r w:rsidR="002F122A">
        <w:t>p</w:t>
      </w:r>
      <w:r w:rsidRPr="006A3ACF">
        <w:t xml:space="preserve">arliaments other than NSW and Tasmania. In essence the allowance is designed to assist former MPs to move from political life to private life. The determination of the West Australian Salaries and Allowances Tribunal of 10 August 2012 </w:t>
      </w:r>
      <w:r w:rsidR="003A0193">
        <w:t xml:space="preserve">(as varied on 25 January 2013) </w:t>
      </w:r>
      <w:r w:rsidRPr="006A3ACF">
        <w:t>provides a summary of reasoning for a Resettlement Allowance</w:t>
      </w:r>
      <w:r w:rsidR="007E1E8C">
        <w:t>:</w:t>
      </w:r>
      <w:r w:rsidR="003A0193">
        <w:rPr>
          <w:rStyle w:val="FootnoteReference"/>
        </w:rPr>
        <w:footnoteReference w:id="88"/>
      </w:r>
    </w:p>
    <w:p w:rsidR="006A3ACF" w:rsidRPr="006A3ACF" w:rsidRDefault="006A3ACF" w:rsidP="00E94639">
      <w:pPr>
        <w:pStyle w:val="quoteitalics1"/>
      </w:pPr>
      <w:r w:rsidRPr="006A3ACF">
        <w:t>“</w:t>
      </w:r>
      <w:r w:rsidR="007E1E8C">
        <w:tab/>
      </w:r>
      <w:r w:rsidRPr="006A3ACF">
        <w:t>This allowance is to facilitate a Member’s transition from public office to private life. This allowance will assist a Member to access resettlement advice and services including financial counselling, re-employment counse</w:t>
      </w:r>
      <w:r w:rsidR="007E1E8C">
        <w:t>l</w:t>
      </w:r>
      <w:r w:rsidRPr="006A3ACF">
        <w:t>ling, out-placement services, educational and training costs and any other costs a member deems necessary. The Resettlement Entitlement is not intended to apply at a time a Member resigns in order to nominate for a position in another House of Parliament and is subsequently appointed as a Member of the other House.”</w:t>
      </w:r>
    </w:p>
    <w:p w:rsidR="00DB580B" w:rsidRPr="006A3ACF" w:rsidRDefault="00DB580B" w:rsidP="00F324DE">
      <w:pPr>
        <w:pStyle w:val="textbasic"/>
      </w:pPr>
      <w:r>
        <w:t>Table 1</w:t>
      </w:r>
      <w:r w:rsidR="00E94639">
        <w:t>2</w:t>
      </w:r>
      <w:r>
        <w:t xml:space="preserve"> provides information about the Resettlement Allowances provided by Australian parliaments.</w:t>
      </w:r>
      <w:r w:rsidRPr="00DB580B">
        <w:t xml:space="preserve"> Currently Tasmanian MPs do not have an entitlement to a Resettlement </w:t>
      </w:r>
      <w:r w:rsidR="007E1E8C" w:rsidRPr="00DB580B">
        <w:t>Allowance</w:t>
      </w:r>
      <w:r w:rsidRPr="00DB580B">
        <w:t>.</w:t>
      </w:r>
    </w:p>
    <w:p w:rsidR="006A3ACF" w:rsidRPr="00DB580B" w:rsidRDefault="006A3ACF" w:rsidP="006A3ACF">
      <w:pPr>
        <w:jc w:val="both"/>
        <w:rPr>
          <w:lang w:val="en-US"/>
        </w:rPr>
      </w:pPr>
      <w:r w:rsidRPr="00DB580B">
        <w:rPr>
          <w:b/>
          <w:lang w:val="en-US"/>
        </w:rPr>
        <w:lastRenderedPageBreak/>
        <w:t xml:space="preserve">Table </w:t>
      </w:r>
      <w:r w:rsidR="00DB580B">
        <w:rPr>
          <w:b/>
          <w:lang w:val="en-US"/>
        </w:rPr>
        <w:t>1</w:t>
      </w:r>
      <w:r w:rsidR="00E94639">
        <w:rPr>
          <w:b/>
          <w:lang w:val="en-US"/>
        </w:rPr>
        <w:t>2</w:t>
      </w:r>
      <w:r w:rsidRPr="00DB580B">
        <w:rPr>
          <w:b/>
          <w:lang w:val="en-US"/>
        </w:rPr>
        <w:t xml:space="preserve"> - Resettlement Allowance in Australian Parliaments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621"/>
      </w:tblGrid>
      <w:tr w:rsidR="006A3ACF" w:rsidRPr="00060E2B" w:rsidTr="00060E2B">
        <w:trPr>
          <w:cantSplit/>
          <w:tblHeader/>
        </w:trPr>
        <w:tc>
          <w:tcPr>
            <w:tcW w:w="4513" w:type="dxa"/>
            <w:shd w:val="clear" w:color="auto" w:fill="D9D9D9" w:themeFill="background1" w:themeFillShade="D9"/>
          </w:tcPr>
          <w:p w:rsidR="006A3ACF" w:rsidRPr="00060E2B" w:rsidRDefault="006A3ACF" w:rsidP="001C028F">
            <w:pPr>
              <w:spacing w:before="120" w:after="120"/>
              <w:jc w:val="both"/>
              <w:rPr>
                <w:b/>
                <w:sz w:val="16"/>
                <w:szCs w:val="16"/>
              </w:rPr>
            </w:pPr>
            <w:r w:rsidRPr="00060E2B">
              <w:rPr>
                <w:b/>
                <w:sz w:val="16"/>
                <w:szCs w:val="16"/>
              </w:rPr>
              <w:t xml:space="preserve">Jurisdiction </w:t>
            </w:r>
          </w:p>
        </w:tc>
        <w:tc>
          <w:tcPr>
            <w:tcW w:w="4621" w:type="dxa"/>
            <w:shd w:val="clear" w:color="auto" w:fill="D9D9D9" w:themeFill="background1" w:themeFillShade="D9"/>
          </w:tcPr>
          <w:p w:rsidR="006A3ACF" w:rsidRPr="00060E2B" w:rsidRDefault="006A3ACF" w:rsidP="001C028F">
            <w:pPr>
              <w:spacing w:before="120" w:after="120"/>
              <w:jc w:val="both"/>
              <w:rPr>
                <w:b/>
                <w:sz w:val="16"/>
                <w:szCs w:val="16"/>
              </w:rPr>
            </w:pPr>
            <w:r w:rsidRPr="00060E2B">
              <w:rPr>
                <w:b/>
                <w:sz w:val="16"/>
                <w:szCs w:val="16"/>
              </w:rPr>
              <w:t>Arrangements</w:t>
            </w:r>
          </w:p>
        </w:tc>
      </w:tr>
      <w:tr w:rsidR="006A3ACF" w:rsidRPr="006A3ACF" w:rsidTr="00DB580B">
        <w:trPr>
          <w:cantSplit/>
        </w:trPr>
        <w:tc>
          <w:tcPr>
            <w:tcW w:w="4513" w:type="dxa"/>
          </w:tcPr>
          <w:p w:rsidR="006A3ACF" w:rsidRPr="009760D7" w:rsidRDefault="006A3ACF" w:rsidP="006A3ACF">
            <w:pPr>
              <w:jc w:val="both"/>
              <w:rPr>
                <w:sz w:val="16"/>
                <w:szCs w:val="16"/>
              </w:rPr>
            </w:pPr>
            <w:r w:rsidRPr="009760D7">
              <w:rPr>
                <w:sz w:val="16"/>
                <w:szCs w:val="16"/>
              </w:rPr>
              <w:t>Commonwealth</w:t>
            </w:r>
            <w:r w:rsidR="002E5422" w:rsidRPr="009760D7">
              <w:rPr>
                <w:rStyle w:val="FootnoteReference"/>
                <w:sz w:val="16"/>
                <w:szCs w:val="16"/>
              </w:rPr>
              <w:footnoteReference w:id="89"/>
            </w:r>
          </w:p>
        </w:tc>
        <w:tc>
          <w:tcPr>
            <w:tcW w:w="4621" w:type="dxa"/>
          </w:tcPr>
          <w:p w:rsidR="006A3ACF" w:rsidRPr="009760D7" w:rsidRDefault="006A3ACF" w:rsidP="006B6AE0">
            <w:pPr>
              <w:jc w:val="both"/>
              <w:rPr>
                <w:sz w:val="16"/>
                <w:szCs w:val="16"/>
              </w:rPr>
            </w:pPr>
            <w:r w:rsidRPr="009760D7">
              <w:rPr>
                <w:sz w:val="16"/>
                <w:szCs w:val="16"/>
              </w:rPr>
              <w:t>3 months</w:t>
            </w:r>
            <w:r w:rsidR="002F122A">
              <w:rPr>
                <w:sz w:val="16"/>
                <w:szCs w:val="16"/>
              </w:rPr>
              <w:t>’</w:t>
            </w:r>
            <w:r w:rsidRPr="009760D7">
              <w:rPr>
                <w:sz w:val="16"/>
                <w:szCs w:val="16"/>
              </w:rPr>
              <w:t xml:space="preserve"> basic salary plus an additional 3 months for a member who has served more than </w:t>
            </w:r>
            <w:r w:rsidR="00057844">
              <w:rPr>
                <w:sz w:val="16"/>
                <w:szCs w:val="16"/>
              </w:rPr>
              <w:t xml:space="preserve">a </w:t>
            </w:r>
            <w:r w:rsidRPr="009760D7">
              <w:rPr>
                <w:sz w:val="16"/>
                <w:szCs w:val="16"/>
              </w:rPr>
              <w:t>full term</w:t>
            </w:r>
            <w:r w:rsidR="006B6AE0">
              <w:rPr>
                <w:sz w:val="16"/>
                <w:szCs w:val="16"/>
              </w:rPr>
              <w:t xml:space="preserve"> (or  3 years in the case of a senator for a state)</w:t>
            </w:r>
            <w:r w:rsidRPr="009760D7">
              <w:rPr>
                <w:sz w:val="16"/>
                <w:szCs w:val="16"/>
              </w:rPr>
              <w:t>. Eligible if defeated at an elec</w:t>
            </w:r>
            <w:r w:rsidR="00BA109A">
              <w:rPr>
                <w:sz w:val="16"/>
                <w:szCs w:val="16"/>
              </w:rPr>
              <w:t>tion or loses party endorsement</w:t>
            </w:r>
          </w:p>
        </w:tc>
      </w:tr>
      <w:tr w:rsidR="002E5422" w:rsidRPr="006A3ACF" w:rsidTr="00DB580B">
        <w:trPr>
          <w:cantSplit/>
        </w:trPr>
        <w:tc>
          <w:tcPr>
            <w:tcW w:w="4513" w:type="dxa"/>
          </w:tcPr>
          <w:p w:rsidR="002E5422" w:rsidRPr="009760D7" w:rsidRDefault="002E5422" w:rsidP="00D41DE2">
            <w:pPr>
              <w:jc w:val="both"/>
              <w:rPr>
                <w:sz w:val="16"/>
                <w:szCs w:val="16"/>
              </w:rPr>
            </w:pPr>
            <w:r w:rsidRPr="009760D7">
              <w:rPr>
                <w:sz w:val="16"/>
                <w:szCs w:val="16"/>
              </w:rPr>
              <w:t>ACT</w:t>
            </w:r>
            <w:r w:rsidRPr="009760D7">
              <w:rPr>
                <w:rStyle w:val="FootnoteReference"/>
                <w:sz w:val="16"/>
                <w:szCs w:val="16"/>
              </w:rPr>
              <w:footnoteReference w:id="90"/>
            </w:r>
          </w:p>
        </w:tc>
        <w:tc>
          <w:tcPr>
            <w:tcW w:w="4621" w:type="dxa"/>
          </w:tcPr>
          <w:p w:rsidR="002E5422" w:rsidRPr="009760D7" w:rsidRDefault="002E5422" w:rsidP="002F122A">
            <w:pPr>
              <w:jc w:val="both"/>
              <w:rPr>
                <w:sz w:val="16"/>
                <w:szCs w:val="16"/>
              </w:rPr>
            </w:pPr>
            <w:r w:rsidRPr="009760D7">
              <w:rPr>
                <w:sz w:val="16"/>
                <w:szCs w:val="16"/>
              </w:rPr>
              <w:t>2 weeks of bas</w:t>
            </w:r>
            <w:r w:rsidR="002F122A">
              <w:rPr>
                <w:sz w:val="16"/>
                <w:szCs w:val="16"/>
              </w:rPr>
              <w:t>ic</w:t>
            </w:r>
            <w:r w:rsidRPr="009760D7">
              <w:rPr>
                <w:sz w:val="16"/>
                <w:szCs w:val="16"/>
              </w:rPr>
              <w:t xml:space="preserve"> salary for each year of service, capped at 12 weeks. All retiri</w:t>
            </w:r>
            <w:r w:rsidR="00BA109A">
              <w:rPr>
                <w:sz w:val="16"/>
                <w:szCs w:val="16"/>
              </w:rPr>
              <w:t>ng and/or defeated MPs eligible</w:t>
            </w:r>
          </w:p>
        </w:tc>
      </w:tr>
      <w:tr w:rsidR="006A3ACF" w:rsidRPr="006A3ACF" w:rsidTr="00DB580B">
        <w:trPr>
          <w:cantSplit/>
        </w:trPr>
        <w:tc>
          <w:tcPr>
            <w:tcW w:w="4513" w:type="dxa"/>
          </w:tcPr>
          <w:p w:rsidR="006A3ACF" w:rsidRPr="009760D7" w:rsidRDefault="006A3ACF" w:rsidP="006A3ACF">
            <w:pPr>
              <w:jc w:val="both"/>
              <w:rPr>
                <w:sz w:val="16"/>
                <w:szCs w:val="16"/>
              </w:rPr>
            </w:pPr>
            <w:r w:rsidRPr="009760D7">
              <w:rPr>
                <w:sz w:val="16"/>
                <w:szCs w:val="16"/>
              </w:rPr>
              <w:t xml:space="preserve">NSW </w:t>
            </w:r>
          </w:p>
        </w:tc>
        <w:tc>
          <w:tcPr>
            <w:tcW w:w="4621" w:type="dxa"/>
          </w:tcPr>
          <w:p w:rsidR="006A3ACF" w:rsidRPr="009760D7" w:rsidRDefault="006A3ACF" w:rsidP="006A3ACF">
            <w:pPr>
              <w:jc w:val="both"/>
              <w:rPr>
                <w:sz w:val="16"/>
                <w:szCs w:val="16"/>
              </w:rPr>
            </w:pPr>
            <w:r w:rsidRPr="009760D7">
              <w:rPr>
                <w:sz w:val="16"/>
                <w:szCs w:val="16"/>
              </w:rPr>
              <w:t>Nil</w:t>
            </w:r>
          </w:p>
        </w:tc>
      </w:tr>
      <w:tr w:rsidR="002E5422" w:rsidRPr="006A3ACF" w:rsidTr="00DB580B">
        <w:trPr>
          <w:cantSplit/>
        </w:trPr>
        <w:tc>
          <w:tcPr>
            <w:tcW w:w="4513" w:type="dxa"/>
          </w:tcPr>
          <w:p w:rsidR="002E5422" w:rsidRPr="009760D7" w:rsidRDefault="002E5422" w:rsidP="00D41DE2">
            <w:pPr>
              <w:jc w:val="both"/>
              <w:rPr>
                <w:sz w:val="16"/>
                <w:szCs w:val="16"/>
              </w:rPr>
            </w:pPr>
            <w:r w:rsidRPr="009760D7">
              <w:rPr>
                <w:sz w:val="16"/>
                <w:szCs w:val="16"/>
              </w:rPr>
              <w:t>Northern Territory</w:t>
            </w:r>
            <w:r w:rsidR="00D41DE2" w:rsidRPr="009760D7">
              <w:rPr>
                <w:rStyle w:val="FootnoteReference"/>
                <w:sz w:val="16"/>
                <w:szCs w:val="16"/>
              </w:rPr>
              <w:footnoteReference w:id="91"/>
            </w:r>
          </w:p>
        </w:tc>
        <w:tc>
          <w:tcPr>
            <w:tcW w:w="4621" w:type="dxa"/>
          </w:tcPr>
          <w:p w:rsidR="002E5422" w:rsidRPr="009760D7" w:rsidRDefault="002E5422" w:rsidP="00D41DE2">
            <w:pPr>
              <w:jc w:val="both"/>
              <w:rPr>
                <w:sz w:val="16"/>
                <w:szCs w:val="16"/>
              </w:rPr>
            </w:pPr>
            <w:r w:rsidRPr="009760D7">
              <w:rPr>
                <w:sz w:val="16"/>
                <w:szCs w:val="16"/>
              </w:rPr>
              <w:t>1 month of salary after one term as a Me</w:t>
            </w:r>
            <w:r w:rsidR="00D41DE2" w:rsidRPr="009760D7">
              <w:rPr>
                <w:sz w:val="16"/>
                <w:szCs w:val="16"/>
              </w:rPr>
              <w:t>m</w:t>
            </w:r>
            <w:r w:rsidRPr="009760D7">
              <w:rPr>
                <w:sz w:val="16"/>
                <w:szCs w:val="16"/>
              </w:rPr>
              <w:t>ber</w:t>
            </w:r>
            <w:r w:rsidR="00D41DE2" w:rsidRPr="009760D7">
              <w:rPr>
                <w:sz w:val="16"/>
                <w:szCs w:val="16"/>
              </w:rPr>
              <w:t xml:space="preserve"> of the Assembly</w:t>
            </w:r>
            <w:r w:rsidRPr="009760D7">
              <w:rPr>
                <w:sz w:val="16"/>
                <w:szCs w:val="16"/>
              </w:rPr>
              <w:t xml:space="preserve">, plus one month for each subsequent </w:t>
            </w:r>
            <w:r w:rsidR="00D41DE2" w:rsidRPr="009760D7">
              <w:rPr>
                <w:sz w:val="16"/>
                <w:szCs w:val="16"/>
              </w:rPr>
              <w:t>year served as a Member with a minimum of four months and a maximum of 12 months</w:t>
            </w:r>
          </w:p>
        </w:tc>
      </w:tr>
      <w:tr w:rsidR="00D41DE2" w:rsidRPr="006A3ACF" w:rsidTr="00DB580B">
        <w:trPr>
          <w:cantSplit/>
        </w:trPr>
        <w:tc>
          <w:tcPr>
            <w:tcW w:w="4513" w:type="dxa"/>
          </w:tcPr>
          <w:p w:rsidR="00D41DE2" w:rsidRPr="009760D7" w:rsidRDefault="00D41DE2" w:rsidP="00D41DE2">
            <w:pPr>
              <w:jc w:val="both"/>
              <w:rPr>
                <w:sz w:val="16"/>
                <w:szCs w:val="16"/>
              </w:rPr>
            </w:pPr>
            <w:r w:rsidRPr="009760D7">
              <w:rPr>
                <w:sz w:val="16"/>
                <w:szCs w:val="16"/>
              </w:rPr>
              <w:t>Queensland</w:t>
            </w:r>
            <w:r w:rsidRPr="009760D7">
              <w:rPr>
                <w:rStyle w:val="FootnoteReference"/>
                <w:sz w:val="16"/>
                <w:szCs w:val="16"/>
              </w:rPr>
              <w:footnoteReference w:id="92"/>
            </w:r>
            <w:r w:rsidRPr="009760D7">
              <w:rPr>
                <w:sz w:val="16"/>
                <w:szCs w:val="16"/>
              </w:rPr>
              <w:t xml:space="preserve"> </w:t>
            </w:r>
          </w:p>
        </w:tc>
        <w:tc>
          <w:tcPr>
            <w:tcW w:w="4621" w:type="dxa"/>
          </w:tcPr>
          <w:p w:rsidR="00D41DE2" w:rsidRPr="009760D7" w:rsidRDefault="00D41DE2" w:rsidP="00D41DE2">
            <w:pPr>
              <w:jc w:val="both"/>
              <w:rPr>
                <w:sz w:val="16"/>
                <w:szCs w:val="16"/>
              </w:rPr>
            </w:pPr>
            <w:r w:rsidRPr="009760D7">
              <w:rPr>
                <w:sz w:val="16"/>
                <w:szCs w:val="16"/>
              </w:rPr>
              <w:t>Members elected on or after 1 October 2014 - 12 weeks of basic salary</w:t>
            </w:r>
          </w:p>
          <w:p w:rsidR="00D41DE2" w:rsidRPr="009760D7" w:rsidRDefault="00D41DE2" w:rsidP="00D41DE2">
            <w:pPr>
              <w:jc w:val="both"/>
              <w:rPr>
                <w:sz w:val="16"/>
                <w:szCs w:val="16"/>
              </w:rPr>
            </w:pPr>
            <w:r w:rsidRPr="009760D7">
              <w:rPr>
                <w:sz w:val="16"/>
                <w:szCs w:val="16"/>
              </w:rPr>
              <w:t>Members elected before 1 October 2014 – equivalent to Commo</w:t>
            </w:r>
            <w:r w:rsidR="00BA109A">
              <w:rPr>
                <w:sz w:val="16"/>
                <w:szCs w:val="16"/>
              </w:rPr>
              <w:t>nwealth resettlement allowance</w:t>
            </w:r>
          </w:p>
        </w:tc>
      </w:tr>
      <w:tr w:rsidR="00D41DE2" w:rsidRPr="006A3ACF" w:rsidTr="00DB580B">
        <w:trPr>
          <w:cantSplit/>
        </w:trPr>
        <w:tc>
          <w:tcPr>
            <w:tcW w:w="4513" w:type="dxa"/>
          </w:tcPr>
          <w:p w:rsidR="00D41DE2" w:rsidRPr="009760D7" w:rsidRDefault="00D41DE2" w:rsidP="00D41DE2">
            <w:pPr>
              <w:jc w:val="both"/>
              <w:rPr>
                <w:sz w:val="16"/>
                <w:szCs w:val="16"/>
              </w:rPr>
            </w:pPr>
            <w:r w:rsidRPr="009760D7">
              <w:rPr>
                <w:sz w:val="16"/>
                <w:szCs w:val="16"/>
              </w:rPr>
              <w:t>South Australia</w:t>
            </w:r>
            <w:r w:rsidR="00AB0DAF" w:rsidRPr="009760D7">
              <w:rPr>
                <w:rStyle w:val="FootnoteReference"/>
                <w:sz w:val="16"/>
                <w:szCs w:val="16"/>
              </w:rPr>
              <w:footnoteReference w:id="93"/>
            </w:r>
          </w:p>
        </w:tc>
        <w:tc>
          <w:tcPr>
            <w:tcW w:w="4621" w:type="dxa"/>
          </w:tcPr>
          <w:p w:rsidR="00D41DE2" w:rsidRPr="009760D7" w:rsidRDefault="00BA109A" w:rsidP="00D41DE2">
            <w:pPr>
              <w:jc w:val="both"/>
              <w:rPr>
                <w:sz w:val="16"/>
                <w:szCs w:val="16"/>
              </w:rPr>
            </w:pPr>
            <w:r>
              <w:rPr>
                <w:sz w:val="16"/>
                <w:szCs w:val="16"/>
              </w:rPr>
              <w:t>12 weeks of basic salary</w:t>
            </w:r>
          </w:p>
        </w:tc>
      </w:tr>
      <w:tr w:rsidR="00DB580B" w:rsidRPr="006A3ACF" w:rsidTr="00A825D6">
        <w:trPr>
          <w:cantSplit/>
        </w:trPr>
        <w:tc>
          <w:tcPr>
            <w:tcW w:w="4513" w:type="dxa"/>
          </w:tcPr>
          <w:p w:rsidR="00DB580B" w:rsidRPr="009760D7" w:rsidRDefault="00DB580B" w:rsidP="00A825D6">
            <w:pPr>
              <w:jc w:val="both"/>
              <w:rPr>
                <w:sz w:val="16"/>
                <w:szCs w:val="16"/>
              </w:rPr>
            </w:pPr>
            <w:r w:rsidRPr="009760D7">
              <w:rPr>
                <w:sz w:val="16"/>
                <w:szCs w:val="16"/>
              </w:rPr>
              <w:t>Tasmania</w:t>
            </w:r>
          </w:p>
        </w:tc>
        <w:tc>
          <w:tcPr>
            <w:tcW w:w="4621" w:type="dxa"/>
          </w:tcPr>
          <w:p w:rsidR="00DB580B" w:rsidRPr="009760D7" w:rsidRDefault="00DB580B" w:rsidP="00A825D6">
            <w:pPr>
              <w:jc w:val="both"/>
              <w:rPr>
                <w:sz w:val="16"/>
                <w:szCs w:val="16"/>
              </w:rPr>
            </w:pPr>
            <w:r w:rsidRPr="009760D7">
              <w:rPr>
                <w:sz w:val="16"/>
                <w:szCs w:val="16"/>
              </w:rPr>
              <w:t>Nil</w:t>
            </w:r>
          </w:p>
        </w:tc>
      </w:tr>
      <w:tr w:rsidR="00D41DE2" w:rsidRPr="006A3ACF" w:rsidTr="00DB580B">
        <w:trPr>
          <w:cantSplit/>
        </w:trPr>
        <w:tc>
          <w:tcPr>
            <w:tcW w:w="4513" w:type="dxa"/>
          </w:tcPr>
          <w:p w:rsidR="00D41DE2" w:rsidRPr="009760D7" w:rsidRDefault="00D41DE2" w:rsidP="006A3ACF">
            <w:pPr>
              <w:jc w:val="both"/>
              <w:rPr>
                <w:sz w:val="16"/>
                <w:szCs w:val="16"/>
              </w:rPr>
            </w:pPr>
            <w:r w:rsidRPr="009760D7">
              <w:rPr>
                <w:sz w:val="16"/>
                <w:szCs w:val="16"/>
              </w:rPr>
              <w:t>Victoria</w:t>
            </w:r>
            <w:r w:rsidR="00AB0DAF" w:rsidRPr="009760D7">
              <w:rPr>
                <w:rStyle w:val="FootnoteReference"/>
                <w:sz w:val="16"/>
                <w:szCs w:val="16"/>
              </w:rPr>
              <w:footnoteReference w:id="94"/>
            </w:r>
          </w:p>
        </w:tc>
        <w:tc>
          <w:tcPr>
            <w:tcW w:w="4621" w:type="dxa"/>
          </w:tcPr>
          <w:p w:rsidR="00D41DE2" w:rsidRPr="009760D7" w:rsidRDefault="00D41DE2" w:rsidP="006A3ACF">
            <w:pPr>
              <w:jc w:val="both"/>
              <w:rPr>
                <w:sz w:val="16"/>
                <w:szCs w:val="16"/>
              </w:rPr>
            </w:pPr>
            <w:r w:rsidRPr="009760D7">
              <w:rPr>
                <w:sz w:val="16"/>
                <w:szCs w:val="16"/>
              </w:rPr>
              <w:t>3 months’ salary at the basic rate plus an additional 3 months’ salary if member has served in more than one consecutive parliament. Eligible if defeated at an election or loses party endorsement.</w:t>
            </w:r>
          </w:p>
        </w:tc>
      </w:tr>
      <w:tr w:rsidR="00D41DE2" w:rsidRPr="006A3ACF" w:rsidTr="00DB580B">
        <w:trPr>
          <w:cantSplit/>
        </w:trPr>
        <w:tc>
          <w:tcPr>
            <w:tcW w:w="4513" w:type="dxa"/>
          </w:tcPr>
          <w:p w:rsidR="00D41DE2" w:rsidRPr="009760D7" w:rsidRDefault="00D41DE2" w:rsidP="006A3ACF">
            <w:pPr>
              <w:jc w:val="both"/>
              <w:rPr>
                <w:sz w:val="16"/>
                <w:szCs w:val="16"/>
              </w:rPr>
            </w:pPr>
            <w:r w:rsidRPr="009760D7">
              <w:rPr>
                <w:sz w:val="16"/>
                <w:szCs w:val="16"/>
              </w:rPr>
              <w:t>Western Australia</w:t>
            </w:r>
            <w:r w:rsidR="00AB0DAF" w:rsidRPr="009760D7">
              <w:rPr>
                <w:rStyle w:val="FootnoteReference"/>
                <w:sz w:val="16"/>
                <w:szCs w:val="16"/>
              </w:rPr>
              <w:footnoteReference w:id="95"/>
            </w:r>
          </w:p>
        </w:tc>
        <w:tc>
          <w:tcPr>
            <w:tcW w:w="4621" w:type="dxa"/>
          </w:tcPr>
          <w:p w:rsidR="00AB0DAF" w:rsidRPr="009760D7" w:rsidRDefault="00F44C80" w:rsidP="006A3ACF">
            <w:pPr>
              <w:jc w:val="both"/>
              <w:rPr>
                <w:sz w:val="16"/>
                <w:szCs w:val="16"/>
              </w:rPr>
            </w:pPr>
            <w:r w:rsidRPr="009760D7">
              <w:rPr>
                <w:sz w:val="16"/>
                <w:szCs w:val="16"/>
              </w:rPr>
              <w:t>3 months</w:t>
            </w:r>
            <w:r w:rsidR="00BA109A">
              <w:rPr>
                <w:sz w:val="16"/>
                <w:szCs w:val="16"/>
              </w:rPr>
              <w:t>’</w:t>
            </w:r>
            <w:r w:rsidRPr="009760D7">
              <w:rPr>
                <w:sz w:val="16"/>
                <w:szCs w:val="16"/>
              </w:rPr>
              <w:t xml:space="preserve"> of bas</w:t>
            </w:r>
            <w:r w:rsidR="00BA109A">
              <w:rPr>
                <w:sz w:val="16"/>
                <w:szCs w:val="16"/>
              </w:rPr>
              <w:t>ic</w:t>
            </w:r>
            <w:r w:rsidRPr="009760D7">
              <w:rPr>
                <w:sz w:val="16"/>
                <w:szCs w:val="16"/>
              </w:rPr>
              <w:t xml:space="preserve"> salary </w:t>
            </w:r>
            <w:r w:rsidR="00AB0DAF" w:rsidRPr="009760D7">
              <w:rPr>
                <w:sz w:val="16"/>
                <w:szCs w:val="16"/>
              </w:rPr>
              <w:t>for MPs serving one term</w:t>
            </w:r>
            <w:r>
              <w:rPr>
                <w:sz w:val="16"/>
                <w:szCs w:val="16"/>
              </w:rPr>
              <w:t>.</w:t>
            </w:r>
            <w:r w:rsidR="00AB0DAF" w:rsidRPr="009760D7">
              <w:rPr>
                <w:sz w:val="16"/>
                <w:szCs w:val="16"/>
              </w:rPr>
              <w:t xml:space="preserve"> </w:t>
            </w:r>
          </w:p>
          <w:p w:rsidR="00AB0DAF" w:rsidRPr="009760D7" w:rsidRDefault="00F44C80" w:rsidP="00AB0DAF">
            <w:pPr>
              <w:jc w:val="both"/>
              <w:rPr>
                <w:sz w:val="16"/>
                <w:szCs w:val="16"/>
              </w:rPr>
            </w:pPr>
            <w:r w:rsidRPr="009760D7">
              <w:rPr>
                <w:sz w:val="16"/>
                <w:szCs w:val="16"/>
              </w:rPr>
              <w:t>6 months</w:t>
            </w:r>
            <w:r w:rsidR="00BA109A">
              <w:rPr>
                <w:sz w:val="16"/>
                <w:szCs w:val="16"/>
              </w:rPr>
              <w:t>’</w:t>
            </w:r>
            <w:r w:rsidRPr="009760D7">
              <w:rPr>
                <w:sz w:val="16"/>
                <w:szCs w:val="16"/>
              </w:rPr>
              <w:t xml:space="preserve"> of bas</w:t>
            </w:r>
            <w:r w:rsidR="00BA109A">
              <w:rPr>
                <w:sz w:val="16"/>
                <w:szCs w:val="16"/>
              </w:rPr>
              <w:t>ic</w:t>
            </w:r>
            <w:r w:rsidRPr="009760D7">
              <w:rPr>
                <w:sz w:val="16"/>
                <w:szCs w:val="16"/>
              </w:rPr>
              <w:t xml:space="preserve"> salary </w:t>
            </w:r>
            <w:r w:rsidR="00AB0DAF" w:rsidRPr="009760D7">
              <w:rPr>
                <w:sz w:val="16"/>
                <w:szCs w:val="16"/>
              </w:rPr>
              <w:t>for MPs serving more than one term but less than three</w:t>
            </w:r>
            <w:r>
              <w:rPr>
                <w:sz w:val="16"/>
                <w:szCs w:val="16"/>
              </w:rPr>
              <w:t>.</w:t>
            </w:r>
            <w:r w:rsidR="00AB0DAF" w:rsidRPr="009760D7">
              <w:rPr>
                <w:sz w:val="16"/>
                <w:szCs w:val="16"/>
              </w:rPr>
              <w:t xml:space="preserve"> </w:t>
            </w:r>
          </w:p>
          <w:p w:rsidR="00D41DE2" w:rsidRPr="009760D7" w:rsidRDefault="00F44C80" w:rsidP="00BA109A">
            <w:pPr>
              <w:jc w:val="both"/>
              <w:rPr>
                <w:sz w:val="16"/>
                <w:szCs w:val="16"/>
              </w:rPr>
            </w:pPr>
            <w:r w:rsidRPr="009760D7">
              <w:rPr>
                <w:sz w:val="16"/>
                <w:szCs w:val="16"/>
              </w:rPr>
              <w:t>9 months</w:t>
            </w:r>
            <w:r w:rsidR="00BA109A">
              <w:rPr>
                <w:sz w:val="16"/>
                <w:szCs w:val="16"/>
              </w:rPr>
              <w:t>’ of</w:t>
            </w:r>
            <w:r w:rsidRPr="009760D7">
              <w:rPr>
                <w:sz w:val="16"/>
                <w:szCs w:val="16"/>
              </w:rPr>
              <w:t xml:space="preserve"> bas</w:t>
            </w:r>
            <w:r w:rsidR="00BA109A">
              <w:rPr>
                <w:sz w:val="16"/>
                <w:szCs w:val="16"/>
              </w:rPr>
              <w:t xml:space="preserve">ic salary </w:t>
            </w:r>
            <w:r w:rsidR="00AB0DAF" w:rsidRPr="009760D7">
              <w:rPr>
                <w:sz w:val="16"/>
                <w:szCs w:val="16"/>
              </w:rPr>
              <w:t>f</w:t>
            </w:r>
            <w:r w:rsidR="00D41DE2" w:rsidRPr="009760D7">
              <w:rPr>
                <w:sz w:val="16"/>
                <w:szCs w:val="16"/>
              </w:rPr>
              <w:t xml:space="preserve">or MPs serving </w:t>
            </w:r>
            <w:r w:rsidR="00AB0DAF" w:rsidRPr="009760D7">
              <w:rPr>
                <w:sz w:val="16"/>
                <w:szCs w:val="16"/>
              </w:rPr>
              <w:t>three</w:t>
            </w:r>
            <w:r w:rsidR="00D41DE2" w:rsidRPr="009760D7">
              <w:rPr>
                <w:sz w:val="16"/>
                <w:szCs w:val="16"/>
              </w:rPr>
              <w:t xml:space="preserve"> terms</w:t>
            </w:r>
            <w:r w:rsidR="00AB0DAF" w:rsidRPr="009760D7">
              <w:rPr>
                <w:sz w:val="16"/>
                <w:szCs w:val="16"/>
              </w:rPr>
              <w:t xml:space="preserve"> or more</w:t>
            </w:r>
            <w:r>
              <w:rPr>
                <w:sz w:val="16"/>
                <w:szCs w:val="16"/>
              </w:rPr>
              <w:t>.</w:t>
            </w:r>
            <w:r w:rsidR="00AB0DAF" w:rsidRPr="009760D7">
              <w:rPr>
                <w:sz w:val="16"/>
                <w:szCs w:val="16"/>
              </w:rPr>
              <w:t xml:space="preserve"> </w:t>
            </w:r>
          </w:p>
        </w:tc>
      </w:tr>
    </w:tbl>
    <w:p w:rsidR="006A3ACF" w:rsidRPr="006A3ACF" w:rsidRDefault="006A3ACF" w:rsidP="006A3ACF">
      <w:pPr>
        <w:jc w:val="both"/>
      </w:pPr>
    </w:p>
    <w:p w:rsidR="006A3ACF" w:rsidRDefault="006A3ACF" w:rsidP="00F324DE">
      <w:pPr>
        <w:pStyle w:val="textbasic"/>
      </w:pPr>
      <w:r>
        <w:t>The 201</w:t>
      </w:r>
      <w:r w:rsidR="00A318B7">
        <w:t>4</w:t>
      </w:r>
      <w:r>
        <w:t xml:space="preserve"> </w:t>
      </w:r>
      <w:r w:rsidR="00A318B7">
        <w:t>Report noted</w:t>
      </w:r>
      <w:r>
        <w:t xml:space="preserve"> that </w:t>
      </w:r>
      <w:r w:rsidRPr="00090887">
        <w:t>there is a compelling case for a Resettlement Allowance in Tasmania</w:t>
      </w:r>
      <w:r>
        <w:t>.</w:t>
      </w:r>
    </w:p>
    <w:p w:rsidR="00905393" w:rsidRPr="00905393" w:rsidRDefault="006A3ACF" w:rsidP="00F324DE">
      <w:pPr>
        <w:pStyle w:val="textbasic"/>
      </w:pPr>
      <w:r w:rsidRPr="00905393">
        <w:t>The Tribunal recommended that</w:t>
      </w:r>
      <w:r w:rsidR="00905393" w:rsidRPr="00905393">
        <w:t xml:space="preserve"> </w:t>
      </w:r>
      <w:r w:rsidR="00905393">
        <w:t xml:space="preserve">from 1 July 2014 </w:t>
      </w:r>
      <w:r w:rsidR="00905393" w:rsidRPr="00905393">
        <w:t xml:space="preserve">MPs be entitled to a Resettlement Allowance equivalent to 12 weeks </w:t>
      </w:r>
      <w:r w:rsidR="00BA109A">
        <w:t xml:space="preserve">of </w:t>
      </w:r>
      <w:r w:rsidR="00905393" w:rsidRPr="00905393">
        <w:t>basic salary subject to meeting the following criteria:</w:t>
      </w:r>
    </w:p>
    <w:p w:rsidR="00905393" w:rsidRPr="00905393" w:rsidRDefault="00E94639" w:rsidP="00E94639">
      <w:pPr>
        <w:pStyle w:val="texti"/>
      </w:pPr>
      <w:r>
        <w:t>(i)</w:t>
      </w:r>
      <w:r>
        <w:tab/>
      </w:r>
      <w:r w:rsidR="00905393" w:rsidRPr="00905393">
        <w:t>Members have served at least one full term immediately prior to an election</w:t>
      </w:r>
      <w:r w:rsidR="00BA109A">
        <w:t>.</w:t>
      </w:r>
    </w:p>
    <w:p w:rsidR="00905393" w:rsidRPr="00905393" w:rsidRDefault="00E94639" w:rsidP="00E94639">
      <w:pPr>
        <w:pStyle w:val="texti"/>
      </w:pPr>
      <w:r>
        <w:t>(ii)</w:t>
      </w:r>
      <w:r>
        <w:tab/>
      </w:r>
      <w:r w:rsidR="00BA109A">
        <w:t>Members a</w:t>
      </w:r>
      <w:r w:rsidR="00905393" w:rsidRPr="00905393">
        <w:t>re defeated at a subsequent election or lose party endorsement.</w:t>
      </w:r>
    </w:p>
    <w:p w:rsidR="00905393" w:rsidRPr="00905393" w:rsidRDefault="00E94639" w:rsidP="00E94639">
      <w:pPr>
        <w:pStyle w:val="texti"/>
      </w:pPr>
      <w:r>
        <w:t>(iii)</w:t>
      </w:r>
      <w:r>
        <w:tab/>
      </w:r>
      <w:r w:rsidR="00905393" w:rsidRPr="00905393">
        <w:t>Members elected at a by-election or a recount will not be eligible until they have served at least one full term.</w:t>
      </w:r>
    </w:p>
    <w:p w:rsidR="00905393" w:rsidRPr="00905393" w:rsidRDefault="00E94639" w:rsidP="00E94639">
      <w:pPr>
        <w:pStyle w:val="texti"/>
      </w:pPr>
      <w:r>
        <w:lastRenderedPageBreak/>
        <w:t>(iv)</w:t>
      </w:r>
      <w:r>
        <w:tab/>
      </w:r>
      <w:r w:rsidR="00905393" w:rsidRPr="00905393">
        <w:t xml:space="preserve">Members who choose to resign from one House or electorate and nominate for another House or electorate (other than as a consequence of electoral reform) and are subsequently defeated are not eligible for the </w:t>
      </w:r>
      <w:r w:rsidR="00BA109A" w:rsidRPr="00905393">
        <w:t>Resettlement Allowance</w:t>
      </w:r>
      <w:r w:rsidR="00905393" w:rsidRPr="00905393">
        <w:t>.</w:t>
      </w:r>
    </w:p>
    <w:p w:rsidR="00905393" w:rsidRDefault="00905393" w:rsidP="00F324DE">
      <w:pPr>
        <w:pStyle w:val="textbasic"/>
      </w:pPr>
      <w:r>
        <w:t>As wi</w:t>
      </w:r>
      <w:r w:rsidR="00D95A63">
        <w:t>th</w:t>
      </w:r>
      <w:r>
        <w:t xml:space="preserve"> all the recommendations of the 201</w:t>
      </w:r>
      <w:r w:rsidR="00A318B7">
        <w:t>4</w:t>
      </w:r>
      <w:r>
        <w:t xml:space="preserve"> </w:t>
      </w:r>
      <w:r w:rsidR="00A318B7">
        <w:t>Report</w:t>
      </w:r>
      <w:r>
        <w:t xml:space="preserve"> this proposal has not been implemented.</w:t>
      </w:r>
      <w:r w:rsidR="00AB0DAF">
        <w:t xml:space="preserve">  Several jurisdictions (Queensland, W</w:t>
      </w:r>
      <w:r w:rsidR="007E1E8C">
        <w:t>estern Australia</w:t>
      </w:r>
      <w:r w:rsidR="00AB0DAF">
        <w:t xml:space="preserve"> and </w:t>
      </w:r>
      <w:r w:rsidR="007E1E8C">
        <w:t>the Northern Territory</w:t>
      </w:r>
      <w:r w:rsidR="00AB0DAF">
        <w:t xml:space="preserve">) have updated </w:t>
      </w:r>
      <w:r w:rsidR="00F44C80">
        <w:t xml:space="preserve">their </w:t>
      </w:r>
      <w:r w:rsidR="00AB0DAF">
        <w:t>resettlement allowances since the</w:t>
      </w:r>
      <w:r w:rsidR="00A318B7">
        <w:t>n</w:t>
      </w:r>
      <w:r w:rsidR="00AB0DAF">
        <w:t>.</w:t>
      </w:r>
    </w:p>
    <w:p w:rsidR="00905393" w:rsidRDefault="00905393" w:rsidP="00F324DE">
      <w:pPr>
        <w:pStyle w:val="textbasic"/>
      </w:pPr>
      <w:r w:rsidRPr="00905393">
        <w:t xml:space="preserve">The Commission </w:t>
      </w:r>
      <w:r w:rsidR="00A318B7">
        <w:t>sought</w:t>
      </w:r>
      <w:r w:rsidRPr="00905393">
        <w:t xml:space="preserve"> submissions as to whether the recommendation of the</w:t>
      </w:r>
      <w:r>
        <w:t xml:space="preserve"> 201</w:t>
      </w:r>
      <w:r w:rsidR="00455C1C">
        <w:t>4</w:t>
      </w:r>
      <w:r>
        <w:t xml:space="preserve"> </w:t>
      </w:r>
      <w:r w:rsidR="00455C1C">
        <w:t>Report</w:t>
      </w:r>
      <w:r w:rsidRPr="00905393">
        <w:t xml:space="preserve"> </w:t>
      </w:r>
      <w:r w:rsidR="00D95A63">
        <w:t xml:space="preserve">or some other construction of a resettlement allowance </w:t>
      </w:r>
      <w:r>
        <w:t>should be adopted.</w:t>
      </w:r>
    </w:p>
    <w:p w:rsidR="00A318B7" w:rsidRPr="001B2C0D" w:rsidRDefault="00A318B7" w:rsidP="00F324DE">
      <w:pPr>
        <w:pStyle w:val="textbasic"/>
      </w:pPr>
      <w:r w:rsidRPr="00E143B1">
        <w:rPr>
          <w:b/>
        </w:rPr>
        <w:t>Unions Tasmania</w:t>
      </w:r>
      <w:r w:rsidRPr="001B2C0D">
        <w:t xml:space="preserve">, </w:t>
      </w:r>
      <w:r>
        <w:t>t</w:t>
      </w:r>
      <w:r w:rsidRPr="001B2C0D">
        <w:t xml:space="preserve">he </w:t>
      </w:r>
      <w:r w:rsidRPr="00E143B1">
        <w:rPr>
          <w:b/>
        </w:rPr>
        <w:t>CPSU</w:t>
      </w:r>
      <w:r w:rsidRPr="001B2C0D">
        <w:t xml:space="preserve"> and</w:t>
      </w:r>
      <w:r w:rsidR="007E1E8C">
        <w:t xml:space="preserve"> the</w:t>
      </w:r>
      <w:r w:rsidRPr="001B2C0D">
        <w:t xml:space="preserve"> </w:t>
      </w:r>
      <w:r w:rsidR="00712B10">
        <w:rPr>
          <w:b/>
        </w:rPr>
        <w:t>ANMF (Tas)</w:t>
      </w:r>
      <w:r w:rsidRPr="001B2C0D">
        <w:t xml:space="preserve"> all support the principle of a Resettlement Allowance, albeit with slightly differing positions </w:t>
      </w:r>
      <w:r w:rsidR="00BA109A">
        <w:t>from</w:t>
      </w:r>
      <w:r w:rsidRPr="001B2C0D">
        <w:t xml:space="preserve"> the 2014 Report recommendation.</w:t>
      </w:r>
    </w:p>
    <w:p w:rsidR="00A318B7" w:rsidRPr="001B2C0D" w:rsidRDefault="00A318B7" w:rsidP="00F324DE">
      <w:pPr>
        <w:pStyle w:val="textbasic"/>
      </w:pPr>
      <w:r w:rsidRPr="001B2C0D">
        <w:t xml:space="preserve">The concept is strongly opposed by </w:t>
      </w:r>
      <w:r w:rsidR="00E143B1" w:rsidRPr="00E143B1">
        <w:rPr>
          <w:b/>
        </w:rPr>
        <w:t>Mr</w:t>
      </w:r>
      <w:r w:rsidRPr="001B2C0D">
        <w:t xml:space="preserve"> </w:t>
      </w:r>
      <w:r w:rsidRPr="00E143B1">
        <w:rPr>
          <w:b/>
        </w:rPr>
        <w:t>Cooke</w:t>
      </w:r>
      <w:r w:rsidRPr="001B2C0D">
        <w:t xml:space="preserve">, </w:t>
      </w:r>
      <w:r w:rsidR="00E143B1">
        <w:t xml:space="preserve">who </w:t>
      </w:r>
      <w:r w:rsidRPr="001B2C0D">
        <w:t>liken</w:t>
      </w:r>
      <w:r w:rsidR="00AF1741">
        <w:t xml:space="preserve">ed </w:t>
      </w:r>
      <w:r w:rsidRPr="001B2C0D">
        <w:t>the rationale for such an allowance to “</w:t>
      </w:r>
      <w:r w:rsidRPr="001B2C0D">
        <w:rPr>
          <w:i/>
        </w:rPr>
        <w:t>all the other kids get one”</w:t>
      </w:r>
      <w:r w:rsidRPr="001B2C0D">
        <w:rPr>
          <w:b/>
          <w:i/>
        </w:rPr>
        <w:t xml:space="preserve"> </w:t>
      </w:r>
      <w:r w:rsidRPr="001B2C0D">
        <w:t>syndrome.</w:t>
      </w:r>
    </w:p>
    <w:p w:rsidR="00E143B1" w:rsidRDefault="00A318B7" w:rsidP="00F324DE">
      <w:pPr>
        <w:pStyle w:val="textbasic"/>
      </w:pPr>
      <w:r w:rsidRPr="001B2C0D">
        <w:t xml:space="preserve">We acknowledge that individuals stand for </w:t>
      </w:r>
      <w:r w:rsidR="00E16CB6" w:rsidRPr="001B2C0D">
        <w:t xml:space="preserve">Parliament </w:t>
      </w:r>
      <w:r w:rsidRPr="001B2C0D">
        <w:t>with their eyes open and that th</w:t>
      </w:r>
      <w:r w:rsidR="00AF1741">
        <w:t xml:space="preserve">ere is an argument that being </w:t>
      </w:r>
      <w:r w:rsidR="006D5495">
        <w:t>an MP</w:t>
      </w:r>
      <w:r w:rsidRPr="001B2C0D">
        <w:t xml:space="preserve"> is akin to a fixed term contract for which there should not be additional recompense when the ‘contract’ comes to an end.</w:t>
      </w:r>
    </w:p>
    <w:p w:rsidR="00A318B7" w:rsidRPr="001B2C0D" w:rsidRDefault="00A318B7" w:rsidP="00F324DE">
      <w:pPr>
        <w:pStyle w:val="textbasic"/>
      </w:pPr>
      <w:r w:rsidRPr="001B2C0D">
        <w:t>However, as observed in the 2014 Report, there is an important distinction. Sitting MPs generally do not approach an election with the intention or expectation they will be defeated. If this does occur, the sudden loss of income will likely be exacerbated by a substantial financial outlay on what turned out to be an unsuccessful election campaign.</w:t>
      </w:r>
    </w:p>
    <w:p w:rsidR="00A318B7" w:rsidRDefault="00A318B7" w:rsidP="00F324DE">
      <w:pPr>
        <w:pStyle w:val="textbasic"/>
      </w:pPr>
      <w:r w:rsidRPr="001B2C0D">
        <w:t xml:space="preserve">We </w:t>
      </w:r>
      <w:r w:rsidR="00455C1C">
        <w:t xml:space="preserve">also </w:t>
      </w:r>
      <w:r w:rsidRPr="001B2C0D">
        <w:t xml:space="preserve">consider there to be a </w:t>
      </w:r>
      <w:r w:rsidR="00455C1C" w:rsidRPr="001B2C0D">
        <w:t>persuasive</w:t>
      </w:r>
      <w:r w:rsidRPr="001B2C0D">
        <w:t xml:space="preserve"> case for a Resettlement Allowance in Tasmania and see no reason to depart from the 2014 recommendation. The cost of such an allowance is likely to be modest. Based on the 2014 election</w:t>
      </w:r>
      <w:r w:rsidR="007E1E8C">
        <w:t xml:space="preserve"> results</w:t>
      </w:r>
      <w:r w:rsidRPr="001B2C0D">
        <w:t xml:space="preserve">, the cost over the life of the </w:t>
      </w:r>
      <w:r w:rsidR="00E143B1" w:rsidRPr="001B2C0D">
        <w:t xml:space="preserve">Parliament </w:t>
      </w:r>
      <w:r w:rsidRPr="001B2C0D">
        <w:t xml:space="preserve">would have been </w:t>
      </w:r>
      <w:r w:rsidR="007E1E8C">
        <w:t xml:space="preserve">the equivalent of </w:t>
      </w:r>
      <w:r w:rsidRPr="001B2C0D">
        <w:t>approximately $34</w:t>
      </w:r>
      <w:r w:rsidR="00E143B1">
        <w:t xml:space="preserve"> </w:t>
      </w:r>
      <w:r w:rsidRPr="001B2C0D">
        <w:t>000</w:t>
      </w:r>
      <w:r w:rsidR="007E1E8C">
        <w:t xml:space="preserve"> pa</w:t>
      </w:r>
      <w:r w:rsidRPr="001B2C0D">
        <w:t>.</w:t>
      </w:r>
    </w:p>
    <w:p w:rsidR="00130463" w:rsidRDefault="00130463" w:rsidP="00130463">
      <w:pPr>
        <w:pStyle w:val="textbasic"/>
        <w:rPr>
          <w:lang w:val="en-AU"/>
        </w:rPr>
      </w:pPr>
      <w:r>
        <w:t>The 2012 Act does not currently provide for a Resettlement Allowance</w:t>
      </w:r>
      <w:r w:rsidRPr="00130463">
        <w:rPr>
          <w:lang w:val="en-AU"/>
        </w:rPr>
        <w:t xml:space="preserve">. </w:t>
      </w:r>
      <w:r>
        <w:rPr>
          <w:lang w:val="en-AU"/>
        </w:rPr>
        <w:t xml:space="preserve"> We have taken legal advice as to whether the Commission may include such an allowance in a determination.</w:t>
      </w:r>
    </w:p>
    <w:p w:rsidR="00130463" w:rsidRPr="00FB43A8" w:rsidRDefault="00130463" w:rsidP="00130463">
      <w:pPr>
        <w:pStyle w:val="textbasic"/>
        <w:rPr>
          <w:lang w:val="en-AU"/>
        </w:rPr>
      </w:pPr>
      <w:r w:rsidRPr="00FB43A8">
        <w:rPr>
          <w:lang w:val="en-AU"/>
        </w:rPr>
        <w:t>Given that advice, we provide the following information.</w:t>
      </w:r>
    </w:p>
    <w:p w:rsidR="00130463" w:rsidRPr="00FB43A8" w:rsidRDefault="00130463" w:rsidP="00130463">
      <w:pPr>
        <w:pStyle w:val="textbasic"/>
        <w:rPr>
          <w:lang w:val="en-AU"/>
        </w:rPr>
      </w:pPr>
      <w:r w:rsidRPr="00FB43A8">
        <w:rPr>
          <w:lang w:val="en-AU"/>
        </w:rPr>
        <w:t>The Commission’s power is to inquire into “</w:t>
      </w:r>
      <w:r w:rsidRPr="00FB43A8">
        <w:rPr>
          <w:i/>
          <w:iCs/>
          <w:lang w:val="en-AU"/>
        </w:rPr>
        <w:t>the kinds of, and amounts of, the allowances and benefits to be paid</w:t>
      </w:r>
      <w:r w:rsidRPr="00FB43A8">
        <w:rPr>
          <w:lang w:val="en-AU"/>
        </w:rPr>
        <w:t>”</w:t>
      </w:r>
      <w:r w:rsidR="007954E2" w:rsidRPr="00FB43A8">
        <w:rPr>
          <w:lang w:val="en-AU"/>
        </w:rPr>
        <w:t>.</w:t>
      </w:r>
      <w:r w:rsidRPr="00FB43A8">
        <w:rPr>
          <w:rStyle w:val="FootnoteReference"/>
          <w:lang w:val="en-AU"/>
        </w:rPr>
        <w:footnoteReference w:id="96"/>
      </w:r>
      <w:r w:rsidRPr="00FB43A8">
        <w:rPr>
          <w:lang w:val="en-AU"/>
        </w:rPr>
        <w:t xml:space="preserve"> Further, the Commission must prepare a report that includes a determination of relevant matters</w:t>
      </w:r>
      <w:r w:rsidR="007954E2" w:rsidRPr="00FB43A8">
        <w:rPr>
          <w:lang w:val="en-AU"/>
        </w:rPr>
        <w:t>.</w:t>
      </w:r>
      <w:r w:rsidRPr="00FB43A8">
        <w:rPr>
          <w:rStyle w:val="FootnoteReference"/>
          <w:lang w:val="en-AU"/>
        </w:rPr>
        <w:footnoteReference w:id="97"/>
      </w:r>
      <w:r w:rsidR="007954E2" w:rsidRPr="00FB43A8">
        <w:rPr>
          <w:lang w:val="en-AU"/>
        </w:rPr>
        <w:t xml:space="preserve">  </w:t>
      </w:r>
      <w:r w:rsidRPr="00FB43A8">
        <w:rPr>
          <w:lang w:val="en-AU"/>
        </w:rPr>
        <w:t>A relevant matter includes the kinds of, and amounts of, the allowances and benefits to be paid</w:t>
      </w:r>
      <w:r w:rsidR="007954E2" w:rsidRPr="00FB43A8">
        <w:rPr>
          <w:lang w:val="en-AU"/>
        </w:rPr>
        <w:t>.</w:t>
      </w:r>
      <w:r w:rsidRPr="00FB43A8">
        <w:rPr>
          <w:rStyle w:val="FootnoteReference"/>
          <w:lang w:val="en-AU"/>
        </w:rPr>
        <w:footnoteReference w:id="98"/>
      </w:r>
      <w:r w:rsidR="007954E2" w:rsidRPr="00FB43A8">
        <w:rPr>
          <w:lang w:val="en-AU"/>
        </w:rPr>
        <w:t xml:space="preserve">  </w:t>
      </w:r>
      <w:r w:rsidRPr="00FB43A8">
        <w:rPr>
          <w:lang w:val="en-AU"/>
        </w:rPr>
        <w:t>In each case, allowances and benefits are defined as those to which members of Parliament are entitled under Schedule 2</w:t>
      </w:r>
      <w:r w:rsidR="007954E2" w:rsidRPr="00FB43A8">
        <w:rPr>
          <w:lang w:val="en-AU"/>
        </w:rPr>
        <w:t>.</w:t>
      </w:r>
      <w:r w:rsidR="00545511" w:rsidRPr="00FB43A8">
        <w:rPr>
          <w:rStyle w:val="FootnoteReference"/>
          <w:lang w:val="en-AU"/>
        </w:rPr>
        <w:footnoteReference w:id="99"/>
      </w:r>
      <w:r w:rsidR="001F221F" w:rsidRPr="00FB43A8">
        <w:rPr>
          <w:lang w:val="en-AU"/>
        </w:rPr>
        <w:t xml:space="preserve">  In particular after the 2015-2016 financial year, the amounts of the allowances and benefits payable to a member of Parliament are those amounts of allowances and benefits specified in provisions that are included in a determination for the relevant period.</w:t>
      </w:r>
    </w:p>
    <w:p w:rsidR="00130463" w:rsidRPr="00FB43A8" w:rsidRDefault="00130463" w:rsidP="00130463">
      <w:pPr>
        <w:pStyle w:val="textbasic"/>
        <w:rPr>
          <w:lang w:val="en-AU"/>
        </w:rPr>
      </w:pPr>
      <w:r w:rsidRPr="00FB43A8">
        <w:rPr>
          <w:lang w:val="en-AU"/>
        </w:rPr>
        <w:t xml:space="preserve">The </w:t>
      </w:r>
      <w:r w:rsidR="003A6AAF" w:rsidRPr="00FB43A8">
        <w:rPr>
          <w:lang w:val="en-AU"/>
        </w:rPr>
        <w:t>2012 Act</w:t>
      </w:r>
      <w:r w:rsidRPr="00FB43A8">
        <w:rPr>
          <w:lang w:val="en-AU"/>
        </w:rPr>
        <w:t xml:space="preserve"> do</w:t>
      </w:r>
      <w:r w:rsidR="003A6AAF" w:rsidRPr="00FB43A8">
        <w:rPr>
          <w:lang w:val="en-AU"/>
        </w:rPr>
        <w:t>es</w:t>
      </w:r>
      <w:r w:rsidRPr="00FB43A8">
        <w:rPr>
          <w:lang w:val="en-AU"/>
        </w:rPr>
        <w:t xml:space="preserve"> </w:t>
      </w:r>
      <w:r w:rsidR="00455C1C" w:rsidRPr="00FB43A8">
        <w:rPr>
          <w:lang w:val="en-AU"/>
        </w:rPr>
        <w:t>allow</w:t>
      </w:r>
      <w:r w:rsidRPr="00FB43A8">
        <w:rPr>
          <w:lang w:val="en-AU"/>
        </w:rPr>
        <w:t xml:space="preserve"> the Commission </w:t>
      </w:r>
      <w:r w:rsidR="00455C1C" w:rsidRPr="00FB43A8">
        <w:rPr>
          <w:lang w:val="en-AU"/>
        </w:rPr>
        <w:t>to</w:t>
      </w:r>
      <w:r w:rsidRPr="00FB43A8">
        <w:rPr>
          <w:lang w:val="en-AU"/>
        </w:rPr>
        <w:t xml:space="preserve"> bring a further </w:t>
      </w:r>
      <w:r w:rsidR="00455C1C" w:rsidRPr="00FB43A8">
        <w:rPr>
          <w:lang w:val="en-AU"/>
        </w:rPr>
        <w:t xml:space="preserve">(new) </w:t>
      </w:r>
      <w:r w:rsidRPr="00FB43A8">
        <w:rPr>
          <w:lang w:val="en-AU"/>
        </w:rPr>
        <w:t>allowance into existence</w:t>
      </w:r>
      <w:r w:rsidR="00545511" w:rsidRPr="00FB43A8">
        <w:rPr>
          <w:lang w:val="en-AU"/>
        </w:rPr>
        <w:t xml:space="preserve"> merely by virtue of a determination</w:t>
      </w:r>
      <w:r w:rsidRPr="00FB43A8">
        <w:rPr>
          <w:lang w:val="en-AU"/>
        </w:rPr>
        <w:t xml:space="preserve">. </w:t>
      </w:r>
      <w:r w:rsidR="0062314B" w:rsidRPr="00FB43A8">
        <w:rPr>
          <w:lang w:val="en-AU"/>
        </w:rPr>
        <w:t>Of course the Parliament may still disallow a determination that includes a</w:t>
      </w:r>
      <w:r w:rsidR="001F221F" w:rsidRPr="00FB43A8">
        <w:rPr>
          <w:lang w:val="en-AU"/>
        </w:rPr>
        <w:t xml:space="preserve"> </w:t>
      </w:r>
      <w:r w:rsidR="0062314B" w:rsidRPr="00FB43A8">
        <w:rPr>
          <w:lang w:val="en-AU"/>
        </w:rPr>
        <w:t xml:space="preserve">new allowance if that is the majority view </w:t>
      </w:r>
      <w:r w:rsidR="001F221F" w:rsidRPr="00FB43A8">
        <w:rPr>
          <w:lang w:val="en-AU"/>
        </w:rPr>
        <w:t>in</w:t>
      </w:r>
      <w:r w:rsidR="0062314B" w:rsidRPr="00FB43A8">
        <w:rPr>
          <w:lang w:val="en-AU"/>
        </w:rPr>
        <w:t xml:space="preserve"> both the Houses of the Parliament.</w:t>
      </w:r>
    </w:p>
    <w:p w:rsidR="00936D3D" w:rsidRPr="00FB43A8" w:rsidRDefault="00540CBF" w:rsidP="00130463">
      <w:pPr>
        <w:pStyle w:val="textbasic"/>
        <w:rPr>
          <w:lang w:val="en-AU"/>
        </w:rPr>
      </w:pPr>
      <w:r w:rsidRPr="00FB43A8">
        <w:rPr>
          <w:lang w:val="en-AU"/>
        </w:rPr>
        <w:lastRenderedPageBreak/>
        <w:t>However,</w:t>
      </w:r>
      <w:r w:rsidR="00545511" w:rsidRPr="00FB43A8">
        <w:rPr>
          <w:lang w:val="en-AU"/>
        </w:rPr>
        <w:t xml:space="preserve"> the 2012 Act </w:t>
      </w:r>
      <w:r w:rsidR="003A6AAF" w:rsidRPr="00FB43A8">
        <w:rPr>
          <w:lang w:val="en-AU"/>
        </w:rPr>
        <w:t>only provides for the</w:t>
      </w:r>
      <w:r w:rsidR="00130463" w:rsidRPr="00FB43A8">
        <w:rPr>
          <w:lang w:val="en-AU"/>
        </w:rPr>
        <w:t xml:space="preserve"> salary</w:t>
      </w:r>
      <w:r w:rsidR="00545511" w:rsidRPr="00FB43A8">
        <w:rPr>
          <w:lang w:val="en-AU"/>
        </w:rPr>
        <w:t>,</w:t>
      </w:r>
      <w:r w:rsidR="003A6AAF" w:rsidRPr="00FB43A8">
        <w:rPr>
          <w:lang w:val="en-AU"/>
        </w:rPr>
        <w:t xml:space="preserve"> allowance</w:t>
      </w:r>
      <w:r w:rsidR="00130463" w:rsidRPr="00FB43A8">
        <w:rPr>
          <w:lang w:val="en-AU"/>
        </w:rPr>
        <w:t xml:space="preserve"> and b</w:t>
      </w:r>
      <w:r w:rsidR="003A6AAF" w:rsidRPr="00FB43A8">
        <w:rPr>
          <w:lang w:val="en-AU"/>
        </w:rPr>
        <w:t>enefit</w:t>
      </w:r>
      <w:r w:rsidR="00130463" w:rsidRPr="00FB43A8">
        <w:rPr>
          <w:lang w:val="en-AU"/>
        </w:rPr>
        <w:t xml:space="preserve"> </w:t>
      </w:r>
      <w:r w:rsidR="003A6AAF" w:rsidRPr="00FB43A8">
        <w:rPr>
          <w:lang w:val="en-AU"/>
        </w:rPr>
        <w:t xml:space="preserve">entitlements of members, not for persons who used to be members.  </w:t>
      </w:r>
    </w:p>
    <w:p w:rsidR="00936D3D" w:rsidRPr="00FB43A8" w:rsidRDefault="00936D3D" w:rsidP="00130463">
      <w:pPr>
        <w:pStyle w:val="textbasic"/>
        <w:rPr>
          <w:lang w:val="en-AU"/>
        </w:rPr>
      </w:pPr>
      <w:r w:rsidRPr="00FB43A8">
        <w:rPr>
          <w:lang w:val="en-AU"/>
        </w:rPr>
        <w:t>I</w:t>
      </w:r>
      <w:r w:rsidR="003A6AAF" w:rsidRPr="00FB43A8">
        <w:rPr>
          <w:lang w:val="en-AU"/>
        </w:rPr>
        <w:t xml:space="preserve">n </w:t>
      </w:r>
      <w:r w:rsidRPr="00FB43A8">
        <w:rPr>
          <w:lang w:val="en-AU"/>
        </w:rPr>
        <w:t>relation</w:t>
      </w:r>
      <w:r w:rsidR="003A6AAF" w:rsidRPr="00FB43A8">
        <w:rPr>
          <w:lang w:val="en-AU"/>
        </w:rPr>
        <w:t xml:space="preserve"> to </w:t>
      </w:r>
      <w:r w:rsidRPr="00FB43A8">
        <w:rPr>
          <w:lang w:val="en-AU"/>
        </w:rPr>
        <w:t>members</w:t>
      </w:r>
      <w:r w:rsidR="003A6AAF" w:rsidRPr="00FB43A8">
        <w:rPr>
          <w:lang w:val="en-AU"/>
        </w:rPr>
        <w:t xml:space="preserve"> of the House of Ass</w:t>
      </w:r>
      <w:r w:rsidRPr="00FB43A8">
        <w:rPr>
          <w:lang w:val="en-AU"/>
        </w:rPr>
        <w:t>e</w:t>
      </w:r>
      <w:r w:rsidR="003A6AAF" w:rsidRPr="00FB43A8">
        <w:rPr>
          <w:lang w:val="en-AU"/>
        </w:rPr>
        <w:t xml:space="preserve">mbly </w:t>
      </w:r>
      <w:r w:rsidRPr="00FB43A8">
        <w:rPr>
          <w:lang w:val="en-AU"/>
        </w:rPr>
        <w:t xml:space="preserve">section 6 of the 2012 Act provides that: </w:t>
      </w:r>
    </w:p>
    <w:p w:rsidR="00936D3D" w:rsidRPr="00FB43A8" w:rsidRDefault="00936D3D" w:rsidP="00936D3D">
      <w:pPr>
        <w:pStyle w:val="quoteitalics1"/>
      </w:pPr>
      <w:r w:rsidRPr="00FB43A8">
        <w:t>“</w:t>
      </w:r>
      <w:r w:rsidRPr="00FB43A8">
        <w:tab/>
        <w:t>Where a member of the House of Assembly ceases to be a member of that House by reason of the dissolution of that House or the expiry of that House by the effluxion of time, he or she is, notwithstanding the cessation of his or her membership of that House, entitled to continue to receive the parliamentary salary and allowances and benefits payable to that member until the day fixed for the taking of the poll next following the dissolution or expiry of that House.”</w:t>
      </w:r>
      <w:r w:rsidR="00540CBF" w:rsidRPr="00FB43A8">
        <w:t xml:space="preserve">  </w:t>
      </w:r>
    </w:p>
    <w:p w:rsidR="00936D3D" w:rsidRPr="00FB43A8" w:rsidRDefault="00936D3D" w:rsidP="00130463">
      <w:pPr>
        <w:pStyle w:val="textbasic"/>
        <w:rPr>
          <w:lang w:val="en-AU"/>
        </w:rPr>
      </w:pPr>
      <w:r w:rsidRPr="00FB43A8">
        <w:rPr>
          <w:lang w:val="en-AU"/>
        </w:rPr>
        <w:t>The eligibility to the Resettlement Allowance we propose occurs only after a person ceases to be a member and indeed that entitlement can only be determined after polling day, and so is outside the current scope of the Act.</w:t>
      </w:r>
    </w:p>
    <w:p w:rsidR="00130463" w:rsidRPr="00FB43A8" w:rsidRDefault="00540CBF" w:rsidP="00130463">
      <w:pPr>
        <w:pStyle w:val="textbasic"/>
        <w:rPr>
          <w:lang w:val="en-AU"/>
        </w:rPr>
      </w:pPr>
      <w:r w:rsidRPr="00FB43A8">
        <w:rPr>
          <w:lang w:val="en-AU"/>
        </w:rPr>
        <w:t>It appears that it is not possible under the current provisions of the Act to provide an entitlement for a</w:t>
      </w:r>
      <w:r w:rsidR="00545511" w:rsidRPr="00FB43A8">
        <w:rPr>
          <w:lang w:val="en-AU"/>
        </w:rPr>
        <w:t xml:space="preserve"> </w:t>
      </w:r>
      <w:r w:rsidRPr="00FB43A8">
        <w:rPr>
          <w:lang w:val="en-AU"/>
        </w:rPr>
        <w:t>resettlement or any other a</w:t>
      </w:r>
      <w:r w:rsidR="00455C1C" w:rsidRPr="00FB43A8">
        <w:rPr>
          <w:lang w:val="en-AU"/>
        </w:rPr>
        <w:t>llowance</w:t>
      </w:r>
      <w:r w:rsidR="00130463" w:rsidRPr="00FB43A8">
        <w:rPr>
          <w:lang w:val="en-AU"/>
        </w:rPr>
        <w:t xml:space="preserve"> to </w:t>
      </w:r>
      <w:r w:rsidRPr="00FB43A8">
        <w:rPr>
          <w:lang w:val="en-AU"/>
        </w:rPr>
        <w:t>persons who may have been but are no longer members of the Parliament</w:t>
      </w:r>
      <w:r w:rsidR="00130463" w:rsidRPr="00FB43A8">
        <w:rPr>
          <w:lang w:val="en-AU"/>
        </w:rPr>
        <w:t xml:space="preserve">. </w:t>
      </w:r>
      <w:r w:rsidRPr="00FB43A8">
        <w:rPr>
          <w:lang w:val="en-AU"/>
        </w:rPr>
        <w:t xml:space="preserve"> </w:t>
      </w:r>
    </w:p>
    <w:p w:rsidR="00545511" w:rsidRPr="00FB43A8" w:rsidRDefault="00455C1C" w:rsidP="00130463">
      <w:pPr>
        <w:pStyle w:val="textbasic"/>
        <w:rPr>
          <w:lang w:val="en-AU"/>
        </w:rPr>
      </w:pPr>
      <w:r w:rsidRPr="00FB43A8">
        <w:rPr>
          <w:lang w:val="en-AU"/>
        </w:rPr>
        <w:t>However, the Commission is</w:t>
      </w:r>
      <w:r w:rsidR="00130463" w:rsidRPr="00FB43A8">
        <w:rPr>
          <w:lang w:val="en-AU"/>
        </w:rPr>
        <w:t xml:space="preserve"> given </w:t>
      </w:r>
      <w:r w:rsidRPr="00FB43A8">
        <w:rPr>
          <w:lang w:val="en-AU"/>
        </w:rPr>
        <w:t xml:space="preserve">the </w:t>
      </w:r>
      <w:r w:rsidR="00130463" w:rsidRPr="00FB43A8">
        <w:rPr>
          <w:lang w:val="en-AU"/>
        </w:rPr>
        <w:t xml:space="preserve">power to </w:t>
      </w:r>
      <w:r w:rsidR="00545511" w:rsidRPr="00FB43A8">
        <w:rPr>
          <w:lang w:val="en-AU"/>
        </w:rPr>
        <w:t>i</w:t>
      </w:r>
      <w:r w:rsidR="00130463" w:rsidRPr="00FB43A8">
        <w:rPr>
          <w:lang w:val="en-AU"/>
        </w:rPr>
        <w:t xml:space="preserve">nquire into other matters that are, or </w:t>
      </w:r>
      <w:r w:rsidR="00BA109A" w:rsidRPr="00FB43A8">
        <w:rPr>
          <w:lang w:val="en-AU"/>
        </w:rPr>
        <w:t xml:space="preserve">are </w:t>
      </w:r>
      <w:r w:rsidR="00130463" w:rsidRPr="00FB43A8">
        <w:rPr>
          <w:lang w:val="en-AU"/>
        </w:rPr>
        <w:t xml:space="preserve">considered </w:t>
      </w:r>
      <w:r w:rsidR="00130463" w:rsidRPr="00FB43A8">
        <w:rPr>
          <w:i/>
          <w:lang w:val="en-AU"/>
        </w:rPr>
        <w:t xml:space="preserve">to be related to </w:t>
      </w:r>
      <w:r w:rsidR="001F221F" w:rsidRPr="00FB43A8">
        <w:rPr>
          <w:lang w:val="en-AU"/>
        </w:rPr>
        <w:t xml:space="preserve">(emphasis added) </w:t>
      </w:r>
      <w:r w:rsidR="00130463" w:rsidRPr="00FB43A8">
        <w:rPr>
          <w:lang w:val="en-AU"/>
        </w:rPr>
        <w:t>the kinds and amounts of allowances and b</w:t>
      </w:r>
      <w:r w:rsidR="00545511" w:rsidRPr="00FB43A8">
        <w:rPr>
          <w:lang w:val="en-AU"/>
        </w:rPr>
        <w:t>enefits to be paid to a member</w:t>
      </w:r>
      <w:r w:rsidR="007954E2" w:rsidRPr="00FB43A8">
        <w:rPr>
          <w:lang w:val="en-AU"/>
        </w:rPr>
        <w:t>.</w:t>
      </w:r>
      <w:r w:rsidR="00545511" w:rsidRPr="00FB43A8">
        <w:rPr>
          <w:rStyle w:val="FootnoteReference"/>
          <w:lang w:val="en-AU"/>
        </w:rPr>
        <w:footnoteReference w:id="100"/>
      </w:r>
      <w:r w:rsidR="00130463" w:rsidRPr="00FB43A8">
        <w:rPr>
          <w:lang w:val="en-AU"/>
        </w:rPr>
        <w:t xml:space="preserve"> Its report may include those other matters into which it has inquired</w:t>
      </w:r>
      <w:r w:rsidR="007954E2" w:rsidRPr="00FB43A8">
        <w:rPr>
          <w:lang w:val="en-AU"/>
        </w:rPr>
        <w:t>.</w:t>
      </w:r>
      <w:r w:rsidR="00690A70" w:rsidRPr="00FB43A8">
        <w:rPr>
          <w:rStyle w:val="FootnoteReference"/>
          <w:lang w:val="en-AU"/>
        </w:rPr>
        <w:footnoteReference w:id="101"/>
      </w:r>
      <w:r w:rsidR="00130463" w:rsidRPr="00FB43A8">
        <w:rPr>
          <w:lang w:val="en-AU"/>
        </w:rPr>
        <w:t xml:space="preserve"> </w:t>
      </w:r>
    </w:p>
    <w:p w:rsidR="00540CBF" w:rsidRPr="00FB43A8" w:rsidRDefault="00455C1C" w:rsidP="00130463">
      <w:pPr>
        <w:pStyle w:val="textbasic"/>
        <w:rPr>
          <w:lang w:val="en-AU"/>
        </w:rPr>
      </w:pPr>
      <w:r w:rsidRPr="00FB43A8">
        <w:rPr>
          <w:lang w:val="en-AU"/>
        </w:rPr>
        <w:t xml:space="preserve">Consequently, </w:t>
      </w:r>
      <w:r w:rsidR="00540CBF" w:rsidRPr="00FB43A8">
        <w:rPr>
          <w:lang w:val="en-AU"/>
        </w:rPr>
        <w:t>we see</w:t>
      </w:r>
      <w:r w:rsidR="00130463" w:rsidRPr="00FB43A8">
        <w:rPr>
          <w:lang w:val="en-AU"/>
        </w:rPr>
        <w:t xml:space="preserve"> no reason why the Commission should not consider whether </w:t>
      </w:r>
      <w:r w:rsidR="00540CBF" w:rsidRPr="00FB43A8">
        <w:rPr>
          <w:lang w:val="en-AU"/>
        </w:rPr>
        <w:t xml:space="preserve">a Resettlement Allowance </w:t>
      </w:r>
      <w:r w:rsidR="00130463" w:rsidRPr="00FB43A8">
        <w:rPr>
          <w:lang w:val="en-AU"/>
        </w:rPr>
        <w:t xml:space="preserve">might be appropriate under the Act and include </w:t>
      </w:r>
      <w:r w:rsidR="00545511" w:rsidRPr="00FB43A8">
        <w:rPr>
          <w:lang w:val="en-AU"/>
        </w:rPr>
        <w:t xml:space="preserve">a recommendation about </w:t>
      </w:r>
      <w:r w:rsidR="00130463" w:rsidRPr="00FB43A8">
        <w:rPr>
          <w:lang w:val="en-AU"/>
        </w:rPr>
        <w:t>th</w:t>
      </w:r>
      <w:r w:rsidR="00540CBF" w:rsidRPr="00FB43A8">
        <w:rPr>
          <w:lang w:val="en-AU"/>
        </w:rPr>
        <w:t>at</w:t>
      </w:r>
      <w:r w:rsidR="00130463" w:rsidRPr="00FB43A8">
        <w:rPr>
          <w:lang w:val="en-AU"/>
        </w:rPr>
        <w:t xml:space="preserve"> in </w:t>
      </w:r>
      <w:r w:rsidR="00540CBF" w:rsidRPr="00FB43A8">
        <w:rPr>
          <w:lang w:val="en-AU"/>
        </w:rPr>
        <w:t>this</w:t>
      </w:r>
      <w:r w:rsidR="00130463" w:rsidRPr="00FB43A8">
        <w:rPr>
          <w:lang w:val="en-AU"/>
        </w:rPr>
        <w:t xml:space="preserve"> report. </w:t>
      </w:r>
    </w:p>
    <w:p w:rsidR="00130463" w:rsidRPr="00FB43A8" w:rsidRDefault="00130463" w:rsidP="00130463">
      <w:pPr>
        <w:pStyle w:val="textbasic"/>
        <w:rPr>
          <w:lang w:val="en-AU"/>
        </w:rPr>
      </w:pPr>
      <w:r w:rsidRPr="00FB43A8">
        <w:rPr>
          <w:lang w:val="en-AU"/>
        </w:rPr>
        <w:t>The Parliament can then consider</w:t>
      </w:r>
      <w:r w:rsidR="00540CBF" w:rsidRPr="00FB43A8">
        <w:rPr>
          <w:lang w:val="en-AU"/>
        </w:rPr>
        <w:t>, in response to an appropriate amendment proposed by the Government or</w:t>
      </w:r>
      <w:r w:rsidR="00936D3D" w:rsidRPr="00FB43A8">
        <w:rPr>
          <w:lang w:val="en-AU"/>
        </w:rPr>
        <w:t xml:space="preserve"> a</w:t>
      </w:r>
      <w:r w:rsidR="00540CBF" w:rsidRPr="00FB43A8">
        <w:rPr>
          <w:lang w:val="en-AU"/>
        </w:rPr>
        <w:t xml:space="preserve"> private member</w:t>
      </w:r>
      <w:r w:rsidRPr="00FB43A8">
        <w:rPr>
          <w:lang w:val="en-AU"/>
        </w:rPr>
        <w:t xml:space="preserve"> whether or not </w:t>
      </w:r>
      <w:r w:rsidR="00540CBF" w:rsidRPr="00FB43A8">
        <w:t xml:space="preserve">the 2012 Act should be amended to specifically provide for </w:t>
      </w:r>
      <w:r w:rsidR="00540CBF" w:rsidRPr="00FB43A8">
        <w:rPr>
          <w:lang w:val="en-AU"/>
        </w:rPr>
        <w:t>such an a</w:t>
      </w:r>
      <w:r w:rsidR="00D85181" w:rsidRPr="00FB43A8">
        <w:rPr>
          <w:lang w:val="en-AU"/>
        </w:rPr>
        <w:t>llowance</w:t>
      </w:r>
      <w:r w:rsidRPr="00FB43A8">
        <w:rPr>
          <w:lang w:val="en-AU"/>
        </w:rPr>
        <w:t>.</w:t>
      </w:r>
    </w:p>
    <w:p w:rsidR="003A6AAF" w:rsidRPr="00FB43A8" w:rsidRDefault="003A6AAF" w:rsidP="00130463">
      <w:pPr>
        <w:pStyle w:val="textbasic"/>
        <w:rPr>
          <w:lang w:val="en-AU"/>
        </w:rPr>
      </w:pPr>
      <w:r w:rsidRPr="00FB43A8">
        <w:rPr>
          <w:lang w:val="en-AU"/>
        </w:rPr>
        <w:t xml:space="preserve">As such, we recommend a Resettlement Allowance but do not include it in the Determination made in this </w:t>
      </w:r>
      <w:r w:rsidR="00263D7A" w:rsidRPr="00FB43A8">
        <w:rPr>
          <w:lang w:val="en-AU"/>
        </w:rPr>
        <w:t>Report</w:t>
      </w:r>
      <w:r w:rsidRPr="00FB43A8">
        <w:rPr>
          <w:lang w:val="en-AU"/>
        </w:rPr>
        <w:t>.</w:t>
      </w:r>
    </w:p>
    <w:p w:rsidR="00E143B1" w:rsidRPr="00FB43A8" w:rsidRDefault="00E143B1" w:rsidP="00CC5844">
      <w:pPr>
        <w:pStyle w:val="Heading2"/>
      </w:pPr>
      <w:bookmarkStart w:id="92" w:name="_Toc443486957"/>
      <w:r w:rsidRPr="00FB43A8">
        <w:t>16.2</w:t>
      </w:r>
      <w:r w:rsidRPr="00FB43A8">
        <w:tab/>
        <w:t>Recommendation</w:t>
      </w:r>
      <w:bookmarkEnd w:id="92"/>
    </w:p>
    <w:p w:rsidR="00060543" w:rsidRPr="00FB43A8" w:rsidRDefault="00A318B7" w:rsidP="00F324DE">
      <w:pPr>
        <w:pStyle w:val="textbasic"/>
      </w:pPr>
      <w:r w:rsidRPr="00FB43A8">
        <w:t xml:space="preserve">We </w:t>
      </w:r>
      <w:r w:rsidR="00E143B1" w:rsidRPr="00FB43A8">
        <w:t>recommend</w:t>
      </w:r>
      <w:r w:rsidRPr="00FB43A8">
        <w:t xml:space="preserve"> that</w:t>
      </w:r>
      <w:r w:rsidR="00060543" w:rsidRPr="00FB43A8">
        <w:t>:</w:t>
      </w:r>
    </w:p>
    <w:p w:rsidR="00E143B1" w:rsidRPr="00FB43A8" w:rsidRDefault="00D85181" w:rsidP="00D85181">
      <w:pPr>
        <w:pStyle w:val="textbasic"/>
        <w:ind w:left="567" w:hanging="567"/>
        <w:rPr>
          <w:b/>
        </w:rPr>
      </w:pPr>
      <w:r w:rsidRPr="00FB43A8">
        <w:rPr>
          <w:b/>
        </w:rPr>
        <w:t>(</w:t>
      </w:r>
      <w:r w:rsidR="003662FC" w:rsidRPr="00FB43A8">
        <w:rPr>
          <w:b/>
        </w:rPr>
        <w:t>22</w:t>
      </w:r>
      <w:r w:rsidRPr="00FB43A8">
        <w:rPr>
          <w:b/>
        </w:rPr>
        <w:t>)</w:t>
      </w:r>
      <w:r w:rsidRPr="00FB43A8">
        <w:rPr>
          <w:b/>
        </w:rPr>
        <w:tab/>
      </w:r>
      <w:r w:rsidR="00060543" w:rsidRPr="00FB43A8">
        <w:rPr>
          <w:b/>
        </w:rPr>
        <w:t xml:space="preserve">The 2012 Act be amended so that </w:t>
      </w:r>
      <w:r w:rsidR="00E143B1" w:rsidRPr="00FB43A8">
        <w:rPr>
          <w:b/>
        </w:rPr>
        <w:t xml:space="preserve">from 1 July 2016 MPs shall be entitled to a Resettlement Allowance equivalent to 12 weeks </w:t>
      </w:r>
      <w:r w:rsidR="00BA109A" w:rsidRPr="00FB43A8">
        <w:rPr>
          <w:b/>
        </w:rPr>
        <w:t>of</w:t>
      </w:r>
      <w:r w:rsidR="00E143B1" w:rsidRPr="00FB43A8">
        <w:rPr>
          <w:b/>
        </w:rPr>
        <w:t xml:space="preserve"> basic salary subject to meeting the following criteria:</w:t>
      </w:r>
    </w:p>
    <w:p w:rsidR="00E143B1" w:rsidRPr="00FB43A8" w:rsidRDefault="00E94639" w:rsidP="00D85181">
      <w:pPr>
        <w:pStyle w:val="texti"/>
        <w:ind w:left="1134"/>
        <w:rPr>
          <w:b/>
        </w:rPr>
      </w:pPr>
      <w:r w:rsidRPr="00FB43A8">
        <w:rPr>
          <w:b/>
        </w:rPr>
        <w:t>(i)</w:t>
      </w:r>
      <w:r w:rsidRPr="00FB43A8">
        <w:rPr>
          <w:b/>
        </w:rPr>
        <w:tab/>
      </w:r>
      <w:r w:rsidR="00E143B1" w:rsidRPr="00FB43A8">
        <w:rPr>
          <w:b/>
        </w:rPr>
        <w:t>Members have served at least one full term im</w:t>
      </w:r>
      <w:r w:rsidR="00BA109A" w:rsidRPr="00FB43A8">
        <w:rPr>
          <w:b/>
        </w:rPr>
        <w:t>mediately prior to an election.</w:t>
      </w:r>
    </w:p>
    <w:p w:rsidR="00E143B1" w:rsidRPr="0077405B" w:rsidRDefault="00E94639" w:rsidP="00D85181">
      <w:pPr>
        <w:pStyle w:val="texti"/>
        <w:ind w:left="1134"/>
        <w:rPr>
          <w:b/>
        </w:rPr>
      </w:pPr>
      <w:r w:rsidRPr="00FB43A8">
        <w:rPr>
          <w:b/>
        </w:rPr>
        <w:t>(ii)</w:t>
      </w:r>
      <w:r w:rsidRPr="00FB43A8">
        <w:rPr>
          <w:b/>
        </w:rPr>
        <w:tab/>
      </w:r>
      <w:r w:rsidR="00BA109A" w:rsidRPr="00FB43A8">
        <w:rPr>
          <w:b/>
        </w:rPr>
        <w:t>Members a</w:t>
      </w:r>
      <w:r w:rsidR="00E143B1" w:rsidRPr="00FB43A8">
        <w:rPr>
          <w:b/>
        </w:rPr>
        <w:t>re defeated at a subsequent election</w:t>
      </w:r>
      <w:r w:rsidR="007E1E8C" w:rsidRPr="00FB43A8">
        <w:rPr>
          <w:b/>
        </w:rPr>
        <w:t>,</w:t>
      </w:r>
      <w:r w:rsidR="00E143B1" w:rsidRPr="00FB43A8">
        <w:rPr>
          <w:b/>
        </w:rPr>
        <w:t xml:space="preserve"> or lose party endorsement</w:t>
      </w:r>
      <w:r w:rsidR="007E1E8C" w:rsidRPr="00FB43A8">
        <w:rPr>
          <w:b/>
        </w:rPr>
        <w:t xml:space="preserve"> </w:t>
      </w:r>
      <w:r w:rsidR="007E1E8C" w:rsidRPr="0077405B">
        <w:rPr>
          <w:b/>
        </w:rPr>
        <w:t xml:space="preserve">and </w:t>
      </w:r>
      <w:r w:rsidR="0077405B" w:rsidRPr="0077405B">
        <w:rPr>
          <w:b/>
          <w:iCs/>
          <w:lang w:val="en-US"/>
        </w:rPr>
        <w:t>either do</w:t>
      </w:r>
      <w:r w:rsidR="0077405B">
        <w:rPr>
          <w:b/>
          <w:iCs/>
          <w:lang w:val="en-US"/>
        </w:rPr>
        <w:t xml:space="preserve"> </w:t>
      </w:r>
      <w:r w:rsidR="0077405B" w:rsidRPr="0077405B">
        <w:rPr>
          <w:b/>
          <w:iCs/>
          <w:lang w:val="en-US"/>
        </w:rPr>
        <w:t>not seek re-election or do stand</w:t>
      </w:r>
      <w:r w:rsidR="0077405B" w:rsidRPr="0077405B">
        <w:rPr>
          <w:rStyle w:val="FootnoteReference"/>
          <w:b/>
        </w:rPr>
        <w:footnoteReference w:id="102"/>
      </w:r>
      <w:r w:rsidR="0077405B" w:rsidRPr="0077405B">
        <w:rPr>
          <w:b/>
          <w:iCs/>
          <w:lang w:val="en-US"/>
        </w:rPr>
        <w:t xml:space="preserve"> at the next election but are not re-elected</w:t>
      </w:r>
      <w:r w:rsidR="008657E9" w:rsidRPr="0077405B">
        <w:rPr>
          <w:b/>
        </w:rPr>
        <w:t>.</w:t>
      </w:r>
    </w:p>
    <w:p w:rsidR="00E143B1" w:rsidRPr="00DB2D49" w:rsidRDefault="00E94639" w:rsidP="00D85181">
      <w:pPr>
        <w:pStyle w:val="texti"/>
        <w:ind w:left="1134"/>
        <w:rPr>
          <w:b/>
        </w:rPr>
      </w:pPr>
      <w:r w:rsidRPr="00FB43A8">
        <w:rPr>
          <w:b/>
        </w:rPr>
        <w:t>(iii)</w:t>
      </w:r>
      <w:r w:rsidRPr="00FB43A8">
        <w:rPr>
          <w:b/>
        </w:rPr>
        <w:tab/>
      </w:r>
      <w:r w:rsidR="00E143B1" w:rsidRPr="00FB43A8">
        <w:rPr>
          <w:b/>
        </w:rPr>
        <w:t>Members elected at a by-election or a recount will not be eligible until they</w:t>
      </w:r>
      <w:r w:rsidR="00E143B1" w:rsidRPr="00DB2D49">
        <w:rPr>
          <w:b/>
        </w:rPr>
        <w:t xml:space="preserve"> have served at least one full term.</w:t>
      </w:r>
    </w:p>
    <w:p w:rsidR="006E4257" w:rsidRDefault="006E4257">
      <w:pPr>
        <w:spacing w:after="0"/>
        <w:rPr>
          <w:b/>
          <w:sz w:val="18"/>
          <w:szCs w:val="18"/>
        </w:rPr>
      </w:pPr>
      <w:r>
        <w:rPr>
          <w:b/>
        </w:rPr>
        <w:br w:type="page"/>
      </w:r>
    </w:p>
    <w:p w:rsidR="00E143B1" w:rsidRPr="00DB2D49" w:rsidRDefault="00E94639" w:rsidP="00D85181">
      <w:pPr>
        <w:pStyle w:val="texti"/>
        <w:ind w:left="1134"/>
        <w:rPr>
          <w:b/>
        </w:rPr>
      </w:pPr>
      <w:r w:rsidRPr="00DB2D49">
        <w:rPr>
          <w:b/>
        </w:rPr>
        <w:lastRenderedPageBreak/>
        <w:t>(iv)</w:t>
      </w:r>
      <w:r w:rsidRPr="00DB2D49">
        <w:rPr>
          <w:b/>
        </w:rPr>
        <w:tab/>
      </w:r>
      <w:r w:rsidR="00E143B1" w:rsidRPr="00DB2D49">
        <w:rPr>
          <w:b/>
        </w:rPr>
        <w:t xml:space="preserve">Members who choose to resign from one House or electorate and nominate for another House or electorate (other than as a consequence of electoral reform) and are subsequently defeated are not eligible for the </w:t>
      </w:r>
      <w:r w:rsidR="00BA109A" w:rsidRPr="00DB2D49">
        <w:rPr>
          <w:b/>
        </w:rPr>
        <w:t>Resettlement Allowance</w:t>
      </w:r>
      <w:r w:rsidR="00E143B1" w:rsidRPr="00DB2D49">
        <w:rPr>
          <w:b/>
        </w:rPr>
        <w:t>.</w:t>
      </w:r>
    </w:p>
    <w:p w:rsidR="00A318B7" w:rsidRDefault="003662FC" w:rsidP="003662FC">
      <w:pPr>
        <w:pStyle w:val="textbasic"/>
        <w:ind w:left="567" w:hanging="567"/>
        <w:rPr>
          <w:b/>
        </w:rPr>
      </w:pPr>
      <w:r>
        <w:rPr>
          <w:b/>
        </w:rPr>
        <w:t>(23)</w:t>
      </w:r>
      <w:r>
        <w:rPr>
          <w:b/>
        </w:rPr>
        <w:tab/>
      </w:r>
      <w:r w:rsidR="00060543" w:rsidRPr="00060543">
        <w:rPr>
          <w:b/>
        </w:rPr>
        <w:t>The Resettlement</w:t>
      </w:r>
      <w:r w:rsidR="00E143B1" w:rsidRPr="00060543">
        <w:rPr>
          <w:b/>
        </w:rPr>
        <w:t xml:space="preserve"> Allowance apply to any person who is a member of Parliament on 1 July 2016, or elected after that date, who meets the criteria.</w:t>
      </w:r>
    </w:p>
    <w:p w:rsidR="00105286" w:rsidRDefault="00796AAC" w:rsidP="00F700FC">
      <w:pPr>
        <w:pStyle w:val="Heading1"/>
      </w:pPr>
      <w:bookmarkStart w:id="93" w:name="_Toc443486958"/>
      <w:r>
        <w:t>17</w:t>
      </w:r>
      <w:r>
        <w:tab/>
      </w:r>
      <w:r w:rsidR="00105286">
        <w:t xml:space="preserve">Other </w:t>
      </w:r>
      <w:r w:rsidR="00BA109A">
        <w:t>Matters</w:t>
      </w:r>
      <w:bookmarkEnd w:id="93"/>
    </w:p>
    <w:p w:rsidR="00856AE8" w:rsidRDefault="00856AE8" w:rsidP="00CC5844">
      <w:pPr>
        <w:pStyle w:val="Heading2"/>
      </w:pPr>
      <w:bookmarkStart w:id="94" w:name="_Toc443486959"/>
      <w:r>
        <w:t>17.1</w:t>
      </w:r>
      <w:r>
        <w:tab/>
        <w:t>Cost of Allowances and benefits</w:t>
      </w:r>
      <w:bookmarkEnd w:id="94"/>
    </w:p>
    <w:p w:rsidR="00856AE8" w:rsidRDefault="00856AE8" w:rsidP="00856AE8">
      <w:pPr>
        <w:pStyle w:val="textbasic"/>
      </w:pPr>
      <w:r>
        <w:t>Appendix 3 of the 2014 Report provided information about the costs of various allowances from 1997-98 to 2012-13.</w:t>
      </w:r>
    </w:p>
    <w:p w:rsidR="00856AE8" w:rsidRDefault="00856AE8" w:rsidP="00856AE8">
      <w:pPr>
        <w:pStyle w:val="textbasic"/>
      </w:pPr>
      <w:r>
        <w:t>We thought that it would be beneficial to provide an up</w:t>
      </w:r>
      <w:r w:rsidR="00BA109A">
        <w:t>-</w:t>
      </w:r>
      <w:r>
        <w:t>to</w:t>
      </w:r>
      <w:r w:rsidR="00BA109A">
        <w:t>-</w:t>
      </w:r>
      <w:r>
        <w:t>date list of similar information.</w:t>
      </w:r>
    </w:p>
    <w:p w:rsidR="00856AE8" w:rsidRPr="00856AE8" w:rsidRDefault="00856AE8" w:rsidP="00856AE8">
      <w:pPr>
        <w:pStyle w:val="textbasic"/>
      </w:pPr>
      <w:r>
        <w:t xml:space="preserve">Appendix 5 of this Report provides information </w:t>
      </w:r>
      <w:r w:rsidRPr="00856AE8">
        <w:t>about the costs of various allowances from 1997-98 to 201</w:t>
      </w:r>
      <w:r>
        <w:t>4</w:t>
      </w:r>
      <w:r w:rsidRPr="00856AE8">
        <w:t>-1</w:t>
      </w:r>
      <w:r>
        <w:t>5, and we thank the Clerks of the Houses of Parliament for providing this data.</w:t>
      </w:r>
    </w:p>
    <w:p w:rsidR="003044BE" w:rsidRPr="001B2C0D" w:rsidRDefault="00105286" w:rsidP="00CC5844">
      <w:pPr>
        <w:pStyle w:val="Heading2"/>
      </w:pPr>
      <w:bookmarkStart w:id="95" w:name="_Toc443486960"/>
      <w:r>
        <w:t>17.</w:t>
      </w:r>
      <w:r w:rsidR="00856AE8">
        <w:t>2</w:t>
      </w:r>
      <w:r>
        <w:tab/>
      </w:r>
      <w:r w:rsidR="003044BE" w:rsidRPr="001B2C0D">
        <w:t xml:space="preserve">Codification of </w:t>
      </w:r>
      <w:r w:rsidR="00796AAC" w:rsidRPr="001B2C0D">
        <w:t xml:space="preserve">Leave </w:t>
      </w:r>
      <w:r w:rsidR="003044BE" w:rsidRPr="001B2C0D">
        <w:t>Arrangements</w:t>
      </w:r>
      <w:bookmarkEnd w:id="95"/>
    </w:p>
    <w:p w:rsidR="003044BE" w:rsidRPr="001B2C0D" w:rsidRDefault="00796AAC" w:rsidP="00F324DE">
      <w:pPr>
        <w:pStyle w:val="textbasic"/>
      </w:pPr>
      <w:r>
        <w:t>MPs</w:t>
      </w:r>
      <w:r w:rsidR="003044BE" w:rsidRPr="001B2C0D">
        <w:t xml:space="preserve"> do not enjoy codified entitlements to annual leave, personal leave, long service leave and parental leave</w:t>
      </w:r>
      <w:r>
        <w:t xml:space="preserve"> etc</w:t>
      </w:r>
      <w:r w:rsidR="003044BE" w:rsidRPr="001B2C0D">
        <w:t>.</w:t>
      </w:r>
    </w:p>
    <w:p w:rsidR="003044BE" w:rsidRPr="001B2C0D" w:rsidRDefault="003044BE" w:rsidP="00F324DE">
      <w:pPr>
        <w:pStyle w:val="textbasic"/>
      </w:pPr>
      <w:r w:rsidRPr="001B2C0D">
        <w:t xml:space="preserve">Both </w:t>
      </w:r>
      <w:r w:rsidRPr="00796AAC">
        <w:rPr>
          <w:b/>
        </w:rPr>
        <w:t>Unions Tasmania</w:t>
      </w:r>
      <w:r w:rsidRPr="001B2C0D">
        <w:t xml:space="preserve"> and the </w:t>
      </w:r>
      <w:r w:rsidR="00712B10">
        <w:rPr>
          <w:b/>
        </w:rPr>
        <w:t>ANMF (Tas)</w:t>
      </w:r>
      <w:r w:rsidRPr="001B2C0D">
        <w:t xml:space="preserve"> suggest there be further consideration by the </w:t>
      </w:r>
      <w:r w:rsidR="00796AAC">
        <w:t>Commission</w:t>
      </w:r>
      <w:r w:rsidRPr="001B2C0D">
        <w:t xml:space="preserve"> on establishing a minimum set of leave conditions. The </w:t>
      </w:r>
      <w:r w:rsidR="00796AAC" w:rsidRPr="00796AAC">
        <w:rPr>
          <w:b/>
        </w:rPr>
        <w:t>Labor</w:t>
      </w:r>
      <w:r w:rsidR="00796AAC">
        <w:t xml:space="preserve"> </w:t>
      </w:r>
      <w:r w:rsidRPr="00796AAC">
        <w:rPr>
          <w:b/>
        </w:rPr>
        <w:t>Opposition</w:t>
      </w:r>
      <w:r w:rsidRPr="001B2C0D">
        <w:t xml:space="preserve"> expresse</w:t>
      </w:r>
      <w:r w:rsidR="00D85181">
        <w:t>s</w:t>
      </w:r>
      <w:r w:rsidRPr="001B2C0D">
        <w:t xml:space="preserve"> a similar view. </w:t>
      </w:r>
      <w:r w:rsidR="00796AAC" w:rsidRPr="00796AAC">
        <w:rPr>
          <w:b/>
        </w:rPr>
        <w:t>Mr</w:t>
      </w:r>
      <w:r w:rsidRPr="00796AAC">
        <w:rPr>
          <w:b/>
        </w:rPr>
        <w:t xml:space="preserve"> Cooke</w:t>
      </w:r>
      <w:r w:rsidRPr="001B2C0D">
        <w:t xml:space="preserve"> supports the introduction of </w:t>
      </w:r>
      <w:r w:rsidR="008657E9">
        <w:t>parental</w:t>
      </w:r>
      <w:r w:rsidRPr="001B2C0D">
        <w:t xml:space="preserve"> </w:t>
      </w:r>
      <w:r w:rsidR="008657E9">
        <w:t>l</w:t>
      </w:r>
      <w:r w:rsidRPr="001B2C0D">
        <w:t xml:space="preserve">eave in line with the </w:t>
      </w:r>
      <w:r w:rsidR="00105286" w:rsidRPr="00105286">
        <w:t>“</w:t>
      </w:r>
      <w:r w:rsidRPr="00105286">
        <w:rPr>
          <w:i/>
        </w:rPr>
        <w:t>State standard</w:t>
      </w:r>
      <w:r w:rsidR="00105286">
        <w:t>”</w:t>
      </w:r>
      <w:r w:rsidRPr="001B2C0D">
        <w:t>.</w:t>
      </w:r>
    </w:p>
    <w:p w:rsidR="00796AAC" w:rsidRDefault="003044BE" w:rsidP="00F324DE">
      <w:pPr>
        <w:pStyle w:val="textbasic"/>
      </w:pPr>
      <w:r w:rsidRPr="001B2C0D">
        <w:t xml:space="preserve">This issue was discussed </w:t>
      </w:r>
      <w:r w:rsidR="00796AAC">
        <w:t>in the 2014 Report which noted that</w:t>
      </w:r>
      <w:r w:rsidR="00D41876">
        <w:t>:</w:t>
      </w:r>
      <w:r w:rsidR="00D41876">
        <w:rPr>
          <w:rStyle w:val="FootnoteReference"/>
        </w:rPr>
        <w:footnoteReference w:id="103"/>
      </w:r>
      <w:r w:rsidR="00796AAC">
        <w:t xml:space="preserve"> </w:t>
      </w:r>
    </w:p>
    <w:p w:rsidR="00796AAC" w:rsidRPr="00796AAC" w:rsidRDefault="00796AAC" w:rsidP="00C30766">
      <w:pPr>
        <w:pStyle w:val="quoteitalics1"/>
      </w:pPr>
      <w:r>
        <w:t>“</w:t>
      </w:r>
      <w:r>
        <w:tab/>
        <w:t>T</w:t>
      </w:r>
      <w:r w:rsidRPr="00796AAC">
        <w:t>he majority of sitting members who commented on this issue were supportive of the status quo.</w:t>
      </w:r>
    </w:p>
    <w:p w:rsidR="00796AAC" w:rsidRPr="00796AAC" w:rsidRDefault="00796AAC" w:rsidP="00C30766">
      <w:pPr>
        <w:pStyle w:val="quoteitalics"/>
      </w:pPr>
      <w:r w:rsidRPr="00796AAC">
        <w:t>We have approached this issue with some caution. To our knowledge, no other Australian parliament has attempted to codify these leave arrangements. We are also satisfied on the available evidence that under existing arrangements, leave is not abused by individual MPs, and if it were, we are confident the abuse would quickly be called to account by the electorate. We suspect, if anything, absence on leave for MPs is less than it might be under a normal employment arrangement, particularly in the case of long service leave.</w:t>
      </w:r>
    </w:p>
    <w:p w:rsidR="00796AAC" w:rsidRPr="00796AAC" w:rsidRDefault="00796AAC" w:rsidP="00C30766">
      <w:pPr>
        <w:pStyle w:val="quoteitalics"/>
      </w:pPr>
      <w:r w:rsidRPr="00796AAC">
        <w:t>In this case we believe there is something to be said for the adage “if it aint broke don’t fix it.” We do not propose to change the existing arrangements. We do however note that there may be a case to codify arrangements in respect of parental leave, in particular. We would, however, need a wider range of views than is before us before we could address this issue with confidence.</w:t>
      </w:r>
      <w:r>
        <w:t>”</w:t>
      </w:r>
    </w:p>
    <w:p w:rsidR="003044BE" w:rsidRPr="001B2C0D" w:rsidRDefault="008657E9" w:rsidP="00F324DE">
      <w:pPr>
        <w:pStyle w:val="textbasic"/>
      </w:pPr>
      <w:r>
        <w:t>N</w:t>
      </w:r>
      <w:r w:rsidR="003044BE" w:rsidRPr="001B2C0D">
        <w:t xml:space="preserve">othing has been put </w:t>
      </w:r>
      <w:r>
        <w:t xml:space="preserve">to us </w:t>
      </w:r>
      <w:r w:rsidR="003044BE" w:rsidRPr="001B2C0D">
        <w:t>that persuades us to</w:t>
      </w:r>
      <w:r w:rsidR="00796AAC">
        <w:t xml:space="preserve"> go down the codification path.</w:t>
      </w:r>
    </w:p>
    <w:p w:rsidR="003044BE" w:rsidRPr="001B2C0D" w:rsidRDefault="00796AAC" w:rsidP="00CC5844">
      <w:pPr>
        <w:pStyle w:val="Heading2"/>
      </w:pPr>
      <w:bookmarkStart w:id="96" w:name="_Toc443486961"/>
      <w:r>
        <w:t>1</w:t>
      </w:r>
      <w:r w:rsidR="00105286">
        <w:t>7.</w:t>
      </w:r>
      <w:r w:rsidR="00856AE8">
        <w:t>3</w:t>
      </w:r>
      <w:r>
        <w:tab/>
      </w:r>
      <w:r w:rsidR="003044BE" w:rsidRPr="001B2C0D">
        <w:t>Electorate Office Staffing</w:t>
      </w:r>
      <w:bookmarkEnd w:id="96"/>
    </w:p>
    <w:p w:rsidR="003044BE" w:rsidRPr="001B2C0D" w:rsidRDefault="003044BE" w:rsidP="00F324DE">
      <w:pPr>
        <w:pStyle w:val="textbasic"/>
      </w:pPr>
      <w:r w:rsidRPr="001B2C0D">
        <w:t xml:space="preserve">The </w:t>
      </w:r>
      <w:r w:rsidR="00796AAC" w:rsidRPr="00796AAC">
        <w:rPr>
          <w:b/>
        </w:rPr>
        <w:t xml:space="preserve">Labor </w:t>
      </w:r>
      <w:r w:rsidRPr="00796AAC">
        <w:rPr>
          <w:b/>
        </w:rPr>
        <w:t>Opposition</w:t>
      </w:r>
      <w:r w:rsidRPr="001B2C0D">
        <w:t xml:space="preserve"> submits that the entitlement to Electorate offices should be clarified and expressed in a documented Electorate Office Policy. This policy should confirm that the House of Assembly is to manage all Electorate offices for its </w:t>
      </w:r>
      <w:r w:rsidR="00796AAC" w:rsidRPr="001B2C0D">
        <w:t>Members;</w:t>
      </w:r>
      <w:r w:rsidRPr="001B2C0D">
        <w:t xml:space="preserve"> the Legislative Council is to manage </w:t>
      </w:r>
      <w:r w:rsidRPr="001B2C0D">
        <w:lastRenderedPageBreak/>
        <w:t xml:space="preserve">all Electorate </w:t>
      </w:r>
      <w:r w:rsidR="00E8538B">
        <w:t>o</w:t>
      </w:r>
      <w:r w:rsidRPr="001B2C0D">
        <w:t xml:space="preserve">ffices for its Members, with </w:t>
      </w:r>
      <w:r w:rsidR="00796AAC">
        <w:t xml:space="preserve">the Department </w:t>
      </w:r>
      <w:r w:rsidR="00AF1741">
        <w:t>of</w:t>
      </w:r>
      <w:r w:rsidR="00796AAC">
        <w:t xml:space="preserve"> </w:t>
      </w:r>
      <w:r w:rsidR="00AF1741">
        <w:t xml:space="preserve">Premier </w:t>
      </w:r>
      <w:r w:rsidR="00796AAC">
        <w:t>and Cabinet to be</w:t>
      </w:r>
      <w:r w:rsidRPr="001B2C0D">
        <w:t xml:space="preserve"> responsible for Ministerial offices.</w:t>
      </w:r>
    </w:p>
    <w:p w:rsidR="003044BE" w:rsidRPr="001B2C0D" w:rsidRDefault="003044BE" w:rsidP="00F324DE">
      <w:pPr>
        <w:pStyle w:val="textbasic"/>
      </w:pPr>
      <w:r w:rsidRPr="001B2C0D">
        <w:t>The submission states that consideration should be given to the appropriateness and safety of single-staff electorate offices and allowing for backfilling positions while staff are on leave. The appropriate structure should, the submission contends, be determined independent</w:t>
      </w:r>
      <w:r w:rsidR="00E8538B">
        <w:t>ly</w:t>
      </w:r>
      <w:r w:rsidRPr="001B2C0D">
        <w:t xml:space="preserve"> of politicians.</w:t>
      </w:r>
    </w:p>
    <w:p w:rsidR="003044BE" w:rsidRPr="001B2C0D" w:rsidRDefault="003044BE" w:rsidP="00F324DE">
      <w:pPr>
        <w:pStyle w:val="textbasic"/>
      </w:pPr>
      <w:r w:rsidRPr="001B2C0D">
        <w:t xml:space="preserve">The matter of Electorate </w:t>
      </w:r>
      <w:r w:rsidR="00E8538B">
        <w:t>o</w:t>
      </w:r>
      <w:r w:rsidRPr="001B2C0D">
        <w:t xml:space="preserve">ffices and </w:t>
      </w:r>
      <w:r w:rsidR="00AF1741">
        <w:t xml:space="preserve">their </w:t>
      </w:r>
      <w:r w:rsidRPr="001B2C0D">
        <w:t xml:space="preserve">staffing </w:t>
      </w:r>
      <w:r w:rsidR="00AF1741">
        <w:t>is</w:t>
      </w:r>
      <w:r w:rsidRPr="001B2C0D">
        <w:t xml:space="preserve"> not </w:t>
      </w:r>
      <w:r w:rsidR="00AF1741">
        <w:t xml:space="preserve">directly </w:t>
      </w:r>
      <w:r w:rsidRPr="001B2C0D">
        <w:t xml:space="preserve">covered by the </w:t>
      </w:r>
      <w:r w:rsidR="00AF1741">
        <w:t xml:space="preserve">2012 Act and </w:t>
      </w:r>
      <w:r w:rsidR="00E8538B">
        <w:t xml:space="preserve">so </w:t>
      </w:r>
      <w:r w:rsidR="00AF1741">
        <w:t>the issue is possibly</w:t>
      </w:r>
      <w:r w:rsidRPr="001B2C0D">
        <w:t xml:space="preserve"> beyond the jurisdiction of the Commission</w:t>
      </w:r>
      <w:r w:rsidR="008657E9">
        <w:t>.</w:t>
      </w:r>
      <w:r w:rsidR="00AF1741" w:rsidRPr="00F67F05">
        <w:rPr>
          <w:rStyle w:val="FootnoteReference"/>
        </w:rPr>
        <w:footnoteReference w:id="104"/>
      </w:r>
      <w:r w:rsidRPr="001B2C0D">
        <w:t xml:space="preserve"> For the Commission to consider the matter a reference </w:t>
      </w:r>
      <w:r w:rsidR="00AF1741">
        <w:t xml:space="preserve">by the Minister </w:t>
      </w:r>
      <w:r w:rsidRPr="001B2C0D">
        <w:t>under s</w:t>
      </w:r>
      <w:r w:rsidR="00AF1741">
        <w:t xml:space="preserve">ection </w:t>
      </w:r>
      <w:r w:rsidRPr="001B2C0D">
        <w:t>3</w:t>
      </w:r>
      <w:r w:rsidR="00D85181">
        <w:t>C(3)</w:t>
      </w:r>
      <w:r w:rsidRPr="001B2C0D">
        <w:t xml:space="preserve"> </w:t>
      </w:r>
      <w:r w:rsidR="00AF1741">
        <w:t xml:space="preserve">of the 2012 Act </w:t>
      </w:r>
      <w:r w:rsidRPr="001B2C0D">
        <w:t>would seem the appropriate mechanism</w:t>
      </w:r>
      <w:r w:rsidR="00AF1741">
        <w:t xml:space="preserve"> to trigger such a review</w:t>
      </w:r>
      <w:r w:rsidRPr="001B2C0D">
        <w:t>.</w:t>
      </w:r>
    </w:p>
    <w:p w:rsidR="003044BE" w:rsidRPr="001B2C0D" w:rsidRDefault="003044BE" w:rsidP="00F324DE">
      <w:pPr>
        <w:pStyle w:val="textbasic"/>
      </w:pPr>
      <w:r w:rsidRPr="001B2C0D">
        <w:t>In the meantime we have prepared a summary of administrative/staffing arrangements for Electorate offices in State and Territory Parliaments, to the extent that such information is available</w:t>
      </w:r>
      <w:r w:rsidR="00E8538B">
        <w:t xml:space="preserve"> to us</w:t>
      </w:r>
      <w:r w:rsidRPr="001B2C0D">
        <w:t xml:space="preserve">. This summary is found at Appendix </w:t>
      </w:r>
      <w:r w:rsidR="00856AE8">
        <w:t>6</w:t>
      </w:r>
      <w:r w:rsidR="00F67F05">
        <w:t>.</w:t>
      </w:r>
    </w:p>
    <w:p w:rsidR="003044BE" w:rsidRDefault="00714205" w:rsidP="00CC5844">
      <w:pPr>
        <w:pStyle w:val="Heading2"/>
      </w:pPr>
      <w:bookmarkStart w:id="97" w:name="_Toc443486962"/>
      <w:r>
        <w:t>1</w:t>
      </w:r>
      <w:r w:rsidR="00105286">
        <w:t>7.</w:t>
      </w:r>
      <w:r w:rsidR="00E8538B">
        <w:t>4</w:t>
      </w:r>
      <w:r>
        <w:tab/>
      </w:r>
      <w:r w:rsidR="00105286">
        <w:t>Miscellaneous</w:t>
      </w:r>
      <w:bookmarkEnd w:id="97"/>
    </w:p>
    <w:p w:rsidR="00714205" w:rsidRDefault="00714205" w:rsidP="00F324DE">
      <w:pPr>
        <w:pStyle w:val="textbasic"/>
      </w:pPr>
      <w:r>
        <w:t xml:space="preserve">For completeness we list some other matters </w:t>
      </w:r>
      <w:r w:rsidR="00516CF3">
        <w:t>raised in submissions to our Inquiry</w:t>
      </w:r>
      <w:r w:rsidR="000E021A">
        <w:t xml:space="preserve"> which we considered beyond our remit, though others may wish to take note of them</w:t>
      </w:r>
      <w:r w:rsidR="00516CF3">
        <w:t>.</w:t>
      </w:r>
    </w:p>
    <w:p w:rsidR="000E021A" w:rsidRPr="00105286" w:rsidRDefault="000E021A" w:rsidP="001F02B2">
      <w:pPr>
        <w:pStyle w:val="textbasic"/>
        <w:numPr>
          <w:ilvl w:val="0"/>
          <w:numId w:val="33"/>
        </w:numPr>
        <w:ind w:left="567" w:hanging="567"/>
      </w:pPr>
      <w:r w:rsidRPr="00105286">
        <w:t>Publication of each member’s activities and expenditure</w:t>
      </w:r>
    </w:p>
    <w:p w:rsidR="000E021A" w:rsidRDefault="000E021A" w:rsidP="001F02B2">
      <w:pPr>
        <w:pStyle w:val="textbasic"/>
        <w:ind w:left="567"/>
      </w:pPr>
      <w:r w:rsidRPr="000E021A">
        <w:rPr>
          <w:b/>
        </w:rPr>
        <w:t>Mr Cooke</w:t>
      </w:r>
      <w:r>
        <w:t xml:space="preserve"> submits that</w:t>
      </w:r>
      <w:r w:rsidR="001F02B2">
        <w:t>:</w:t>
      </w:r>
      <w:r>
        <w:t xml:space="preserve"> </w:t>
      </w:r>
    </w:p>
    <w:p w:rsidR="000E021A" w:rsidRDefault="000E021A" w:rsidP="000E021A">
      <w:pPr>
        <w:pStyle w:val="quoteitalics1"/>
      </w:pPr>
      <w:r>
        <w:t>“</w:t>
      </w:r>
      <w:r>
        <w:tab/>
        <w:t>I believe that it is time that politicians should be accounting for their time, activities and all their costs and benefits they derive from the public purse.  Within three days of the end of each calendar month, this data should be published at a common web address.</w:t>
      </w:r>
      <w:r w:rsidR="00EC62E2">
        <w:t>”</w:t>
      </w:r>
    </w:p>
    <w:p w:rsidR="00CC5844" w:rsidRPr="00105286" w:rsidRDefault="00CC5844" w:rsidP="001F02B2">
      <w:pPr>
        <w:pStyle w:val="textbasic"/>
        <w:numPr>
          <w:ilvl w:val="0"/>
          <w:numId w:val="33"/>
        </w:numPr>
        <w:ind w:left="567" w:hanging="567"/>
      </w:pPr>
      <w:r>
        <w:t>Total ‘cost’ of each individual member</w:t>
      </w:r>
    </w:p>
    <w:p w:rsidR="00CC5844" w:rsidRDefault="00CC5844" w:rsidP="001F02B2">
      <w:pPr>
        <w:pStyle w:val="textbasic"/>
        <w:ind w:left="567"/>
      </w:pPr>
      <w:r w:rsidRPr="000E021A">
        <w:rPr>
          <w:b/>
        </w:rPr>
        <w:t>Mr Cooke</w:t>
      </w:r>
      <w:r>
        <w:t xml:space="preserve"> also suggest</w:t>
      </w:r>
      <w:r w:rsidR="004502E5">
        <w:t>s</w:t>
      </w:r>
      <w:r>
        <w:t xml:space="preserve"> that it would be worthwhile to tabulate and publish the actual entitlements of each individual MP, so that there was a total for each MP that included basic salary, any additional salary, the relevant electorate allowance, any entertainment allowance etc.</w:t>
      </w:r>
    </w:p>
    <w:p w:rsidR="000E021A" w:rsidRPr="00105286" w:rsidRDefault="00105286" w:rsidP="001F02B2">
      <w:pPr>
        <w:pStyle w:val="textbasic"/>
        <w:numPr>
          <w:ilvl w:val="0"/>
          <w:numId w:val="33"/>
        </w:numPr>
        <w:ind w:left="567" w:hanging="567"/>
      </w:pPr>
      <w:r w:rsidRPr="00105286">
        <w:t>Induction for MPs</w:t>
      </w:r>
    </w:p>
    <w:p w:rsidR="00105286" w:rsidRDefault="00105286" w:rsidP="001F02B2">
      <w:pPr>
        <w:pStyle w:val="textbasic"/>
        <w:ind w:left="567"/>
      </w:pPr>
      <w:r w:rsidRPr="00105286">
        <w:rPr>
          <w:b/>
        </w:rPr>
        <w:t>Unions Tasmania</w:t>
      </w:r>
      <w:r>
        <w:t xml:space="preserve"> suggests that</w:t>
      </w:r>
      <w:r w:rsidR="001F02B2">
        <w:t>:</w:t>
      </w:r>
      <w:r>
        <w:t xml:space="preserve"> </w:t>
      </w:r>
    </w:p>
    <w:p w:rsidR="00105286" w:rsidRDefault="001F02B2" w:rsidP="00105286">
      <w:pPr>
        <w:pStyle w:val="quoteitalics1"/>
      </w:pPr>
      <w:r>
        <w:t>“</w:t>
      </w:r>
      <w:r>
        <w:tab/>
      </w:r>
      <w:r w:rsidR="00105286">
        <w:t>there be established a mechanism to ensure that newly elected MPs are provided with an induction process and opportunity to undertake skill development.”</w:t>
      </w:r>
    </w:p>
    <w:p w:rsidR="00105286" w:rsidRDefault="00B53040" w:rsidP="00B53040">
      <w:pPr>
        <w:pStyle w:val="Heading1"/>
      </w:pPr>
      <w:bookmarkStart w:id="98" w:name="_Toc443486963"/>
      <w:r>
        <w:t>18</w:t>
      </w:r>
      <w:r>
        <w:tab/>
      </w:r>
      <w:r w:rsidR="00105286">
        <w:t xml:space="preserve">Publication of </w:t>
      </w:r>
      <w:r>
        <w:t>Information</w:t>
      </w:r>
      <w:bookmarkEnd w:id="98"/>
    </w:p>
    <w:p w:rsidR="00B53040" w:rsidRDefault="00B53040" w:rsidP="00CC5844">
      <w:pPr>
        <w:pStyle w:val="Heading2"/>
      </w:pPr>
      <w:bookmarkStart w:id="99" w:name="_Toc443486964"/>
      <w:r>
        <w:t>18.1</w:t>
      </w:r>
      <w:r>
        <w:tab/>
        <w:t>Information</w:t>
      </w:r>
      <w:bookmarkEnd w:id="99"/>
    </w:p>
    <w:p w:rsidR="00B53040" w:rsidRDefault="00B53040" w:rsidP="00F324DE">
      <w:pPr>
        <w:pStyle w:val="textbasic"/>
      </w:pPr>
      <w:r>
        <w:t>As a Commission we consider that it is essential that information about the current salaries and allowances payable to MPs is readily available.</w:t>
      </w:r>
    </w:p>
    <w:p w:rsidR="009A61BF" w:rsidRDefault="00B53040" w:rsidP="00F324DE">
      <w:pPr>
        <w:pStyle w:val="textbasic"/>
      </w:pPr>
      <w:r>
        <w:t xml:space="preserve">As at 1 July 2015, all that information is set out in the 2012 Act.  However, in future years, assuming our determinations are not </w:t>
      </w:r>
      <w:r w:rsidR="00D461CA">
        <w:t>disallowed</w:t>
      </w:r>
      <w:r>
        <w:t xml:space="preserve">, that information will be out of date.  </w:t>
      </w:r>
      <w:r w:rsidR="004502E5">
        <w:t>Up</w:t>
      </w:r>
      <w:r w:rsidR="00E8538B">
        <w:t>-</w:t>
      </w:r>
      <w:r w:rsidR="004502E5">
        <w:t>to</w:t>
      </w:r>
      <w:r w:rsidR="00E8538B">
        <w:t>-</w:t>
      </w:r>
      <w:r w:rsidR="004502E5">
        <w:t xml:space="preserve">date </w:t>
      </w:r>
      <w:r>
        <w:t xml:space="preserve">information </w:t>
      </w:r>
      <w:r w:rsidR="004502E5">
        <w:t xml:space="preserve">on the applicable amounts of salaries and allowances </w:t>
      </w:r>
      <w:r>
        <w:t xml:space="preserve">may be hard </w:t>
      </w:r>
      <w:r w:rsidR="004502E5">
        <w:t>to find</w:t>
      </w:r>
      <w:r>
        <w:t xml:space="preserve">.  </w:t>
      </w:r>
    </w:p>
    <w:p w:rsidR="00B53040" w:rsidRDefault="00B53040" w:rsidP="00F324DE">
      <w:pPr>
        <w:pStyle w:val="textbasic"/>
      </w:pPr>
      <w:r>
        <w:lastRenderedPageBreak/>
        <w:t>For example</w:t>
      </w:r>
      <w:r w:rsidR="009A61BF">
        <w:t>,</w:t>
      </w:r>
      <w:r>
        <w:t xml:space="preserve"> we have recommended that the basic salary for MPs </w:t>
      </w:r>
      <w:r w:rsidRPr="00B53040">
        <w:t xml:space="preserve">be adjusted by the change in the WPI, </w:t>
      </w:r>
      <w:r w:rsidR="001F02B2" w:rsidRPr="00B53040">
        <w:t xml:space="preserve">Ordinary </w:t>
      </w:r>
      <w:r w:rsidRPr="00B53040">
        <w:t xml:space="preserve">Time Hourly Rates of Pay Excluding Bonuses; Tasmania, </w:t>
      </w:r>
      <w:r w:rsidR="001F02B2" w:rsidRPr="00B53040">
        <w:t xml:space="preserve">Private </w:t>
      </w:r>
      <w:r w:rsidRPr="00B53040">
        <w:t xml:space="preserve">and Public; </w:t>
      </w:r>
      <w:r w:rsidR="001F02B2" w:rsidRPr="00B53040">
        <w:t xml:space="preserve">All </w:t>
      </w:r>
      <w:r w:rsidRPr="00B53040">
        <w:t xml:space="preserve">Industries </w:t>
      </w:r>
      <w:r w:rsidR="00E14D34">
        <w:t>(</w:t>
      </w:r>
      <w:r w:rsidRPr="00B53040">
        <w:t>ABS Catalogue 6345.0</w:t>
      </w:r>
      <w:r w:rsidR="00E14D34">
        <w:t>)</w:t>
      </w:r>
      <w:r w:rsidRPr="00B53040">
        <w:t xml:space="preserve"> for the twelve months preceding the December quarter in each relevant financial year. Such adjustment is to take effect from 1 July next occurring.</w:t>
      </w:r>
      <w:r w:rsidR="009A61BF">
        <w:t xml:space="preserve">  Similarly in relation to the motor vehicle allowance, we recommend that </w:t>
      </w:r>
      <w:r w:rsidR="009A61BF" w:rsidRPr="009A61BF">
        <w:t>it be adjusted by the change in the relevant CPI index for the 12 months preceding the December quarter in each financial year, and will apply from 1 July next occurring.</w:t>
      </w:r>
      <w:r w:rsidR="009A61BF">
        <w:t xml:space="preserve">  </w:t>
      </w:r>
    </w:p>
    <w:p w:rsidR="009A61BF" w:rsidRDefault="009A61BF" w:rsidP="00F324DE">
      <w:pPr>
        <w:pStyle w:val="textbasic"/>
      </w:pPr>
      <w:r>
        <w:t xml:space="preserve">It may not be easy for a person unfamiliar with the ABS data sets to source and calculate what the respective salary and allowance </w:t>
      </w:r>
      <w:r w:rsidR="004502E5">
        <w:t>is</w:t>
      </w:r>
      <w:r>
        <w:t xml:space="preserve"> at a particular point in time. </w:t>
      </w:r>
    </w:p>
    <w:p w:rsidR="009A61BF" w:rsidRDefault="009A61BF" w:rsidP="00F324DE">
      <w:pPr>
        <w:pStyle w:val="textbasic"/>
      </w:pPr>
      <w:r>
        <w:t>There is also the possibility for variances to occur in the c</w:t>
      </w:r>
      <w:r w:rsidR="00E16CB6">
        <w:t>alculation of these adjustments</w:t>
      </w:r>
      <w:r>
        <w:t xml:space="preserve"> if there are different approaches to rounding or the application of composite increases over a number of years.</w:t>
      </w:r>
    </w:p>
    <w:p w:rsidR="00D461CA" w:rsidRDefault="00D461CA" w:rsidP="00F324DE">
      <w:pPr>
        <w:pStyle w:val="textbasic"/>
      </w:pPr>
      <w:r>
        <w:t xml:space="preserve">We note that under section 3I of the 2012 Act if a determination is not disallowed, the President of the Commission is to ensure that there is published in the </w:t>
      </w:r>
      <w:r>
        <w:rPr>
          <w:i/>
          <w:iCs/>
        </w:rPr>
        <w:t>Gazette</w:t>
      </w:r>
      <w:r>
        <w:t xml:space="preserve"> a notice setting out the determination.  However, where a determination covers more than one year and adjustment mechanisms for some items are included for those years, the actual amount of a salary or allowance </w:t>
      </w:r>
      <w:r w:rsidR="004502E5">
        <w:t>as</w:t>
      </w:r>
      <w:r>
        <w:t xml:space="preserve"> adjusted may be unclear. </w:t>
      </w:r>
    </w:p>
    <w:p w:rsidR="00F1126E" w:rsidRDefault="00F1126E" w:rsidP="00F324DE">
      <w:pPr>
        <w:pStyle w:val="textbasic"/>
      </w:pPr>
      <w:r>
        <w:t xml:space="preserve">Prior to the 2015 Act, it was a duty of the Auditor-General to calculate and publish (via a notice in the </w:t>
      </w:r>
      <w:r w:rsidRPr="00F1126E">
        <w:rPr>
          <w:i/>
        </w:rPr>
        <w:t>Gazette</w:t>
      </w:r>
      <w:r>
        <w:t>) the details of t</w:t>
      </w:r>
      <w:r w:rsidR="00CC5844">
        <w:t>h</w:t>
      </w:r>
      <w:r>
        <w:t>e amounts of the basic salary and those allowances that were adjusted in line with the basic salary.</w:t>
      </w:r>
    </w:p>
    <w:p w:rsidR="009A61BF" w:rsidRDefault="00F1126E" w:rsidP="00F324DE">
      <w:pPr>
        <w:pStyle w:val="textbasic"/>
      </w:pPr>
      <w:r>
        <w:t>Under the current arrangements, t</w:t>
      </w:r>
      <w:r w:rsidR="009A61BF">
        <w:t>he Commission is a</w:t>
      </w:r>
      <w:r w:rsidR="00CC5844">
        <w:t xml:space="preserve"> more</w:t>
      </w:r>
      <w:r w:rsidR="009A61BF">
        <w:t xml:space="preserve"> appropriate authority to calculate adjustments to salaries and allowances, based on the mechanisms we have recommended.  However, </w:t>
      </w:r>
      <w:r w:rsidR="00D461CA">
        <w:t xml:space="preserve">we think that </w:t>
      </w:r>
      <w:r w:rsidR="009A61BF">
        <w:t>most people seeking information about the salaries, allowances and benefits applicable to MPs are likely to be drawn to the Parliament for that information.</w:t>
      </w:r>
    </w:p>
    <w:p w:rsidR="009A61BF" w:rsidRPr="00CC5844" w:rsidRDefault="00D461CA" w:rsidP="00CC5844">
      <w:pPr>
        <w:pStyle w:val="Heading2"/>
      </w:pPr>
      <w:bookmarkStart w:id="100" w:name="_Toc443486965"/>
      <w:r w:rsidRPr="00CC5844">
        <w:t>18.2</w:t>
      </w:r>
      <w:r w:rsidRPr="00CC5844">
        <w:tab/>
        <w:t>Recommendation</w:t>
      </w:r>
      <w:bookmarkEnd w:id="100"/>
    </w:p>
    <w:p w:rsidR="00D461CA" w:rsidRPr="00CC5844" w:rsidRDefault="00D461CA" w:rsidP="00F324DE">
      <w:pPr>
        <w:pStyle w:val="textbasic"/>
      </w:pPr>
      <w:r w:rsidRPr="00CC5844">
        <w:t>We recommend that</w:t>
      </w:r>
      <w:r w:rsidR="001F02B2">
        <w:t>:</w:t>
      </w:r>
    </w:p>
    <w:p w:rsidR="00D461CA" w:rsidRPr="00CC5844" w:rsidRDefault="00CC5844" w:rsidP="00CC5844">
      <w:pPr>
        <w:pStyle w:val="texti"/>
        <w:rPr>
          <w:b/>
        </w:rPr>
      </w:pPr>
      <w:r w:rsidRPr="00CC5844">
        <w:rPr>
          <w:b/>
        </w:rPr>
        <w:t>(</w:t>
      </w:r>
      <w:r w:rsidR="003662FC">
        <w:rPr>
          <w:b/>
        </w:rPr>
        <w:t>2</w:t>
      </w:r>
      <w:r w:rsidR="001F02B2">
        <w:rPr>
          <w:b/>
        </w:rPr>
        <w:t>4</w:t>
      </w:r>
      <w:r w:rsidRPr="00CC5844">
        <w:rPr>
          <w:b/>
        </w:rPr>
        <w:t>)</w:t>
      </w:r>
      <w:r w:rsidRPr="00CC5844">
        <w:rPr>
          <w:b/>
        </w:rPr>
        <w:tab/>
      </w:r>
      <w:r w:rsidR="00D461CA" w:rsidRPr="00CC5844">
        <w:rPr>
          <w:b/>
        </w:rPr>
        <w:t>Each time a salary or allowance is adju</w:t>
      </w:r>
      <w:r w:rsidR="00F1126E" w:rsidRPr="00CC5844">
        <w:rPr>
          <w:b/>
        </w:rPr>
        <w:t>s</w:t>
      </w:r>
      <w:r w:rsidR="00D461CA" w:rsidRPr="00CC5844">
        <w:rPr>
          <w:b/>
        </w:rPr>
        <w:t>ted</w:t>
      </w:r>
      <w:r w:rsidR="00F1126E" w:rsidRPr="00CC5844">
        <w:rPr>
          <w:b/>
        </w:rPr>
        <w:t xml:space="preserve"> by the respective determined adjustment mechanism</w:t>
      </w:r>
      <w:r w:rsidR="00D461CA" w:rsidRPr="00CC5844">
        <w:rPr>
          <w:b/>
        </w:rPr>
        <w:t xml:space="preserve"> the </w:t>
      </w:r>
      <w:r w:rsidR="00F1126E" w:rsidRPr="00CC5844">
        <w:rPr>
          <w:b/>
        </w:rPr>
        <w:t>Commission</w:t>
      </w:r>
      <w:r w:rsidR="00D461CA" w:rsidRPr="00CC5844">
        <w:rPr>
          <w:b/>
        </w:rPr>
        <w:t xml:space="preserve"> </w:t>
      </w:r>
      <w:r w:rsidR="00F1126E" w:rsidRPr="00CC5844">
        <w:rPr>
          <w:b/>
        </w:rPr>
        <w:t>calculate</w:t>
      </w:r>
      <w:r w:rsidR="00D461CA" w:rsidRPr="00CC5844">
        <w:rPr>
          <w:b/>
        </w:rPr>
        <w:t xml:space="preserve"> </w:t>
      </w:r>
      <w:r w:rsidR="00F1126E" w:rsidRPr="00CC5844">
        <w:rPr>
          <w:b/>
        </w:rPr>
        <w:t xml:space="preserve">the amount </w:t>
      </w:r>
      <w:r w:rsidR="004502E5">
        <w:rPr>
          <w:b/>
        </w:rPr>
        <w:t>of</w:t>
      </w:r>
      <w:r w:rsidR="00F1126E" w:rsidRPr="00CC5844">
        <w:rPr>
          <w:b/>
        </w:rPr>
        <w:t xml:space="preserve"> the salary or allowance due to that adjustment and provides that information to the Clerk of each House of Parliament, on or before the date such adjustments take effect.</w:t>
      </w:r>
    </w:p>
    <w:p w:rsidR="00F1126E" w:rsidRPr="00CC5844" w:rsidRDefault="00CC5844" w:rsidP="00CC5844">
      <w:pPr>
        <w:pStyle w:val="texti"/>
        <w:rPr>
          <w:b/>
        </w:rPr>
      </w:pPr>
      <w:r w:rsidRPr="00CC5844">
        <w:rPr>
          <w:b/>
        </w:rPr>
        <w:t>(</w:t>
      </w:r>
      <w:r w:rsidR="003662FC">
        <w:rPr>
          <w:b/>
        </w:rPr>
        <w:t>2</w:t>
      </w:r>
      <w:r w:rsidR="001F02B2">
        <w:rPr>
          <w:b/>
        </w:rPr>
        <w:t>5</w:t>
      </w:r>
      <w:r w:rsidRPr="00CC5844">
        <w:rPr>
          <w:b/>
        </w:rPr>
        <w:t>)</w:t>
      </w:r>
      <w:r w:rsidRPr="00CC5844">
        <w:rPr>
          <w:b/>
        </w:rPr>
        <w:tab/>
      </w:r>
      <w:r w:rsidR="00F1126E" w:rsidRPr="00CC5844">
        <w:rPr>
          <w:b/>
        </w:rPr>
        <w:t xml:space="preserve">The </w:t>
      </w:r>
      <w:r w:rsidR="004502E5">
        <w:rPr>
          <w:b/>
        </w:rPr>
        <w:t>Parliament of Tasmania maintain</w:t>
      </w:r>
      <w:r w:rsidR="001F02B2">
        <w:rPr>
          <w:b/>
        </w:rPr>
        <w:t xml:space="preserve"> a suitable area on its web</w:t>
      </w:r>
      <w:r w:rsidR="00F1126E" w:rsidRPr="00CC5844">
        <w:rPr>
          <w:b/>
        </w:rPr>
        <w:t>site to publish the current amounts of salary and allowance</w:t>
      </w:r>
      <w:r w:rsidR="001F02B2">
        <w:rPr>
          <w:b/>
        </w:rPr>
        <w:t xml:space="preserve"> amount</w:t>
      </w:r>
      <w:r w:rsidR="00F1126E" w:rsidRPr="00CC5844">
        <w:rPr>
          <w:b/>
        </w:rPr>
        <w:t xml:space="preserve">s applicable to MPs. </w:t>
      </w:r>
    </w:p>
    <w:p w:rsidR="00F1126E" w:rsidRDefault="00CC5844" w:rsidP="00CC5844">
      <w:pPr>
        <w:pStyle w:val="texti"/>
        <w:rPr>
          <w:b/>
        </w:rPr>
      </w:pPr>
      <w:r w:rsidRPr="00CC5844">
        <w:rPr>
          <w:b/>
        </w:rPr>
        <w:t>(</w:t>
      </w:r>
      <w:r w:rsidR="003662FC">
        <w:rPr>
          <w:b/>
        </w:rPr>
        <w:t>2</w:t>
      </w:r>
      <w:r w:rsidR="001F02B2">
        <w:rPr>
          <w:b/>
        </w:rPr>
        <w:t>6</w:t>
      </w:r>
      <w:r w:rsidRPr="00CC5844">
        <w:rPr>
          <w:b/>
        </w:rPr>
        <w:t>)</w:t>
      </w:r>
      <w:r w:rsidRPr="00CC5844">
        <w:rPr>
          <w:b/>
        </w:rPr>
        <w:tab/>
      </w:r>
      <w:r w:rsidR="00F1126E" w:rsidRPr="00CC5844">
        <w:rPr>
          <w:b/>
        </w:rPr>
        <w:t>The President of the Commission and the Clerks of the Houses of Parliament work together to determine a suitable form for that information</w:t>
      </w:r>
      <w:r w:rsidR="001F02B2">
        <w:rPr>
          <w:b/>
        </w:rPr>
        <w:t>.</w:t>
      </w:r>
    </w:p>
    <w:p w:rsidR="00060543" w:rsidRDefault="00060543" w:rsidP="00060543">
      <w:pPr>
        <w:pStyle w:val="Heading1"/>
      </w:pPr>
      <w:bookmarkStart w:id="101" w:name="_Toc443486966"/>
      <w:r>
        <w:t xml:space="preserve">19 </w:t>
      </w:r>
      <w:r>
        <w:tab/>
      </w:r>
      <w:r w:rsidR="004502E5">
        <w:t>Summary of Recommendations</w:t>
      </w:r>
      <w:bookmarkEnd w:id="101"/>
    </w:p>
    <w:p w:rsidR="0014382D" w:rsidRPr="00361B5B" w:rsidRDefault="0014382D" w:rsidP="0014382D">
      <w:pPr>
        <w:pStyle w:val="textbasic"/>
        <w:rPr>
          <w:u w:val="single"/>
        </w:rPr>
      </w:pPr>
      <w:r w:rsidRPr="00361B5B">
        <w:rPr>
          <w:u w:val="single"/>
        </w:rPr>
        <w:t>Basic Salary</w:t>
      </w:r>
    </w:p>
    <w:p w:rsidR="003662FC" w:rsidRPr="003662FC" w:rsidRDefault="0014382D" w:rsidP="0014382D">
      <w:pPr>
        <w:pStyle w:val="texti"/>
      </w:pPr>
      <w:r>
        <w:t>(1)</w:t>
      </w:r>
      <w:r>
        <w:tab/>
      </w:r>
      <w:r w:rsidRPr="003662FC">
        <w:t xml:space="preserve">The basic salary </w:t>
      </w:r>
      <w:r w:rsidR="003662FC" w:rsidRPr="003662FC">
        <w:t>as at 1 July 2016 be determined to be $133 560 pa</w:t>
      </w:r>
      <w:r>
        <w:t>.</w:t>
      </w:r>
      <w:r w:rsidR="003662FC" w:rsidRPr="003662FC">
        <w:t xml:space="preserve"> </w:t>
      </w:r>
    </w:p>
    <w:p w:rsidR="006E4257" w:rsidRDefault="006E4257">
      <w:pPr>
        <w:spacing w:after="0"/>
        <w:rPr>
          <w:sz w:val="18"/>
          <w:szCs w:val="18"/>
        </w:rPr>
      </w:pPr>
      <w:r>
        <w:br w:type="page"/>
      </w:r>
    </w:p>
    <w:p w:rsidR="00E8538B" w:rsidRPr="00E8538B" w:rsidRDefault="00E8538B" w:rsidP="00E8538B">
      <w:pPr>
        <w:pStyle w:val="texti"/>
      </w:pPr>
      <w:r w:rsidRPr="00E8538B">
        <w:lastRenderedPageBreak/>
        <w:t>(2)</w:t>
      </w:r>
      <w:r w:rsidRPr="00E8538B">
        <w:tab/>
        <w:t>From 1 July 2017, the basic salary be adjusted by the change in the WPI, Ordinary Time Hourly Rates of Pay Excluding Bonuses; Tasmania, Private and Public; all Industries (ABS Catalogue 6345.0) for the twelve months preceding the December quarter in each relevant financial year.</w:t>
      </w:r>
    </w:p>
    <w:p w:rsidR="0014382D" w:rsidRPr="00361B5B" w:rsidRDefault="0014382D" w:rsidP="0014382D">
      <w:pPr>
        <w:pStyle w:val="texti"/>
        <w:rPr>
          <w:u w:val="single"/>
        </w:rPr>
      </w:pPr>
      <w:r w:rsidRPr="00361B5B">
        <w:rPr>
          <w:u w:val="single"/>
        </w:rPr>
        <w:t>Next Review</w:t>
      </w:r>
    </w:p>
    <w:p w:rsidR="00E8538B" w:rsidRPr="00E8538B" w:rsidRDefault="00E8538B" w:rsidP="00E8538B">
      <w:pPr>
        <w:pStyle w:val="texti"/>
      </w:pPr>
      <w:r w:rsidRPr="00E8538B">
        <w:t>(3)</w:t>
      </w:r>
      <w:r w:rsidRPr="00E8538B">
        <w:tab/>
        <w:t xml:space="preserve">The next Inquiry under the 2012 Act by the Commission take place in 2017-18, with any change to take effect from 1 July 2018. This will allow for an earlier consideration of any unanticipated external factors that would otherwise have occurred under the proposed three yearly reviews. </w:t>
      </w:r>
    </w:p>
    <w:p w:rsidR="0014382D" w:rsidRPr="00361B5B" w:rsidRDefault="0014382D" w:rsidP="0014382D">
      <w:pPr>
        <w:pStyle w:val="texti"/>
        <w:rPr>
          <w:u w:val="single"/>
        </w:rPr>
      </w:pPr>
      <w:r w:rsidRPr="00361B5B">
        <w:rPr>
          <w:u w:val="single"/>
        </w:rPr>
        <w:t>Additional Salary</w:t>
      </w:r>
    </w:p>
    <w:p w:rsidR="00E8538B" w:rsidRPr="00E8538B" w:rsidRDefault="00E8538B" w:rsidP="00E8538B">
      <w:pPr>
        <w:pStyle w:val="texti"/>
        <w:rPr>
          <w:lang w:val="en-US"/>
        </w:rPr>
      </w:pPr>
      <w:r w:rsidRPr="00E8538B">
        <w:rPr>
          <w:lang w:val="en-US"/>
        </w:rPr>
        <w:t>(4)</w:t>
      </w:r>
      <w:r w:rsidRPr="00E8538B">
        <w:rPr>
          <w:lang w:val="en-US"/>
        </w:rPr>
        <w:tab/>
        <w:t>The current amounts of additional salary, defined as percentages of the basic salary which are specified in the 2012 Act, continue and be unchanged for the period of the 2016 Determination, ie from 1 July 2016 until 30 June 2018.</w:t>
      </w:r>
    </w:p>
    <w:p w:rsidR="00E8538B" w:rsidRPr="00E8538B" w:rsidRDefault="00E8538B" w:rsidP="00E8538B">
      <w:pPr>
        <w:pStyle w:val="texti"/>
        <w:rPr>
          <w:lang w:val="en-US"/>
        </w:rPr>
      </w:pPr>
      <w:r w:rsidRPr="00E8538B">
        <w:rPr>
          <w:lang w:val="en-US"/>
        </w:rPr>
        <w:t>(5)</w:t>
      </w:r>
      <w:r w:rsidRPr="00E8538B">
        <w:rPr>
          <w:lang w:val="en-US"/>
        </w:rPr>
        <w:tab/>
        <w:t>As part of the 2017-18 Inquiry by the Commission, the quantum of additional salary paid in relation to the offices of President of the Legislative Council and Speaker of the House of Assembly be considered in particular.</w:t>
      </w:r>
    </w:p>
    <w:p w:rsidR="0014382D" w:rsidRPr="00361B5B" w:rsidRDefault="003662FC" w:rsidP="0014382D">
      <w:pPr>
        <w:pStyle w:val="texti"/>
        <w:rPr>
          <w:u w:val="single"/>
        </w:rPr>
      </w:pPr>
      <w:r w:rsidRPr="00361B5B">
        <w:rPr>
          <w:u w:val="single"/>
        </w:rPr>
        <w:t xml:space="preserve">Motor Vehicle Allowance </w:t>
      </w:r>
    </w:p>
    <w:p w:rsidR="00E8538B" w:rsidRPr="00E8538B" w:rsidRDefault="00E8538B" w:rsidP="00E8538B">
      <w:pPr>
        <w:pStyle w:val="texti"/>
        <w:rPr>
          <w:lang w:val="en-US"/>
        </w:rPr>
      </w:pPr>
      <w:r w:rsidRPr="00E8538B">
        <w:rPr>
          <w:lang w:val="en-US"/>
        </w:rPr>
        <w:t>(6)</w:t>
      </w:r>
      <w:r w:rsidRPr="00E8538B">
        <w:rPr>
          <w:lang w:val="en-US"/>
        </w:rPr>
        <w:tab/>
        <w:t>The Motor Vehicle Allowance should be recalculated based on the 2014 recommendation, adjusted for the change in the CPI, Hobart, All Groups (ABS Catalogue 6401.0) between June quarter 2014 and December Quarter 2015. This results in an allowance of $15 613 pa and will apply from 1 July 2016.</w:t>
      </w:r>
    </w:p>
    <w:p w:rsidR="00E8538B" w:rsidRPr="00E8538B" w:rsidRDefault="00E8538B" w:rsidP="00E8538B">
      <w:pPr>
        <w:pStyle w:val="texti"/>
        <w:rPr>
          <w:lang w:val="en-US"/>
        </w:rPr>
      </w:pPr>
      <w:r w:rsidRPr="00E8538B">
        <w:rPr>
          <w:lang w:val="en-US"/>
        </w:rPr>
        <w:t>(7)</w:t>
      </w:r>
      <w:r w:rsidRPr="00E8538B">
        <w:rPr>
          <w:lang w:val="en-US"/>
        </w:rPr>
        <w:tab/>
        <w:t xml:space="preserve">Thereafter the </w:t>
      </w:r>
      <w:r w:rsidRPr="00E8538B">
        <w:t xml:space="preserve">Motor Vehicle Allowance </w:t>
      </w:r>
      <w:r w:rsidRPr="00E8538B">
        <w:rPr>
          <w:lang w:val="en-US"/>
        </w:rPr>
        <w:t>be adjusted by the change in the relevant CPI index for the 12 months preceding the December quarter in each financial year, and will apply from 1 July next occurring.</w:t>
      </w:r>
    </w:p>
    <w:p w:rsidR="0014382D" w:rsidRPr="00361B5B" w:rsidRDefault="003662FC" w:rsidP="0014382D">
      <w:pPr>
        <w:pStyle w:val="texti"/>
        <w:rPr>
          <w:u w:val="single"/>
        </w:rPr>
      </w:pPr>
      <w:r w:rsidRPr="00361B5B">
        <w:rPr>
          <w:u w:val="single"/>
        </w:rPr>
        <w:t xml:space="preserve">Electorate Allowance </w:t>
      </w:r>
    </w:p>
    <w:p w:rsidR="00E8538B" w:rsidRPr="00E8538B" w:rsidRDefault="00E8538B" w:rsidP="00E8538B">
      <w:pPr>
        <w:pStyle w:val="texti"/>
        <w:rPr>
          <w:lang w:val="en-US"/>
        </w:rPr>
      </w:pPr>
      <w:r w:rsidRPr="00E8538B">
        <w:rPr>
          <w:lang w:val="en-US"/>
        </w:rPr>
        <w:t>(8)</w:t>
      </w:r>
      <w:r w:rsidRPr="00E8538B">
        <w:rPr>
          <w:lang w:val="en-US"/>
        </w:rPr>
        <w:tab/>
        <w:t xml:space="preserve">The Electorate Allowance be recalculated, based on the 2014 recommendation, adjusted for the change in the CPI, Hobart, All Groups </w:t>
      </w:r>
      <w:r w:rsidRPr="00E8538B">
        <w:t>(ABS Catalogue 6401.0)</w:t>
      </w:r>
      <w:r w:rsidRPr="00E8538B">
        <w:rPr>
          <w:lang w:val="en-US"/>
        </w:rPr>
        <w:t>, between June quarter 2014 and December quarter 2015, to apply from 1 July 2016.</w:t>
      </w:r>
    </w:p>
    <w:p w:rsidR="00E8538B" w:rsidRPr="00E8538B" w:rsidRDefault="00E8538B" w:rsidP="00E8538B">
      <w:pPr>
        <w:pStyle w:val="texti"/>
        <w:rPr>
          <w:lang w:val="en-US"/>
        </w:rPr>
      </w:pPr>
      <w:r w:rsidRPr="00E8538B">
        <w:rPr>
          <w:lang w:val="en-US"/>
        </w:rPr>
        <w:t>(9)</w:t>
      </w:r>
      <w:r w:rsidRPr="00E8538B">
        <w:rPr>
          <w:lang w:val="en-US"/>
        </w:rPr>
        <w:tab/>
        <w:t xml:space="preserve">Thereafter the </w:t>
      </w:r>
      <w:r w:rsidRPr="00E8538B">
        <w:t xml:space="preserve">Electorate Allowance </w:t>
      </w:r>
      <w:r w:rsidRPr="00E8538B">
        <w:rPr>
          <w:lang w:val="en-US"/>
        </w:rPr>
        <w:t>be adjusted by the change in the relevant CPI index for the 12 months preceding the December quarter in each financial year, to apply from 1</w:t>
      </w:r>
      <w:r>
        <w:rPr>
          <w:lang w:val="en-US"/>
        </w:rPr>
        <w:t> </w:t>
      </w:r>
      <w:r w:rsidRPr="00E8538B">
        <w:rPr>
          <w:lang w:val="en-US"/>
        </w:rPr>
        <w:t>July next occurring.</w:t>
      </w:r>
    </w:p>
    <w:p w:rsidR="00E8538B" w:rsidRPr="00E8538B" w:rsidRDefault="00E8538B" w:rsidP="00E8538B">
      <w:pPr>
        <w:pStyle w:val="texti"/>
        <w:rPr>
          <w:lang w:val="en-US"/>
        </w:rPr>
      </w:pPr>
      <w:r w:rsidRPr="00E8538B">
        <w:rPr>
          <w:lang w:val="en-US"/>
        </w:rPr>
        <w:t>(10)</w:t>
      </w:r>
      <w:r w:rsidRPr="00E8538B">
        <w:rPr>
          <w:lang w:val="en-US"/>
        </w:rPr>
        <w:tab/>
        <w:t xml:space="preserve">The objective, legitimate uses and administration of the Electorate Allowance be considered as related matters (in the sense of section 3C(2) of the 2012 Act) for the purpose of the next Inquiry of the Commission in 2017-18. </w:t>
      </w:r>
    </w:p>
    <w:p w:rsidR="0014382D" w:rsidRPr="00361B5B" w:rsidRDefault="0014382D" w:rsidP="0014382D">
      <w:pPr>
        <w:pStyle w:val="texti"/>
        <w:rPr>
          <w:u w:val="single"/>
        </w:rPr>
      </w:pPr>
      <w:r w:rsidRPr="00361B5B">
        <w:rPr>
          <w:u w:val="single"/>
        </w:rPr>
        <w:t>Committee Sitting Fees</w:t>
      </w:r>
    </w:p>
    <w:p w:rsidR="0073747A" w:rsidRPr="0073747A" w:rsidRDefault="0073747A" w:rsidP="0073747A">
      <w:pPr>
        <w:pStyle w:val="texti"/>
      </w:pPr>
      <w:r w:rsidRPr="0073747A">
        <w:t>(11)</w:t>
      </w:r>
      <w:r w:rsidRPr="0073747A">
        <w:tab/>
        <w:t>The sitting fees for members of Standing Committees be abolished with effect from 1 July 2016.</w:t>
      </w:r>
    </w:p>
    <w:p w:rsidR="0073747A" w:rsidRPr="0073747A" w:rsidRDefault="0073747A" w:rsidP="0073747A">
      <w:pPr>
        <w:pStyle w:val="texti"/>
      </w:pPr>
      <w:r w:rsidRPr="0073747A">
        <w:t>(12)</w:t>
      </w:r>
      <w:r w:rsidRPr="0073747A">
        <w:tab/>
        <w:t>The Chair of a Standing or Select Committee be paid a daily sitting fee equivalent to 0.12% of the annual basic salary for each day on which the Chair attends a summoned meeting of the Committee. This allowance is to take effect from 1 July 2016.</w:t>
      </w:r>
    </w:p>
    <w:p w:rsidR="0014382D" w:rsidRPr="00361B5B" w:rsidRDefault="0014382D" w:rsidP="0014382D">
      <w:pPr>
        <w:pStyle w:val="texti"/>
        <w:rPr>
          <w:u w:val="single"/>
        </w:rPr>
      </w:pPr>
      <w:r w:rsidRPr="00361B5B">
        <w:rPr>
          <w:u w:val="single"/>
        </w:rPr>
        <w:lastRenderedPageBreak/>
        <w:t>Telecommunications Allowance</w:t>
      </w:r>
    </w:p>
    <w:p w:rsidR="0073747A" w:rsidRPr="0073747A" w:rsidRDefault="0073747A" w:rsidP="0073747A">
      <w:pPr>
        <w:pStyle w:val="texti"/>
        <w:rPr>
          <w:lang w:val="en-US"/>
        </w:rPr>
      </w:pPr>
      <w:r w:rsidRPr="0073747A">
        <w:rPr>
          <w:lang w:val="en-US"/>
        </w:rPr>
        <w:t>(13)</w:t>
      </w:r>
      <w:r w:rsidRPr="0073747A">
        <w:rPr>
          <w:lang w:val="en-US"/>
        </w:rPr>
        <w:tab/>
        <w:t>The existing rate of reimbursement of mobile phone charges be increased from 80% to 90%.</w:t>
      </w:r>
    </w:p>
    <w:p w:rsidR="0073747A" w:rsidRPr="0073747A" w:rsidRDefault="0073747A" w:rsidP="0073747A">
      <w:pPr>
        <w:pStyle w:val="texti"/>
        <w:rPr>
          <w:lang w:val="en-US"/>
        </w:rPr>
      </w:pPr>
      <w:r w:rsidRPr="0073747A">
        <w:rPr>
          <w:lang w:val="en-US"/>
        </w:rPr>
        <w:t>(14)</w:t>
      </w:r>
      <w:r w:rsidRPr="0073747A">
        <w:rPr>
          <w:lang w:val="en-US"/>
        </w:rPr>
        <w:tab/>
        <w:t xml:space="preserve">The entitlement to reimbursement of </w:t>
      </w:r>
      <w:r w:rsidRPr="0073747A">
        <w:t xml:space="preserve">service and equipment charges for one telephone service installed in </w:t>
      </w:r>
      <w:r w:rsidR="006D5495">
        <w:t>an MP</w:t>
      </w:r>
      <w:r w:rsidRPr="0073747A">
        <w:t>’s home and 80% of all call charges applicable to that fixed line</w:t>
      </w:r>
      <w:r w:rsidRPr="0073747A">
        <w:rPr>
          <w:lang w:val="en-US"/>
        </w:rPr>
        <w:t xml:space="preserve"> cease. </w:t>
      </w:r>
    </w:p>
    <w:p w:rsidR="0073747A" w:rsidRPr="0073747A" w:rsidRDefault="0073747A" w:rsidP="0073747A">
      <w:pPr>
        <w:pStyle w:val="texti"/>
        <w:rPr>
          <w:lang w:val="en-US"/>
        </w:rPr>
      </w:pPr>
      <w:r w:rsidRPr="0073747A">
        <w:rPr>
          <w:lang w:val="en-US"/>
        </w:rPr>
        <w:t>(15)</w:t>
      </w:r>
      <w:r w:rsidRPr="0073747A">
        <w:rPr>
          <w:lang w:val="en-US"/>
        </w:rPr>
        <w:tab/>
        <w:t>These revised provisions apply from 1 July 2016.</w:t>
      </w:r>
    </w:p>
    <w:p w:rsidR="0073747A" w:rsidRPr="0073747A" w:rsidRDefault="0073747A" w:rsidP="0073747A">
      <w:pPr>
        <w:pStyle w:val="texti"/>
        <w:rPr>
          <w:lang w:val="en-US"/>
        </w:rPr>
      </w:pPr>
      <w:r w:rsidRPr="0073747A">
        <w:rPr>
          <w:lang w:val="en-US"/>
        </w:rPr>
        <w:t>(16)</w:t>
      </w:r>
      <w:r w:rsidRPr="0073747A">
        <w:rPr>
          <w:lang w:val="en-US"/>
        </w:rPr>
        <w:tab/>
        <w:t>The arrangement in relation to the reimbursement of mobile phone charges for office holders designated in clause 4(3) of Schedule 6 to the 2012 Act continue.</w:t>
      </w:r>
    </w:p>
    <w:p w:rsidR="0014382D" w:rsidRPr="00361B5B" w:rsidRDefault="003662FC" w:rsidP="0014382D">
      <w:pPr>
        <w:pStyle w:val="texti"/>
        <w:rPr>
          <w:u w:val="single"/>
        </w:rPr>
      </w:pPr>
      <w:r w:rsidRPr="00361B5B">
        <w:rPr>
          <w:u w:val="single"/>
        </w:rPr>
        <w:t xml:space="preserve">Entertainment Allowance </w:t>
      </w:r>
    </w:p>
    <w:p w:rsidR="0073747A" w:rsidRPr="0073747A" w:rsidRDefault="0073747A" w:rsidP="0073747A">
      <w:pPr>
        <w:pStyle w:val="texti"/>
        <w:rPr>
          <w:lang w:val="en-US"/>
        </w:rPr>
      </w:pPr>
      <w:r w:rsidRPr="0073747A">
        <w:rPr>
          <w:lang w:val="en-US"/>
        </w:rPr>
        <w:t>(17)</w:t>
      </w:r>
      <w:r w:rsidRPr="0073747A">
        <w:rPr>
          <w:lang w:val="en-US"/>
        </w:rPr>
        <w:tab/>
        <w:t>The existing Entertainment Allowance for the Premier, President of the Legislative Council and Speaker of the House of Assembly continue without change.</w:t>
      </w:r>
    </w:p>
    <w:p w:rsidR="0014382D" w:rsidRPr="00361B5B" w:rsidRDefault="003662FC" w:rsidP="0014382D">
      <w:pPr>
        <w:pStyle w:val="texti"/>
        <w:rPr>
          <w:u w:val="single"/>
        </w:rPr>
      </w:pPr>
      <w:r w:rsidRPr="00361B5B">
        <w:rPr>
          <w:u w:val="single"/>
        </w:rPr>
        <w:t xml:space="preserve">Away from Home Travelling Allowance </w:t>
      </w:r>
    </w:p>
    <w:p w:rsidR="0073747A" w:rsidRPr="0073747A" w:rsidRDefault="0073747A" w:rsidP="0073747A">
      <w:pPr>
        <w:pStyle w:val="texti"/>
      </w:pPr>
      <w:r w:rsidRPr="0073747A">
        <w:t>(18)</w:t>
      </w:r>
      <w:r w:rsidRPr="0073747A">
        <w:tab/>
        <w:t>The Away from Home Travelling Allowance remain unchanged apart from amending subclause 2 of the definition of the allowance so that it reads</w:t>
      </w:r>
      <w:r w:rsidR="006B6AE0">
        <w:t>:</w:t>
      </w:r>
    </w:p>
    <w:p w:rsidR="0073747A" w:rsidRPr="0073747A" w:rsidRDefault="0073747A" w:rsidP="0073747A">
      <w:pPr>
        <w:pStyle w:val="texti"/>
        <w:ind w:left="851" w:hanging="142"/>
        <w:rPr>
          <w:bCs/>
          <w:i/>
          <w:lang w:val="en-US"/>
        </w:rPr>
      </w:pPr>
      <w:r w:rsidRPr="0073747A">
        <w:rPr>
          <w:bCs/>
          <w:i/>
          <w:lang w:val="en-US"/>
        </w:rPr>
        <w:t>“</w:t>
      </w:r>
      <w:r w:rsidRPr="0073747A">
        <w:rPr>
          <w:bCs/>
          <w:i/>
          <w:lang w:val="en-US"/>
        </w:rPr>
        <w:tab/>
        <w:t>The rate of and the circumstances under which the allowance is payable shall be in accordance with the Travel Allowance and Meal Allowance components prescribed from time to time by the Tasmanian State Service Award of the Commission</w:t>
      </w:r>
      <w:r w:rsidR="00C30766">
        <w:rPr>
          <w:bCs/>
          <w:i/>
          <w:lang w:val="en-US"/>
        </w:rPr>
        <w:t>.”</w:t>
      </w:r>
    </w:p>
    <w:p w:rsidR="0073747A" w:rsidRPr="0073747A" w:rsidRDefault="0073747A" w:rsidP="0073747A">
      <w:pPr>
        <w:pStyle w:val="texti"/>
      </w:pPr>
      <w:r w:rsidRPr="0073747A">
        <w:t>(19)</w:t>
      </w:r>
      <w:r w:rsidRPr="0073747A">
        <w:tab/>
        <w:t>This revised provision apply from 1 July 2016.</w:t>
      </w:r>
    </w:p>
    <w:p w:rsidR="00482E08" w:rsidRPr="00361B5B" w:rsidRDefault="003662FC" w:rsidP="0014382D">
      <w:pPr>
        <w:pStyle w:val="texti"/>
        <w:rPr>
          <w:u w:val="single"/>
        </w:rPr>
      </w:pPr>
      <w:r w:rsidRPr="00361B5B">
        <w:rPr>
          <w:u w:val="single"/>
        </w:rPr>
        <w:t>Bass Strait Islands Trave</w:t>
      </w:r>
      <w:r w:rsidR="0073747A">
        <w:rPr>
          <w:u w:val="single"/>
        </w:rPr>
        <w:t>l</w:t>
      </w:r>
      <w:r w:rsidRPr="00361B5B">
        <w:rPr>
          <w:u w:val="single"/>
        </w:rPr>
        <w:t xml:space="preserve">ling Allowance </w:t>
      </w:r>
    </w:p>
    <w:p w:rsidR="0073747A" w:rsidRPr="0073747A" w:rsidRDefault="0073747A" w:rsidP="0073747A">
      <w:pPr>
        <w:pStyle w:val="texti"/>
        <w:rPr>
          <w:lang w:val="en-US"/>
        </w:rPr>
      </w:pPr>
      <w:r w:rsidRPr="0073747A">
        <w:rPr>
          <w:lang w:val="en-US"/>
        </w:rPr>
        <w:t>(20)</w:t>
      </w:r>
      <w:r w:rsidRPr="0073747A">
        <w:rPr>
          <w:lang w:val="en-US"/>
        </w:rPr>
        <w:tab/>
        <w:t>The existing Bass Strait Islands Travelling Allowance continue.</w:t>
      </w:r>
    </w:p>
    <w:p w:rsidR="00482E08" w:rsidRPr="00361B5B" w:rsidRDefault="003662FC" w:rsidP="0014382D">
      <w:pPr>
        <w:pStyle w:val="texti"/>
        <w:rPr>
          <w:u w:val="single"/>
        </w:rPr>
      </w:pPr>
      <w:r w:rsidRPr="00361B5B">
        <w:rPr>
          <w:u w:val="single"/>
        </w:rPr>
        <w:t xml:space="preserve">Taxi Allowance </w:t>
      </w:r>
    </w:p>
    <w:p w:rsidR="003662FC" w:rsidRPr="003662FC" w:rsidRDefault="003662FC" w:rsidP="0014382D">
      <w:pPr>
        <w:pStyle w:val="texti"/>
      </w:pPr>
      <w:r w:rsidRPr="003662FC">
        <w:t>(21)</w:t>
      </w:r>
      <w:r w:rsidRPr="003662FC">
        <w:tab/>
        <w:t>The Taxi Allowance be discontinued from 1 July 2016</w:t>
      </w:r>
      <w:r w:rsidR="00910B27">
        <w:t>.</w:t>
      </w:r>
    </w:p>
    <w:p w:rsidR="00482E08" w:rsidRPr="00361B5B" w:rsidRDefault="003662FC" w:rsidP="0014382D">
      <w:pPr>
        <w:pStyle w:val="texti"/>
        <w:rPr>
          <w:u w:val="single"/>
        </w:rPr>
      </w:pPr>
      <w:r w:rsidRPr="00361B5B">
        <w:rPr>
          <w:u w:val="single"/>
        </w:rPr>
        <w:t xml:space="preserve">Resettlement Allowance </w:t>
      </w:r>
    </w:p>
    <w:p w:rsidR="0073747A" w:rsidRPr="0073747A" w:rsidRDefault="0073747A" w:rsidP="0073747A">
      <w:pPr>
        <w:pStyle w:val="textbasic"/>
        <w:ind w:left="709" w:hanging="567"/>
      </w:pPr>
      <w:r w:rsidRPr="0073747A">
        <w:t>(22)</w:t>
      </w:r>
      <w:r w:rsidRPr="0073747A">
        <w:tab/>
        <w:t>The 2012 Act be amended so that from 1 July 2016 MPs shall be entitled to a Resettlement Allowance equivalent to 12 weeks of basic salary subject to meeting the following criteria:</w:t>
      </w:r>
    </w:p>
    <w:p w:rsidR="0073747A" w:rsidRPr="0073747A" w:rsidRDefault="0073747A" w:rsidP="0073747A">
      <w:pPr>
        <w:pStyle w:val="texti"/>
        <w:ind w:left="1276"/>
      </w:pPr>
      <w:r w:rsidRPr="0073747A">
        <w:t>(i)</w:t>
      </w:r>
      <w:r w:rsidRPr="0073747A">
        <w:tab/>
        <w:t>Members have served at least one full term immediately prior to an election.</w:t>
      </w:r>
    </w:p>
    <w:p w:rsidR="0073747A" w:rsidRPr="00297FC5" w:rsidRDefault="0073747A" w:rsidP="0073747A">
      <w:pPr>
        <w:pStyle w:val="texti"/>
        <w:ind w:left="1276"/>
      </w:pPr>
      <w:r w:rsidRPr="00FB43A8">
        <w:t>(ii)</w:t>
      </w:r>
      <w:r w:rsidRPr="00FB43A8">
        <w:tab/>
      </w:r>
      <w:r w:rsidR="00297FC5" w:rsidRPr="00297FC5">
        <w:t xml:space="preserve">Members are defeated at a subsequent election, or lose party endorsement and </w:t>
      </w:r>
      <w:r w:rsidR="00297FC5" w:rsidRPr="00297FC5">
        <w:rPr>
          <w:iCs/>
          <w:lang w:val="en-US"/>
        </w:rPr>
        <w:t>either do not seek re-election or do stand</w:t>
      </w:r>
      <w:r w:rsidR="00297FC5" w:rsidRPr="00297FC5">
        <w:rPr>
          <w:vertAlign w:val="superscript"/>
        </w:rPr>
        <w:footnoteReference w:id="105"/>
      </w:r>
      <w:r w:rsidR="00297FC5" w:rsidRPr="00297FC5">
        <w:rPr>
          <w:iCs/>
          <w:lang w:val="en-US"/>
        </w:rPr>
        <w:t xml:space="preserve"> at the next election but are not re-elected</w:t>
      </w:r>
      <w:r w:rsidR="00297FC5" w:rsidRPr="00297FC5">
        <w:t>.</w:t>
      </w:r>
    </w:p>
    <w:p w:rsidR="0073747A" w:rsidRPr="0073747A" w:rsidRDefault="0073747A" w:rsidP="0073747A">
      <w:pPr>
        <w:pStyle w:val="texti"/>
        <w:ind w:left="1276"/>
      </w:pPr>
      <w:r w:rsidRPr="0073747A">
        <w:t>(iii)</w:t>
      </w:r>
      <w:r w:rsidRPr="0073747A">
        <w:tab/>
        <w:t>Members elected at a by-election or a recount will not be eligible until they have served at least one full term.</w:t>
      </w:r>
    </w:p>
    <w:p w:rsidR="0073747A" w:rsidRPr="0073747A" w:rsidRDefault="0073747A" w:rsidP="0073747A">
      <w:pPr>
        <w:pStyle w:val="texti"/>
        <w:ind w:left="1276"/>
      </w:pPr>
      <w:r w:rsidRPr="0073747A">
        <w:t>(iv)</w:t>
      </w:r>
      <w:r w:rsidRPr="0073747A">
        <w:tab/>
        <w:t>Members who choose to resign from one House or electorate and nominate for another House or electorate (other than as a consequence of electoral reform) and are subsequently defeated are not eligible for the Resettlement Allowance.</w:t>
      </w:r>
    </w:p>
    <w:p w:rsidR="0073747A" w:rsidRPr="0073747A" w:rsidRDefault="0073747A" w:rsidP="0073747A">
      <w:pPr>
        <w:pStyle w:val="textbasic"/>
        <w:ind w:left="709" w:hanging="567"/>
      </w:pPr>
      <w:r w:rsidRPr="0073747A">
        <w:lastRenderedPageBreak/>
        <w:t>(23)</w:t>
      </w:r>
      <w:r w:rsidRPr="0073747A">
        <w:tab/>
        <w:t>The Resettlement Allowance apply to any person who is a member of Parliament on 1 July 2016, or elected after that date, who meets the criteria.</w:t>
      </w:r>
    </w:p>
    <w:p w:rsidR="00482E08" w:rsidRPr="00361B5B" w:rsidRDefault="00482E08" w:rsidP="0014382D">
      <w:pPr>
        <w:pStyle w:val="texti"/>
        <w:rPr>
          <w:u w:val="single"/>
        </w:rPr>
      </w:pPr>
      <w:r w:rsidRPr="00361B5B">
        <w:rPr>
          <w:u w:val="single"/>
        </w:rPr>
        <w:t>Publication of Information</w:t>
      </w:r>
    </w:p>
    <w:p w:rsidR="0073747A" w:rsidRPr="0073747A" w:rsidRDefault="0073747A" w:rsidP="0073747A">
      <w:pPr>
        <w:pStyle w:val="textbasic"/>
        <w:ind w:left="709" w:hanging="567"/>
      </w:pPr>
      <w:r w:rsidRPr="0073747A">
        <w:t>(24)</w:t>
      </w:r>
      <w:r w:rsidRPr="0073747A">
        <w:tab/>
        <w:t>Each time a salary or allowance is adjusted by the respective determined adjustment mechanism the Commission calculate the amount of the salary or allowance due to that adjustment and provides that information to the Clerk of each House of Parliament, on or before the date such adjustments take effect.</w:t>
      </w:r>
    </w:p>
    <w:p w:rsidR="0073747A" w:rsidRPr="0073747A" w:rsidRDefault="0073747A" w:rsidP="0073747A">
      <w:pPr>
        <w:pStyle w:val="textbasic"/>
        <w:ind w:left="709" w:hanging="567"/>
      </w:pPr>
      <w:r w:rsidRPr="0073747A">
        <w:t>(25)</w:t>
      </w:r>
      <w:r w:rsidRPr="0073747A">
        <w:tab/>
        <w:t xml:space="preserve">The Parliament of Tasmania maintain a suitable area on its website to publish the current amounts of salary and allowance amounts applicable to MPs. </w:t>
      </w:r>
    </w:p>
    <w:p w:rsidR="0073747A" w:rsidRPr="0073747A" w:rsidRDefault="0073747A" w:rsidP="0073747A">
      <w:pPr>
        <w:pStyle w:val="textbasic"/>
        <w:ind w:left="709" w:hanging="567"/>
      </w:pPr>
      <w:r w:rsidRPr="0073747A">
        <w:t>(26)</w:t>
      </w:r>
      <w:r w:rsidRPr="0073747A">
        <w:tab/>
        <w:t>The President of the Commission and the Clerks of the Houses of Parliament work together to determine a suitable form for that information.</w:t>
      </w:r>
    </w:p>
    <w:p w:rsidR="004502E5" w:rsidRPr="004502E5" w:rsidRDefault="004502E5" w:rsidP="004502E5">
      <w:pPr>
        <w:pStyle w:val="Heading1"/>
      </w:pPr>
      <w:bookmarkStart w:id="102" w:name="_Toc443486967"/>
      <w:r>
        <w:t>20</w:t>
      </w:r>
      <w:r w:rsidRPr="004502E5">
        <w:t xml:space="preserve"> </w:t>
      </w:r>
      <w:r w:rsidRPr="004502E5">
        <w:tab/>
        <w:t>Acknowledgements</w:t>
      </w:r>
      <w:bookmarkEnd w:id="102"/>
    </w:p>
    <w:p w:rsidR="004502E5" w:rsidRPr="004502E5" w:rsidRDefault="004502E5" w:rsidP="004502E5">
      <w:pPr>
        <w:pStyle w:val="textbasic"/>
      </w:pPr>
      <w:r w:rsidRPr="004502E5">
        <w:t>We would like to acknowledge the cooperation of the Clerks of the Legislative Council and House of Assembly, David Pearce and Shane Donnelly, both of whom met privately with the Full Bench and also provided important statistical and financial data.</w:t>
      </w:r>
    </w:p>
    <w:p w:rsidR="004502E5" w:rsidRDefault="004502E5" w:rsidP="004502E5">
      <w:pPr>
        <w:pStyle w:val="textbasic"/>
      </w:pPr>
      <w:r w:rsidRPr="004502E5">
        <w:t>We also express our appreciation to the Secretary of the Department of Premier and Cabinet who facilitated the placement of Philip Foulston and Clare Jacobs with the Commission at various times during the Inquiry. The research, administrative and drafting support provided by Philip and Clare has been invaluable.</w:t>
      </w:r>
    </w:p>
    <w:p w:rsidR="00C30766" w:rsidRDefault="00C30766" w:rsidP="004502E5">
      <w:pPr>
        <w:pStyle w:val="textbasic"/>
      </w:pPr>
    </w:p>
    <w:p w:rsidR="006E4257" w:rsidRDefault="006E4257" w:rsidP="004502E5">
      <w:pPr>
        <w:pStyle w:val="textbasic"/>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118"/>
        <w:gridCol w:w="3322"/>
      </w:tblGrid>
      <w:tr w:rsidR="00C30766" w:rsidTr="00C30766">
        <w:tc>
          <w:tcPr>
            <w:tcW w:w="2802" w:type="dxa"/>
          </w:tcPr>
          <w:p w:rsidR="00C30766" w:rsidRDefault="00C30766" w:rsidP="00C30766">
            <w:pPr>
              <w:spacing w:after="0"/>
              <w:rPr>
                <w:sz w:val="18"/>
                <w:szCs w:val="18"/>
                <w:lang w:val="en-US"/>
              </w:rPr>
            </w:pPr>
            <w:r w:rsidRPr="0096612F">
              <w:rPr>
                <w:sz w:val="18"/>
                <w:szCs w:val="18"/>
                <w:lang w:val="en-US"/>
              </w:rPr>
              <w:t xml:space="preserve">Tim Abey </w:t>
            </w:r>
            <w:r>
              <w:rPr>
                <w:sz w:val="18"/>
                <w:szCs w:val="18"/>
                <w:lang w:val="en-US"/>
              </w:rPr>
              <w:br/>
            </w:r>
            <w:r w:rsidRPr="0096612F">
              <w:rPr>
                <w:sz w:val="18"/>
                <w:szCs w:val="18"/>
                <w:lang w:val="en-US"/>
              </w:rPr>
              <w:t>(President)</w:t>
            </w:r>
            <w:r>
              <w:rPr>
                <w:sz w:val="18"/>
                <w:szCs w:val="18"/>
                <w:lang w:val="en-US"/>
              </w:rPr>
              <w:br/>
              <w:t>29 February 2016</w:t>
            </w:r>
          </w:p>
        </w:tc>
        <w:tc>
          <w:tcPr>
            <w:tcW w:w="3118" w:type="dxa"/>
          </w:tcPr>
          <w:p w:rsidR="00C30766" w:rsidRDefault="00C30766" w:rsidP="00C30766">
            <w:pPr>
              <w:spacing w:after="0"/>
              <w:rPr>
                <w:sz w:val="18"/>
                <w:szCs w:val="18"/>
                <w:lang w:val="en-US"/>
              </w:rPr>
            </w:pPr>
            <w:r w:rsidRPr="0096612F">
              <w:rPr>
                <w:sz w:val="18"/>
                <w:szCs w:val="18"/>
                <w:lang w:val="en-US"/>
              </w:rPr>
              <w:t xml:space="preserve">Nicole Wells </w:t>
            </w:r>
            <w:r>
              <w:rPr>
                <w:sz w:val="18"/>
                <w:szCs w:val="18"/>
                <w:lang w:val="en-US"/>
              </w:rPr>
              <w:br/>
            </w:r>
            <w:r w:rsidRPr="0096612F">
              <w:rPr>
                <w:sz w:val="18"/>
                <w:szCs w:val="18"/>
                <w:lang w:val="en-US"/>
              </w:rPr>
              <w:t>(Deputy President)</w:t>
            </w:r>
          </w:p>
        </w:tc>
        <w:tc>
          <w:tcPr>
            <w:tcW w:w="3322" w:type="dxa"/>
          </w:tcPr>
          <w:p w:rsidR="00C30766" w:rsidRDefault="00C30766" w:rsidP="00C30766">
            <w:pPr>
              <w:spacing w:after="0"/>
              <w:rPr>
                <w:sz w:val="18"/>
                <w:szCs w:val="18"/>
                <w:lang w:val="en-US"/>
              </w:rPr>
            </w:pPr>
            <w:r w:rsidRPr="0096612F">
              <w:rPr>
                <w:sz w:val="18"/>
                <w:szCs w:val="18"/>
                <w:lang w:val="en-US"/>
              </w:rPr>
              <w:t xml:space="preserve">Michael Roberts </w:t>
            </w:r>
            <w:r>
              <w:rPr>
                <w:sz w:val="18"/>
                <w:szCs w:val="18"/>
                <w:lang w:val="en-US"/>
              </w:rPr>
              <w:br/>
            </w:r>
            <w:r w:rsidRPr="0096612F">
              <w:rPr>
                <w:sz w:val="18"/>
                <w:szCs w:val="18"/>
                <w:lang w:val="en-US"/>
              </w:rPr>
              <w:t>(Commissioner)</w:t>
            </w:r>
          </w:p>
        </w:tc>
      </w:tr>
    </w:tbl>
    <w:p w:rsidR="00F8689A" w:rsidRPr="00905393" w:rsidRDefault="00F8689A" w:rsidP="00905393">
      <w:pPr>
        <w:jc w:val="both"/>
      </w:pPr>
    </w:p>
    <w:p w:rsidR="008E3762" w:rsidRDefault="008E3762" w:rsidP="005A4A68">
      <w:pPr>
        <w:jc w:val="both"/>
        <w:rPr>
          <w:b/>
          <w:lang w:val="en-US"/>
        </w:rPr>
        <w:sectPr w:rsidR="008E3762">
          <w:footerReference w:type="default" r:id="rId21"/>
          <w:pgSz w:w="11906" w:h="16838"/>
          <w:pgMar w:top="1440" w:right="1440" w:bottom="1440" w:left="1440" w:header="708" w:footer="708" w:gutter="0"/>
          <w:cols w:space="708"/>
          <w:docGrid w:linePitch="360"/>
        </w:sectPr>
      </w:pPr>
    </w:p>
    <w:p w:rsidR="00E94639" w:rsidRDefault="000F1917" w:rsidP="00E94639">
      <w:pPr>
        <w:pStyle w:val="Heading1"/>
      </w:pPr>
      <w:bookmarkStart w:id="103" w:name="_Toc443486968"/>
      <w:r w:rsidRPr="00E94639">
        <w:rPr>
          <w:rStyle w:val="Heading2Char"/>
          <w:bCs/>
          <w:iCs w:val="0"/>
        </w:rPr>
        <w:lastRenderedPageBreak/>
        <w:t>Appendix</w:t>
      </w:r>
      <w:r w:rsidR="00035CEC" w:rsidRPr="00E94639">
        <w:rPr>
          <w:rStyle w:val="Heading2Char"/>
          <w:bCs/>
          <w:iCs w:val="0"/>
        </w:rPr>
        <w:t xml:space="preserve"> 1</w:t>
      </w:r>
      <w:r w:rsidR="00E94639">
        <w:rPr>
          <w:rStyle w:val="Heading2Char"/>
          <w:bCs/>
          <w:iCs w:val="0"/>
        </w:rPr>
        <w:t xml:space="preserve"> - </w:t>
      </w:r>
      <w:r w:rsidR="00E94639">
        <w:t>List of Submissions</w:t>
      </w:r>
      <w:bookmarkEnd w:id="103"/>
    </w:p>
    <w:p w:rsidR="00E94639" w:rsidRDefault="00E94639" w:rsidP="00F324DE">
      <w:pPr>
        <w:pStyle w:val="textbasic"/>
      </w:pPr>
      <w:r>
        <w:t>Written submissions were received from the follow individuals and organi</w:t>
      </w:r>
      <w:r w:rsidR="008B77A9">
        <w:t>s</w:t>
      </w:r>
      <w:r>
        <w:t>ation</w:t>
      </w:r>
      <w:r w:rsidR="008B77A9">
        <w:t>s:</w:t>
      </w:r>
    </w:p>
    <w:p w:rsidR="008B77A9" w:rsidRPr="007F25E8" w:rsidRDefault="008B77A9" w:rsidP="008B77A9">
      <w:pPr>
        <w:pStyle w:val="texti"/>
        <w:rPr>
          <w:lang w:val="en-US"/>
        </w:rPr>
      </w:pPr>
      <w:r>
        <w:rPr>
          <w:lang w:val="en-US"/>
        </w:rPr>
        <w:t>(i)</w:t>
      </w:r>
      <w:r>
        <w:rPr>
          <w:lang w:val="en-US"/>
        </w:rPr>
        <w:tab/>
        <w:t>The</w:t>
      </w:r>
      <w:r w:rsidRPr="007F25E8">
        <w:rPr>
          <w:lang w:val="en-US"/>
        </w:rPr>
        <w:t xml:space="preserve"> Australian Nursing and Midwifery Federation </w:t>
      </w:r>
      <w:r w:rsidR="00E14D34">
        <w:rPr>
          <w:lang w:val="en-US"/>
        </w:rPr>
        <w:t>(</w:t>
      </w:r>
      <w:r w:rsidRPr="007F25E8">
        <w:rPr>
          <w:lang w:val="en-US"/>
        </w:rPr>
        <w:t>Tasmanian Branch</w:t>
      </w:r>
      <w:r w:rsidR="00E14D34">
        <w:rPr>
          <w:lang w:val="en-US"/>
        </w:rPr>
        <w:t>)</w:t>
      </w:r>
      <w:r w:rsidR="001F02B2">
        <w:rPr>
          <w:lang w:val="en-US"/>
        </w:rPr>
        <w:t>,</w:t>
      </w:r>
    </w:p>
    <w:p w:rsidR="008B77A9" w:rsidRPr="00E94639" w:rsidRDefault="008B77A9" w:rsidP="008B77A9">
      <w:pPr>
        <w:pStyle w:val="texti"/>
      </w:pPr>
      <w:r>
        <w:t>(ii)</w:t>
      </w:r>
      <w:r>
        <w:tab/>
        <w:t xml:space="preserve">Mr </w:t>
      </w:r>
      <w:r w:rsidRPr="00E94639">
        <w:t>Eric Boglio</w:t>
      </w:r>
      <w:r w:rsidR="001F02B2">
        <w:t>,</w:t>
      </w:r>
    </w:p>
    <w:p w:rsidR="008B77A9" w:rsidRPr="00E94639" w:rsidRDefault="008B77A9" w:rsidP="008B77A9">
      <w:pPr>
        <w:pStyle w:val="texti"/>
        <w:rPr>
          <w:lang w:val="en-US"/>
        </w:rPr>
      </w:pPr>
      <w:r>
        <w:rPr>
          <w:lang w:val="en-US"/>
        </w:rPr>
        <w:t>(iii)</w:t>
      </w:r>
      <w:r>
        <w:rPr>
          <w:lang w:val="en-US"/>
        </w:rPr>
        <w:tab/>
        <w:t xml:space="preserve">Mr </w:t>
      </w:r>
      <w:r w:rsidRPr="00E94639">
        <w:rPr>
          <w:lang w:val="en-US"/>
        </w:rPr>
        <w:t>Richard Chugg</w:t>
      </w:r>
      <w:r w:rsidR="001F02B2">
        <w:rPr>
          <w:lang w:val="en-US"/>
        </w:rPr>
        <w:t>,</w:t>
      </w:r>
    </w:p>
    <w:p w:rsidR="008B77A9" w:rsidRPr="00E94639" w:rsidRDefault="008B77A9" w:rsidP="008B77A9">
      <w:pPr>
        <w:pStyle w:val="texti"/>
        <w:rPr>
          <w:lang w:val="en-US"/>
        </w:rPr>
      </w:pPr>
      <w:r>
        <w:rPr>
          <w:lang w:val="en-US"/>
        </w:rPr>
        <w:t>(iv)</w:t>
      </w:r>
      <w:r>
        <w:rPr>
          <w:lang w:val="en-US"/>
        </w:rPr>
        <w:tab/>
        <w:t xml:space="preserve">Mr </w:t>
      </w:r>
      <w:r w:rsidRPr="00E94639">
        <w:rPr>
          <w:lang w:val="en-US"/>
        </w:rPr>
        <w:t>Peter Cooke</w:t>
      </w:r>
      <w:r w:rsidR="001F02B2">
        <w:rPr>
          <w:lang w:val="en-US"/>
        </w:rPr>
        <w:t>,</w:t>
      </w:r>
    </w:p>
    <w:p w:rsidR="008B77A9" w:rsidRPr="007F25E8" w:rsidRDefault="008B77A9" w:rsidP="008B77A9">
      <w:pPr>
        <w:pStyle w:val="texti"/>
        <w:rPr>
          <w:lang w:val="en-US"/>
        </w:rPr>
      </w:pPr>
      <w:r>
        <w:rPr>
          <w:lang w:val="en-US"/>
        </w:rPr>
        <w:t>(v)</w:t>
      </w:r>
      <w:r>
        <w:rPr>
          <w:lang w:val="en-US"/>
        </w:rPr>
        <w:tab/>
        <w:t xml:space="preserve">The </w:t>
      </w:r>
      <w:r w:rsidRPr="007F25E8">
        <w:rPr>
          <w:lang w:val="en-US"/>
        </w:rPr>
        <w:t xml:space="preserve">Community and Public Sector Union </w:t>
      </w:r>
      <w:r w:rsidR="00E14D34">
        <w:rPr>
          <w:lang w:val="en-US"/>
        </w:rPr>
        <w:t>(</w:t>
      </w:r>
      <w:r w:rsidRPr="007F25E8">
        <w:rPr>
          <w:lang w:val="en-US"/>
        </w:rPr>
        <w:t>SPSF</w:t>
      </w:r>
      <w:r w:rsidR="001F02B2">
        <w:rPr>
          <w:lang w:val="en-US"/>
        </w:rPr>
        <w:t>T</w:t>
      </w:r>
      <w:r w:rsidR="00E14D34">
        <w:rPr>
          <w:lang w:val="en-US"/>
        </w:rPr>
        <w:t>)</w:t>
      </w:r>
      <w:r w:rsidR="001F02B2">
        <w:rPr>
          <w:lang w:val="en-US"/>
        </w:rPr>
        <w:t xml:space="preserve"> Inc.,</w:t>
      </w:r>
    </w:p>
    <w:p w:rsidR="008B77A9" w:rsidRPr="00E94639" w:rsidRDefault="008B77A9" w:rsidP="008B77A9">
      <w:pPr>
        <w:pStyle w:val="texti"/>
        <w:rPr>
          <w:lang w:val="en-US"/>
        </w:rPr>
      </w:pPr>
      <w:r>
        <w:rPr>
          <w:lang w:val="en-US"/>
        </w:rPr>
        <w:t>(vi)</w:t>
      </w:r>
      <w:r>
        <w:rPr>
          <w:lang w:val="en-US"/>
        </w:rPr>
        <w:tab/>
        <w:t xml:space="preserve">The </w:t>
      </w:r>
      <w:r w:rsidRPr="00E94639">
        <w:rPr>
          <w:lang w:val="en-US"/>
        </w:rPr>
        <w:t>Labor Opposition</w:t>
      </w:r>
      <w:r w:rsidR="001F02B2">
        <w:rPr>
          <w:lang w:val="en-US"/>
        </w:rPr>
        <w:t>,</w:t>
      </w:r>
      <w:r w:rsidRPr="00E94639">
        <w:rPr>
          <w:lang w:val="en-US"/>
        </w:rPr>
        <w:t xml:space="preserve"> </w:t>
      </w:r>
    </w:p>
    <w:p w:rsidR="008B77A9" w:rsidRPr="00E94639" w:rsidRDefault="008B77A9" w:rsidP="008B77A9">
      <w:pPr>
        <w:pStyle w:val="texti"/>
        <w:rPr>
          <w:lang w:val="en-US"/>
        </w:rPr>
      </w:pPr>
      <w:r>
        <w:rPr>
          <w:lang w:val="en-US"/>
        </w:rPr>
        <w:t>(vii)</w:t>
      </w:r>
      <w:r>
        <w:rPr>
          <w:lang w:val="en-US"/>
        </w:rPr>
        <w:tab/>
        <w:t xml:space="preserve">Mr </w:t>
      </w:r>
      <w:r w:rsidRPr="00E94639">
        <w:rPr>
          <w:lang w:val="en-US"/>
        </w:rPr>
        <w:t>Graeme Lindsay</w:t>
      </w:r>
      <w:r w:rsidR="001F02B2">
        <w:rPr>
          <w:lang w:val="en-US"/>
        </w:rPr>
        <w:t>,</w:t>
      </w:r>
    </w:p>
    <w:p w:rsidR="008B77A9" w:rsidRPr="00E94639" w:rsidRDefault="008B77A9" w:rsidP="008B77A9">
      <w:pPr>
        <w:pStyle w:val="texti"/>
        <w:rPr>
          <w:lang w:val="en-US"/>
        </w:rPr>
      </w:pPr>
      <w:r>
        <w:rPr>
          <w:lang w:val="en-US"/>
        </w:rPr>
        <w:t>(viii)</w:t>
      </w:r>
      <w:r>
        <w:rPr>
          <w:lang w:val="en-US"/>
        </w:rPr>
        <w:tab/>
        <w:t xml:space="preserve">The </w:t>
      </w:r>
      <w:r w:rsidR="001F02B2">
        <w:rPr>
          <w:lang w:val="en-US"/>
        </w:rPr>
        <w:t>State Service Management Office,</w:t>
      </w:r>
    </w:p>
    <w:p w:rsidR="00E94639" w:rsidRPr="00E94639" w:rsidRDefault="008B77A9" w:rsidP="008B77A9">
      <w:pPr>
        <w:pStyle w:val="texti"/>
        <w:rPr>
          <w:lang w:val="en-US"/>
        </w:rPr>
      </w:pPr>
      <w:r>
        <w:rPr>
          <w:lang w:val="en-US"/>
        </w:rPr>
        <w:t>(ix)</w:t>
      </w:r>
      <w:r>
        <w:rPr>
          <w:lang w:val="en-US"/>
        </w:rPr>
        <w:tab/>
      </w:r>
      <w:r w:rsidR="00E94639">
        <w:rPr>
          <w:lang w:val="en-US"/>
        </w:rPr>
        <w:t xml:space="preserve">The </w:t>
      </w:r>
      <w:r w:rsidR="00E94639" w:rsidRPr="00E94639">
        <w:rPr>
          <w:lang w:val="en-US"/>
        </w:rPr>
        <w:t>Tasmanian Greens</w:t>
      </w:r>
      <w:r w:rsidR="001F02B2">
        <w:rPr>
          <w:lang w:val="en-US"/>
        </w:rPr>
        <w:t>,</w:t>
      </w:r>
    </w:p>
    <w:p w:rsidR="00E94639" w:rsidRPr="00E94639" w:rsidRDefault="008B77A9" w:rsidP="008B77A9">
      <w:pPr>
        <w:pStyle w:val="texti"/>
        <w:rPr>
          <w:lang w:val="en-US"/>
        </w:rPr>
      </w:pPr>
      <w:r>
        <w:rPr>
          <w:lang w:val="en-US"/>
        </w:rPr>
        <w:t>(x)</w:t>
      </w:r>
      <w:r>
        <w:rPr>
          <w:lang w:val="en-US"/>
        </w:rPr>
        <w:tab/>
      </w:r>
      <w:r w:rsidR="00E94639" w:rsidRPr="00E94639">
        <w:rPr>
          <w:lang w:val="en-US"/>
        </w:rPr>
        <w:t>Unio</w:t>
      </w:r>
      <w:r>
        <w:rPr>
          <w:lang w:val="en-US"/>
        </w:rPr>
        <w:t>ns Tasmania</w:t>
      </w:r>
      <w:r w:rsidR="001F02B2">
        <w:rPr>
          <w:lang w:val="en-US"/>
        </w:rPr>
        <w:t>.</w:t>
      </w:r>
    </w:p>
    <w:p w:rsidR="00E94639" w:rsidRPr="00E94639" w:rsidRDefault="00E94639" w:rsidP="008B77A9">
      <w:pPr>
        <w:pStyle w:val="texti"/>
        <w:rPr>
          <w:lang w:val="en-US"/>
        </w:rPr>
      </w:pPr>
    </w:p>
    <w:p w:rsidR="00E94639" w:rsidRPr="00E94639" w:rsidRDefault="008B77A9" w:rsidP="00F324DE">
      <w:pPr>
        <w:pStyle w:val="textbasic"/>
      </w:pPr>
      <w:r>
        <w:t>The Commission also held separate meetings with the Clerk o</w:t>
      </w:r>
      <w:r w:rsidR="00DB2D49">
        <w:t>f</w:t>
      </w:r>
      <w:r>
        <w:t xml:space="preserve"> the Legislative Council and the Clerk of the House of Assembly to </w:t>
      </w:r>
      <w:r w:rsidRPr="008B77A9">
        <w:t>seek factual information and clarification on operational matters related to Parliamentary salaries and allowances</w:t>
      </w:r>
      <w:r w:rsidR="00DB2D49">
        <w:t>.</w:t>
      </w:r>
    </w:p>
    <w:p w:rsidR="008E3762" w:rsidRDefault="008E3762" w:rsidP="00D95A63">
      <w:pPr>
        <w:spacing w:after="120"/>
        <w:jc w:val="both"/>
        <w:rPr>
          <w:szCs w:val="20"/>
          <w:lang w:val="en-US"/>
        </w:rPr>
      </w:pPr>
    </w:p>
    <w:p w:rsidR="00035CEC" w:rsidRDefault="00035CEC" w:rsidP="00D95A63">
      <w:pPr>
        <w:spacing w:after="120"/>
        <w:jc w:val="both"/>
        <w:rPr>
          <w:szCs w:val="20"/>
          <w:lang w:val="en-US"/>
        </w:rPr>
        <w:sectPr w:rsidR="00035CEC">
          <w:pgSz w:w="11906" w:h="16838"/>
          <w:pgMar w:top="1440" w:right="1440" w:bottom="1440" w:left="1440" w:header="708" w:footer="708" w:gutter="0"/>
          <w:cols w:space="708"/>
          <w:docGrid w:linePitch="360"/>
        </w:sectPr>
      </w:pPr>
    </w:p>
    <w:p w:rsidR="00A82D6F" w:rsidRPr="00A82D6F" w:rsidRDefault="00A82D6F" w:rsidP="00A82D6F">
      <w:pPr>
        <w:pStyle w:val="Heading1"/>
      </w:pPr>
      <w:bookmarkStart w:id="104" w:name="_Toc443486969"/>
      <w:r w:rsidRPr="00A82D6F">
        <w:lastRenderedPageBreak/>
        <w:t xml:space="preserve">Appendix </w:t>
      </w:r>
      <w:r>
        <w:t>2</w:t>
      </w:r>
      <w:r w:rsidRPr="00A82D6F">
        <w:t xml:space="preserve"> </w:t>
      </w:r>
      <w:r>
        <w:t xml:space="preserve">- </w:t>
      </w:r>
      <w:r w:rsidRPr="00A82D6F">
        <w:t>History of Salaries in the Tasmanian Parliament</w:t>
      </w:r>
      <w:r>
        <w:rPr>
          <w:rStyle w:val="FootnoteReference"/>
        </w:rPr>
        <w:footnoteReference w:id="106"/>
      </w:r>
      <w:bookmarkEnd w:id="104"/>
    </w:p>
    <w:p w:rsidR="00A82D6F" w:rsidRPr="00A82D6F" w:rsidRDefault="00A82D6F" w:rsidP="005B797F">
      <w:pPr>
        <w:pStyle w:val="textbasic"/>
      </w:pPr>
      <w:r>
        <w:t>1</w:t>
      </w:r>
      <w:r>
        <w:tab/>
      </w:r>
      <w:r w:rsidRPr="00A82D6F">
        <w:t xml:space="preserve">Chronology of Significant Changes to </w:t>
      </w:r>
      <w:r w:rsidR="007F2E75">
        <w:t>MPs</w:t>
      </w:r>
      <w:r w:rsidRPr="00A82D6F">
        <w:t>’ Pay</w:t>
      </w:r>
    </w:p>
    <w:p w:rsidR="00A82D6F" w:rsidRPr="00A82D6F" w:rsidRDefault="00A82D6F" w:rsidP="005B797F">
      <w:pPr>
        <w:pStyle w:val="textbasic"/>
      </w:pPr>
      <w:r>
        <w:t>2</w:t>
      </w:r>
      <w:r>
        <w:tab/>
      </w:r>
      <w:r w:rsidRPr="00A82D6F">
        <w:t>History of Parliamentary Salaries</w:t>
      </w:r>
    </w:p>
    <w:p w:rsidR="00A82D6F" w:rsidRPr="00A82D6F" w:rsidRDefault="00A82D6F" w:rsidP="005B797F">
      <w:pPr>
        <w:pStyle w:val="textbasic"/>
      </w:pPr>
      <w:r>
        <w:t>3</w:t>
      </w:r>
      <w:r>
        <w:tab/>
      </w:r>
      <w:r w:rsidRPr="00A82D6F">
        <w:t xml:space="preserve">Significant Changes to </w:t>
      </w:r>
      <w:r w:rsidR="007F2E75">
        <w:t>MPs</w:t>
      </w:r>
      <w:r w:rsidRPr="00A82D6F">
        <w:t>’ Pay</w:t>
      </w:r>
    </w:p>
    <w:p w:rsidR="00A82D6F" w:rsidRPr="00A82D6F" w:rsidRDefault="00A82D6F" w:rsidP="005B797F">
      <w:pPr>
        <w:pStyle w:val="textbasic"/>
      </w:pPr>
    </w:p>
    <w:p w:rsidR="00A82D6F" w:rsidRPr="00A82D6F" w:rsidRDefault="00A82D6F" w:rsidP="00A82D6F">
      <w:pPr>
        <w:pStyle w:val="Heading1"/>
      </w:pPr>
      <w:r w:rsidRPr="00A82D6F">
        <w:br w:type="page"/>
      </w:r>
    </w:p>
    <w:p w:rsidR="00A82D6F" w:rsidRPr="009547FF" w:rsidRDefault="00A82D6F" w:rsidP="005B797F">
      <w:pPr>
        <w:pStyle w:val="Heading2"/>
        <w:rPr>
          <w:b/>
        </w:rPr>
      </w:pPr>
      <w:bookmarkStart w:id="105" w:name="_Toc443486970"/>
      <w:r w:rsidRPr="009547FF">
        <w:rPr>
          <w:b/>
        </w:rPr>
        <w:lastRenderedPageBreak/>
        <w:t>1</w:t>
      </w:r>
      <w:r w:rsidRPr="009547FF">
        <w:rPr>
          <w:b/>
        </w:rPr>
        <w:tab/>
        <w:t>Chronology of Significant Changes to MPs’ Pay</w:t>
      </w:r>
      <w:bookmarkEnd w:id="105"/>
    </w:p>
    <w:p w:rsidR="00A82D6F" w:rsidRPr="00A82D6F" w:rsidRDefault="00A82D6F" w:rsidP="00A82D6F">
      <w:pPr>
        <w:pStyle w:val="Appendixindent"/>
      </w:pPr>
      <w:r w:rsidRPr="00A82D6F">
        <w:t>1870</w:t>
      </w:r>
      <w:r w:rsidRPr="00A82D6F">
        <w:tab/>
        <w:t xml:space="preserve">September:  A motion to investigate the 'reimbursement' of members is considered at the instigation of Hon. J.D. Balfe, but is withdrawn.  Instead the Victorian Royal Commission Report on Payment of </w:t>
      </w:r>
      <w:r w:rsidR="005A3FC3" w:rsidRPr="00A82D6F">
        <w:t xml:space="preserve">Members </w:t>
      </w:r>
      <w:r w:rsidRPr="00A82D6F">
        <w:t>is tabled as PP79/1870 - again, no action is taken.</w:t>
      </w:r>
    </w:p>
    <w:p w:rsidR="00A82D6F" w:rsidRPr="00A82D6F" w:rsidRDefault="00A82D6F" w:rsidP="00A82D6F">
      <w:pPr>
        <w:pStyle w:val="Appendixindent"/>
      </w:pPr>
      <w:r w:rsidRPr="00A82D6F">
        <w:t>1872</w:t>
      </w:r>
      <w:r w:rsidRPr="00A82D6F">
        <w:tab/>
        <w:t>Dec: A similar motion is moved by Hon. J. Millar.  It too is withdrawn.</w:t>
      </w:r>
    </w:p>
    <w:p w:rsidR="00A82D6F" w:rsidRPr="00A82D6F" w:rsidRDefault="00A82D6F" w:rsidP="00A82D6F">
      <w:pPr>
        <w:pStyle w:val="Appendixindent"/>
      </w:pPr>
      <w:r w:rsidRPr="00A82D6F">
        <w:t>1873</w:t>
      </w:r>
      <w:r w:rsidRPr="00A82D6F">
        <w:tab/>
        <w:t>October: A suggestion to pay MPs one pound (£1) per sitting day is moved by Hon. A. Clerke, but it too fails.</w:t>
      </w:r>
    </w:p>
    <w:p w:rsidR="00A82D6F" w:rsidRPr="00A82D6F" w:rsidRDefault="00A82D6F" w:rsidP="00A82D6F">
      <w:pPr>
        <w:pStyle w:val="Appendixindent"/>
      </w:pPr>
      <w:r w:rsidRPr="00A82D6F">
        <w:t>1874</w:t>
      </w:r>
      <w:r w:rsidRPr="00A82D6F">
        <w:tab/>
        <w:t xml:space="preserve">Hon. J.R. Scott successfully moves a motion on 13 August to establish a Select Committee of the House of Assembly to investigate the </w:t>
      </w:r>
      <w:r w:rsidRPr="00A82D6F">
        <w:rPr>
          <w:i/>
          <w:iCs/>
        </w:rPr>
        <w:t>liquidation</w:t>
      </w:r>
      <w:r w:rsidRPr="00A82D6F">
        <w:t xml:space="preserve"> of members' expenses.  The report, after three meetings of the committee, is tabled as PP69/1874 on 19 August.  However, its main finding is to reiterate the report of the 1870 Victorian Royal Commission.</w:t>
      </w:r>
    </w:p>
    <w:p w:rsidR="00A82D6F" w:rsidRPr="00A82D6F" w:rsidRDefault="00A82D6F" w:rsidP="00A82D6F">
      <w:pPr>
        <w:pStyle w:val="Appendixindent"/>
      </w:pPr>
      <w:r w:rsidRPr="00A82D6F">
        <w:t>1890</w:t>
      </w:r>
      <w:r w:rsidRPr="00A82D6F">
        <w:tab/>
        <w:t xml:space="preserve">Bill No. 67 </w:t>
      </w:r>
      <w:r w:rsidRPr="00A82D6F">
        <w:rPr>
          <w:i/>
          <w:iCs/>
        </w:rPr>
        <w:t>Payment of Members</w:t>
      </w:r>
      <w:r w:rsidRPr="00A82D6F">
        <w:t xml:space="preserve"> is introduced on 22 October and becomes 'Reimbursement of Members of Parliament Act, 54 Victoria No. 20, 1891'.  The aim is to recoup expenses in 'relation to attendance in the discharge of Parliamentary duties'. Half the money is paid in two separate payments.</w:t>
      </w:r>
    </w:p>
    <w:p w:rsidR="00A82D6F" w:rsidRPr="00A82D6F" w:rsidRDefault="00A82D6F" w:rsidP="00A82D6F">
      <w:pPr>
        <w:pStyle w:val="Appendixindent"/>
      </w:pPr>
      <w:r w:rsidRPr="00A82D6F">
        <w:t>1891</w:t>
      </w:r>
      <w:r w:rsidRPr="00A82D6F">
        <w:tab/>
        <w:t>Payment scheme commences from first day of session, namely, 7th July.</w:t>
      </w:r>
    </w:p>
    <w:p w:rsidR="00A82D6F" w:rsidRPr="00A82D6F" w:rsidRDefault="00A82D6F" w:rsidP="00A82D6F">
      <w:pPr>
        <w:pStyle w:val="Appendixindent"/>
      </w:pPr>
      <w:r w:rsidRPr="00A82D6F">
        <w:t>1908</w:t>
      </w:r>
      <w:r w:rsidRPr="00A82D6F">
        <w:tab/>
        <w:t>14 August:  A seven-member Select Committee of the House of Assembly, chaired by Hon. J. Earle is established.  It meets on four occasions and reports on 25 September 1908 as PP48/1908.  Its main finding is for an increase from £100 per annum to £200 per annum to take account of 'larger electoral districts' with concomitant 'greater expenditure and loss of time on the part of Members'.</w:t>
      </w:r>
    </w:p>
    <w:p w:rsidR="00A82D6F" w:rsidRPr="00A82D6F" w:rsidRDefault="00A82D6F" w:rsidP="00A82D6F">
      <w:pPr>
        <w:pStyle w:val="Appendixindent"/>
      </w:pPr>
      <w:r w:rsidRPr="00A82D6F">
        <w:t>1927</w:t>
      </w:r>
      <w:r w:rsidRPr="00A82D6F">
        <w:tab/>
        <w:t>17 August:  Joint Committee appointed to inquire into proposed salary increases to members and office holders.  Reported 30 August (PP23/1927)</w:t>
      </w:r>
      <w:r w:rsidR="005A3FC3">
        <w:t>.</w:t>
      </w:r>
    </w:p>
    <w:p w:rsidR="00A82D6F" w:rsidRPr="00A82D6F" w:rsidRDefault="00A82D6F" w:rsidP="00A82D6F">
      <w:pPr>
        <w:pStyle w:val="Appendixindent"/>
      </w:pPr>
      <w:r w:rsidRPr="00A82D6F">
        <w:t>1942</w:t>
      </w:r>
      <w:r w:rsidRPr="00A82D6F">
        <w:tab/>
        <w:t>Cost of living allowance as used by Public Service is introduced at a rate of 4 shillings per fortnight.</w:t>
      </w:r>
    </w:p>
    <w:p w:rsidR="00A82D6F" w:rsidRPr="00A82D6F" w:rsidRDefault="00A82D6F" w:rsidP="00A82D6F">
      <w:pPr>
        <w:pStyle w:val="Appendixindent"/>
      </w:pPr>
      <w:r w:rsidRPr="00A82D6F">
        <w:t>1948</w:t>
      </w:r>
      <w:r w:rsidRPr="00A82D6F">
        <w:tab/>
        <w:t>11 October: A Committee of Inquiry on Salaries of Members is established, chaired by John Harris.  Its report is tabled in November 1948 as PP42/1948.  Its main finding is to set a basic pay of £800 for Legislative Councillors, with larger amounts for different electorates up to £1 050, and a basic pay for House of Assembly of £850 (Bass) ranging up to £1 050 (Darwin, now Braddon).  Ministers to receive £1 750 and Premier £2 000: plus an entertainment allowance.</w:t>
      </w:r>
    </w:p>
    <w:p w:rsidR="00A82D6F" w:rsidRPr="00A82D6F" w:rsidRDefault="00A82D6F" w:rsidP="00A82D6F">
      <w:pPr>
        <w:pStyle w:val="Appendixindent"/>
      </w:pPr>
      <w:r w:rsidRPr="00A82D6F">
        <w:t>1951</w:t>
      </w:r>
      <w:r w:rsidRPr="00A82D6F">
        <w:tab/>
        <w:t>October:  the Premier, Hon. R. Cosgrove, appoints a Committee of Inquiry chaired by T. Hytten.  Its report dated 16 November, is made PP63/1951.  Its main findings are to take account of cost of living increases since 1948, and to adjust them quarterly, if this is used as a model in the Public Service.</w:t>
      </w:r>
    </w:p>
    <w:p w:rsidR="00A82D6F" w:rsidRPr="00A82D6F" w:rsidRDefault="00A82D6F" w:rsidP="00A82D6F">
      <w:pPr>
        <w:pStyle w:val="Appendixindent"/>
      </w:pPr>
      <w:r w:rsidRPr="00A82D6F">
        <w:t>1953</w:t>
      </w:r>
      <w:r w:rsidRPr="00A82D6F">
        <w:tab/>
        <w:t>The cost of living adjustments are pegged at £382 per annum.</w:t>
      </w:r>
    </w:p>
    <w:p w:rsidR="00A82D6F" w:rsidRPr="00A82D6F" w:rsidRDefault="00A82D6F" w:rsidP="00A82D6F">
      <w:pPr>
        <w:pStyle w:val="Appendixindent"/>
      </w:pPr>
      <w:r w:rsidRPr="00A82D6F">
        <w:t>1955</w:t>
      </w:r>
      <w:r w:rsidRPr="00A82D6F">
        <w:tab/>
        <w:t xml:space="preserve">An Order-in-Council dated 29 March establishes another Committee of Inquiry into Salaries, Allowances and Retiring Allowances of MPs, chaired by J.L. Walker.  The report is signed on 18 April and becomes PP13/1955.  Its main findings include a view that a '... conscientious Member cannot adhere to normal working hours and days'.  It also believes </w:t>
      </w:r>
      <w:r w:rsidRPr="00A82D6F">
        <w:lastRenderedPageBreak/>
        <w:t>that a salary differential between the two Houses is 'justified', but the Legislative Council also gains an electorate allowance ranging from £250 to £350.</w:t>
      </w:r>
    </w:p>
    <w:p w:rsidR="00A82D6F" w:rsidRPr="00A82D6F" w:rsidRDefault="00A82D6F" w:rsidP="00A82D6F">
      <w:pPr>
        <w:pStyle w:val="Appendixindent"/>
      </w:pPr>
      <w:r w:rsidRPr="00A82D6F">
        <w:t>1955</w:t>
      </w:r>
      <w:r w:rsidRPr="00A82D6F">
        <w:tab/>
        <w:t xml:space="preserve">Subsequent to the </w:t>
      </w:r>
      <w:r w:rsidR="005A3FC3" w:rsidRPr="00A82D6F">
        <w:t>report</w:t>
      </w:r>
      <w:r w:rsidRPr="00A82D6F">
        <w:t>, Legislative Councillors refuse to accept other than comparable rates of pay with MHAs.  Thus MHAs basic pay is reduced by £100 per annum whilst their allowances are raised by £100 per annum.</w:t>
      </w:r>
    </w:p>
    <w:p w:rsidR="00A82D6F" w:rsidRPr="00A82D6F" w:rsidRDefault="00A82D6F" w:rsidP="00A82D6F">
      <w:pPr>
        <w:pStyle w:val="Appendixindent"/>
      </w:pPr>
      <w:r w:rsidRPr="00A82D6F">
        <w:t>1960</w:t>
      </w:r>
      <w:r w:rsidRPr="00A82D6F">
        <w:tab/>
        <w:t>15 July:  A Board of Inquiry chaired by W.F. Webb is established.  It reports, after having met on a dozen occasions, on 5 August as PP34/1960.  Its main finding is for a basic pay of £1 850 that would apply to both Houses without any differential; allowances for Legislative Council would range from £250 to £575 per annum and for House of Assembly from £750 to £875 per annum.  The Premier's pay should be £2 200 pounds plus £350 for entertainment.  It also recommends an independent board for salaries of MPs be established.</w:t>
      </w:r>
    </w:p>
    <w:p w:rsidR="00A82D6F" w:rsidRPr="00A82D6F" w:rsidRDefault="00A82D6F" w:rsidP="005A3FC3">
      <w:pPr>
        <w:pStyle w:val="Appendixindent"/>
        <w:tabs>
          <w:tab w:val="left" w:pos="709"/>
        </w:tabs>
        <w:ind w:hanging="992"/>
      </w:pPr>
      <w:r w:rsidRPr="00A82D6F">
        <w:t>1964-73</w:t>
      </w:r>
      <w:r w:rsidRPr="00A82D6F">
        <w:tab/>
        <w:t xml:space="preserve">7 July 1964:  A Parliamentary Salaries Tribunal is established by virtue of </w:t>
      </w:r>
      <w:r w:rsidR="006B6AE0">
        <w:t>t</w:t>
      </w:r>
      <w:r w:rsidR="005A3FC3">
        <w:t xml:space="preserve">he </w:t>
      </w:r>
      <w:r w:rsidRPr="00A82D6F">
        <w:t>Parliamentary Salaries and Allowances Act.  It issues three reports (PP44/1964, PP36/1967 and PP33/1970) before it is abolished in 1973.</w:t>
      </w:r>
    </w:p>
    <w:p w:rsidR="00A82D6F" w:rsidRPr="00A82D6F" w:rsidRDefault="00A82D6F" w:rsidP="00A82D6F">
      <w:pPr>
        <w:pStyle w:val="Appendixindent"/>
      </w:pPr>
      <w:r w:rsidRPr="00A82D6F">
        <w:t>1982</w:t>
      </w:r>
      <w:r w:rsidRPr="00A82D6F">
        <w:tab/>
        <w:t>The incoming Gray Liberal Government legislates (Act No. 14/1982) to freeze members’ pay for a two-year period.  Thus the 1981 basic pay remains effective until 15 June 1983.</w:t>
      </w:r>
    </w:p>
    <w:p w:rsidR="00A82D6F" w:rsidRPr="00A82D6F" w:rsidRDefault="00A82D6F" w:rsidP="00A82D6F">
      <w:pPr>
        <w:pStyle w:val="Appendixindent"/>
      </w:pPr>
      <w:r w:rsidRPr="00A82D6F">
        <w:t>1984</w:t>
      </w:r>
      <w:r w:rsidRPr="00A82D6F">
        <w:tab/>
        <w:t>By virtue of Act No. 30/1984 the Auditor-General is authorised to assess whether or not a Public Service salary increase should automatically apply to MPs also.  This would then be gazetted as the new 'basic salary'.  The act also establishes a three-person Salary Review Committee to assess the basic salary level as at 1 May 1987.</w:t>
      </w:r>
    </w:p>
    <w:p w:rsidR="00A82D6F" w:rsidRPr="00A82D6F" w:rsidRDefault="00A82D6F" w:rsidP="00A82D6F">
      <w:pPr>
        <w:pStyle w:val="Appendixindent"/>
      </w:pPr>
      <w:r w:rsidRPr="00A82D6F">
        <w:t>1984</w:t>
      </w:r>
      <w:r w:rsidRPr="00A82D6F">
        <w:tab/>
        <w:t xml:space="preserve">23 October: By an Order-in-Council a three-person Advisory Committee on Electoral Allowances is established with Mr R. Mather as Chair.  Its report becomes PP19/1985.  Its main recommendation is to increase all such allowances to take account of increases in </w:t>
      </w:r>
      <w:r w:rsidR="005A3FC3">
        <w:t xml:space="preserve">the </w:t>
      </w:r>
      <w:r w:rsidRPr="00A82D6F">
        <w:t>number of electors and length of roads per electorate between 30 June 1973 and 31 December 1984.</w:t>
      </w:r>
    </w:p>
    <w:p w:rsidR="00A82D6F" w:rsidRPr="00A82D6F" w:rsidRDefault="00A82D6F" w:rsidP="00A82D6F">
      <w:pPr>
        <w:pStyle w:val="Appendixindent"/>
      </w:pPr>
      <w:r w:rsidRPr="00A82D6F">
        <w:t>1986</w:t>
      </w:r>
      <w:r w:rsidRPr="00A82D6F">
        <w:tab/>
        <w:t xml:space="preserve">By virtue of Act No. 74/1986 the Government gives effect to a promise to reduce MPs salaries.  Thus a series of reductions is made as follows:  3% for salaries up to $30 000 but less than $40 000, then 4% reduction up to $50 000 after which a 5% reduction would apply. (See House of Assembly </w:t>
      </w:r>
      <w:r w:rsidRPr="00A82D6F">
        <w:rPr>
          <w:i/>
          <w:iCs/>
        </w:rPr>
        <w:t xml:space="preserve">Hansard </w:t>
      </w:r>
      <w:r w:rsidRPr="00A82D6F">
        <w:t>22 July 1986).</w:t>
      </w:r>
    </w:p>
    <w:p w:rsidR="00A82D6F" w:rsidRPr="00A82D6F" w:rsidRDefault="00A82D6F" w:rsidP="00A82D6F">
      <w:pPr>
        <w:pStyle w:val="Appendixindent"/>
      </w:pPr>
      <w:r w:rsidRPr="00A82D6F">
        <w:t>1987</w:t>
      </w:r>
      <w:r w:rsidRPr="00A82D6F">
        <w:tab/>
        <w:t>Salary Review Committee chaired by L. Koerbin (June-July) resolves that 'no pay rise' is warranted.  By Statutory Rule No. 227/1987 the temporary reductions in salary are lifted as of 15 November 1987.</w:t>
      </w:r>
    </w:p>
    <w:p w:rsidR="00A82D6F" w:rsidRPr="00A82D6F" w:rsidRDefault="00A82D6F" w:rsidP="00A82D6F">
      <w:pPr>
        <w:pStyle w:val="Appendixindent"/>
      </w:pPr>
      <w:r w:rsidRPr="00A82D6F">
        <w:t>1988</w:t>
      </w:r>
      <w:r w:rsidRPr="00A82D6F">
        <w:tab/>
        <w:t>By virtue of Act 30/1984 the Auditor-General advises the Government that MPs could not expect a flow-on of 4% given to public servants under the second-tier wage agreement because no productivity offsets applied.</w:t>
      </w:r>
    </w:p>
    <w:p w:rsidR="00A82D6F" w:rsidRPr="00A82D6F" w:rsidRDefault="00A82D6F" w:rsidP="00C61815">
      <w:pPr>
        <w:pStyle w:val="textbasic"/>
        <w:ind w:left="709"/>
      </w:pPr>
      <w:r w:rsidRPr="00C61815">
        <w:rPr>
          <w:rStyle w:val="textbasicChar"/>
        </w:rPr>
        <w:t>Act No. 22/1988 'removes doubts' concerning the above by abolishing the Salaries Review</w:t>
      </w:r>
      <w:r w:rsidRPr="00A82D6F">
        <w:t xml:space="preserve"> Committee and provides a three-part package to MPs:-</w:t>
      </w:r>
    </w:p>
    <w:p w:rsidR="00A82D6F" w:rsidRPr="00C61815" w:rsidRDefault="00A82D6F" w:rsidP="00C61815">
      <w:pPr>
        <w:pStyle w:val="texti"/>
        <w:ind w:left="1276"/>
      </w:pPr>
      <w:r w:rsidRPr="00A82D6F">
        <w:t>1.</w:t>
      </w:r>
      <w:r w:rsidRPr="00A82D6F">
        <w:tab/>
      </w:r>
      <w:r w:rsidRPr="00C61815">
        <w:t xml:space="preserve">Basic pay of $40 102, i.e. 4% back-dated to 1 April 1988 plus permanent equivalence to public service salaries to be determined and gazetted by </w:t>
      </w:r>
      <w:r w:rsidR="005A3FC3">
        <w:t xml:space="preserve">the </w:t>
      </w:r>
      <w:r w:rsidRPr="00C61815">
        <w:t>Auditor-General.</w:t>
      </w:r>
    </w:p>
    <w:p w:rsidR="00A82D6F" w:rsidRPr="00C61815" w:rsidRDefault="00A82D6F" w:rsidP="00C61815">
      <w:pPr>
        <w:pStyle w:val="texti"/>
        <w:ind w:left="1276"/>
      </w:pPr>
      <w:r w:rsidRPr="00C61815">
        <w:lastRenderedPageBreak/>
        <w:t>2.</w:t>
      </w:r>
      <w:r w:rsidRPr="00C61815">
        <w:tab/>
        <w:t>Full telephone rental allowance (at home) and quarterly payment of any one telephone account.</w:t>
      </w:r>
    </w:p>
    <w:p w:rsidR="00A82D6F" w:rsidRPr="00C61815" w:rsidRDefault="00A82D6F" w:rsidP="00C61815">
      <w:pPr>
        <w:pStyle w:val="texti"/>
        <w:ind w:left="1276"/>
      </w:pPr>
      <w:r w:rsidRPr="00C61815">
        <w:t>3.</w:t>
      </w:r>
      <w:r w:rsidRPr="00C61815">
        <w:tab/>
        <w:t>Postal expenses for costs incurred for the discharge of parliamentary duties, paid quarterly.</w:t>
      </w:r>
    </w:p>
    <w:p w:rsidR="00A82D6F" w:rsidRPr="00A82D6F" w:rsidRDefault="00A82D6F" w:rsidP="00C61815">
      <w:pPr>
        <w:pStyle w:val="texti"/>
        <w:ind w:firstLine="0"/>
      </w:pPr>
      <w:r w:rsidRPr="00A82D6F">
        <w:t xml:space="preserve">State Industrial Commission rules in favour of 3% wage rise effective from 15 September 1988 and $10 per week in March 1988.  Statutory Rule No 209/1988, notified in the </w:t>
      </w:r>
      <w:r w:rsidRPr="00A82D6F">
        <w:rPr>
          <w:i/>
          <w:iCs/>
        </w:rPr>
        <w:t xml:space="preserve">Gazette </w:t>
      </w:r>
      <w:r w:rsidRPr="00A82D6F">
        <w:t xml:space="preserve">23 </w:t>
      </w:r>
      <w:r w:rsidR="005A3FC3">
        <w:t xml:space="preserve">of </w:t>
      </w:r>
      <w:r w:rsidRPr="00A82D6F">
        <w:t>November 1988, provides that a Member of Parliament receive an allowance of $300 per quarter for postal expenses, effective 1 April 1988.</w:t>
      </w:r>
    </w:p>
    <w:p w:rsidR="00A82D6F" w:rsidRPr="00A82D6F" w:rsidRDefault="00A82D6F" w:rsidP="00C61815">
      <w:pPr>
        <w:pStyle w:val="Appendixindent"/>
      </w:pPr>
      <w:r w:rsidRPr="00A82D6F">
        <w:t>1989</w:t>
      </w:r>
      <w:r w:rsidRPr="00A82D6F">
        <w:tab/>
        <w:t xml:space="preserve">31 May: </w:t>
      </w:r>
      <w:r w:rsidRPr="00A82D6F">
        <w:rPr>
          <w:i/>
          <w:iCs/>
        </w:rPr>
        <w:t>Government Gazette</w:t>
      </w:r>
      <w:r w:rsidRPr="00A82D6F">
        <w:t xml:space="preserve"> announces two back-dated basic salary increases including the $10 p.w. </w:t>
      </w:r>
      <w:r w:rsidR="005A3FC3">
        <w:t>n</w:t>
      </w:r>
      <w:r w:rsidRPr="00A82D6F">
        <w:t>ational wages rise.</w:t>
      </w:r>
    </w:p>
    <w:p w:rsidR="00A82D6F" w:rsidRPr="00A82D6F" w:rsidRDefault="00A82D6F" w:rsidP="00C61815">
      <w:pPr>
        <w:pStyle w:val="Appendixindent"/>
      </w:pPr>
      <w:r w:rsidRPr="00A82D6F">
        <w:t>1989</w:t>
      </w:r>
      <w:r w:rsidRPr="00A82D6F">
        <w:tab/>
        <w:t xml:space="preserve">6 December:  </w:t>
      </w:r>
      <w:r w:rsidRPr="00A82D6F">
        <w:rPr>
          <w:i/>
          <w:iCs/>
        </w:rPr>
        <w:t>Government Gazette</w:t>
      </w:r>
      <w:r w:rsidRPr="00A82D6F">
        <w:t xml:space="preserve"> sets basic salary at first 3% instalment of 6% national wage decision.</w:t>
      </w:r>
    </w:p>
    <w:p w:rsidR="00A82D6F" w:rsidRPr="00A82D6F" w:rsidRDefault="00A82D6F" w:rsidP="00C61815">
      <w:pPr>
        <w:pStyle w:val="Appendixindent"/>
      </w:pPr>
      <w:r w:rsidRPr="00A82D6F">
        <w:t>1990</w:t>
      </w:r>
      <w:r w:rsidRPr="00A82D6F">
        <w:tab/>
        <w:t xml:space="preserve">29 August:  </w:t>
      </w:r>
      <w:r w:rsidRPr="00A82D6F">
        <w:rPr>
          <w:i/>
          <w:iCs/>
        </w:rPr>
        <w:t>Government Gazette</w:t>
      </w:r>
      <w:r w:rsidRPr="00A82D6F">
        <w:t xml:space="preserve"> announces basic salary as second 3% increase.</w:t>
      </w:r>
    </w:p>
    <w:p w:rsidR="00A82D6F" w:rsidRPr="00A82D6F" w:rsidRDefault="00A82D6F" w:rsidP="00C61815">
      <w:pPr>
        <w:pStyle w:val="Appendixindent"/>
      </w:pPr>
      <w:r w:rsidRPr="00A82D6F">
        <w:t>State Budget 1990-91 sees $120,000 provided for Legislative Councillors</w:t>
      </w:r>
      <w:r w:rsidR="005A3FC3">
        <w:t>’</w:t>
      </w:r>
      <w:r w:rsidRPr="00A82D6F">
        <w:t xml:space="preserve"> 'support staff' and $353,000 provided for Green Independents</w:t>
      </w:r>
      <w:r w:rsidR="005A3FC3">
        <w:t>’</w:t>
      </w:r>
      <w:r w:rsidRPr="00A82D6F">
        <w:t xml:space="preserve"> 'support staff and facilities'. Following a Managers Conference an Independent </w:t>
      </w:r>
      <w:r w:rsidR="005A3FC3" w:rsidRPr="00A82D6F">
        <w:t xml:space="preserve">Assessor </w:t>
      </w:r>
      <w:r w:rsidRPr="00A82D6F">
        <w:t>is established to review all MPs</w:t>
      </w:r>
      <w:r w:rsidR="005A3FC3">
        <w:t>’</w:t>
      </w:r>
      <w:r w:rsidRPr="00A82D6F">
        <w:t xml:space="preserve"> support staff by 1 February 1991.</w:t>
      </w:r>
    </w:p>
    <w:p w:rsidR="00A82D6F" w:rsidRPr="00A82D6F" w:rsidRDefault="00A82D6F" w:rsidP="00C61815">
      <w:pPr>
        <w:pStyle w:val="Appendixindent"/>
      </w:pPr>
      <w:r w:rsidRPr="00A82D6F">
        <w:t>1991</w:t>
      </w:r>
      <w:r w:rsidRPr="00A82D6F">
        <w:tab/>
        <w:t>29 August: Premier Field (ALP) suggests the re-establishment of a Parliamentary Salaries Remuneration 'tribunal' (to include e.g. Judges Salaries) and indicates Cornish Review/Remuneration Tribunal implementation to be 'staggered'.</w:t>
      </w:r>
    </w:p>
    <w:p w:rsidR="00A82D6F" w:rsidRPr="00A82D6F" w:rsidRDefault="00A82D6F" w:rsidP="00C61815">
      <w:pPr>
        <w:pStyle w:val="Appendixindent"/>
      </w:pPr>
      <w:r w:rsidRPr="00A82D6F">
        <w:t>1991</w:t>
      </w:r>
      <w:r w:rsidRPr="00A82D6F">
        <w:tab/>
        <w:t>25 September: Auditor-General details his concerns over 'claims for travel and other allowances for Members of Parliament' and makes a list of recommendations.  Premier Field agrees that a 'review' would be appropriate - his Government already plans a 'Parliamentary Provisions Act' (which does not eventuate).</w:t>
      </w:r>
    </w:p>
    <w:p w:rsidR="00A82D6F" w:rsidRPr="00A82D6F" w:rsidRDefault="00A82D6F" w:rsidP="00C61815">
      <w:pPr>
        <w:pStyle w:val="Appendixindent"/>
      </w:pPr>
      <w:r w:rsidRPr="00A82D6F">
        <w:t>1992</w:t>
      </w:r>
      <w:r w:rsidRPr="00A82D6F">
        <w:tab/>
        <w:t>2 June:  Premier Groom (Lib) introduces bill to phase out superannuation scheme and replace it with 16% 'superannuation support allowance' on top of basic salary for members to obtain their own benefits; however the bill lapses.</w:t>
      </w:r>
    </w:p>
    <w:p w:rsidR="00A82D6F" w:rsidRPr="00A82D6F" w:rsidRDefault="00A82D6F" w:rsidP="00C61815">
      <w:pPr>
        <w:pStyle w:val="Appendixindent"/>
      </w:pPr>
      <w:r w:rsidRPr="00A82D6F">
        <w:t>1993</w:t>
      </w:r>
      <w:r w:rsidRPr="00A82D6F">
        <w:tab/>
        <w:t>18 November:  Premier Groom (Lib) introduces a bill to link Tasmanian MPs</w:t>
      </w:r>
      <w:r w:rsidR="005A3FC3">
        <w:t>’</w:t>
      </w:r>
      <w:r w:rsidRPr="00A82D6F">
        <w:t xml:space="preserve"> pay to that of Commonwealth MPs (95%) and to restructure the various loadings payable to office bearers on top of their bas</w:t>
      </w:r>
      <w:r w:rsidR="005A3FC3">
        <w:t>ic</w:t>
      </w:r>
      <w:r w:rsidRPr="00A82D6F">
        <w:t xml:space="preserve"> pay.  Effective date to be 1 January 1994.  In addition $5 000 is provided to each MHA for equipment purchases (equipment remaining property of Parliament).</w:t>
      </w:r>
    </w:p>
    <w:p w:rsidR="00A82D6F" w:rsidRPr="00A82D6F" w:rsidRDefault="00A82D6F" w:rsidP="00C61815">
      <w:pPr>
        <w:pStyle w:val="Appendixindent"/>
      </w:pPr>
      <w:r w:rsidRPr="00A82D6F">
        <w:t>1994</w:t>
      </w:r>
      <w:r w:rsidRPr="00A82D6F">
        <w:tab/>
        <w:t>1 July:  Premier Groom (Lib) declares that a new allowance payable to Federal MPs ($5</w:t>
      </w:r>
      <w:r w:rsidR="005A3FC3">
        <w:t> </w:t>
      </w:r>
      <w:r w:rsidRPr="00A82D6F">
        <w:t>000 p.a.) is not a portion of the basic pay and thus Tasmanian MPs would not receive 95% of this sum.  He later says legislation would confirm this if necessary but no legislation is forthcoming.</w:t>
      </w:r>
    </w:p>
    <w:p w:rsidR="00A82D6F" w:rsidRPr="00A82D6F" w:rsidRDefault="00A82D6F" w:rsidP="00C61815">
      <w:pPr>
        <w:pStyle w:val="Appendixindent"/>
      </w:pPr>
      <w:r w:rsidRPr="00A82D6F">
        <w:t>1995</w:t>
      </w:r>
      <w:r w:rsidRPr="00A82D6F">
        <w:tab/>
        <w:t>28 March:  Premier Groom (Lib) announces a three-person panel to review the 95% nexus with Federal MPs</w:t>
      </w:r>
      <w:r w:rsidR="005A3FC3">
        <w:t>’</w:t>
      </w:r>
      <w:r w:rsidRPr="00A82D6F">
        <w:t xml:space="preserve"> salary.  21 April:  Bruce Collier (Chair), Keith Marshall and Sir Geoffrey Foot named as review panel, with terms of reference to review 'appropriate proportion' of Federal salary to 'form the basic salary' of Tasmanian MPs.</w:t>
      </w:r>
    </w:p>
    <w:p w:rsidR="00A82D6F" w:rsidRPr="00A82D6F" w:rsidRDefault="00A82D6F" w:rsidP="00C61815">
      <w:pPr>
        <w:pStyle w:val="Appendixindent"/>
      </w:pPr>
      <w:r w:rsidRPr="00A82D6F">
        <w:lastRenderedPageBreak/>
        <w:tab/>
        <w:t>8 June: Collier Report is handed in.  It accepts the 40% pay rise as 'justifiable' and recommends a new phased-in nexus of 97%.  But Premier Groom rejects this and legislates for a nexus of 88.9% instead by the Parliamentary Salaries and Allowances Amendment Act 1995, which receives royal assent on 13 July although deemed to be 'effective' from 30 June 1995.</w:t>
      </w:r>
    </w:p>
    <w:p w:rsidR="00A82D6F" w:rsidRPr="00A82D6F" w:rsidRDefault="00A82D6F" w:rsidP="00C61815">
      <w:pPr>
        <w:pStyle w:val="Appendixindent"/>
      </w:pPr>
      <w:r w:rsidRPr="00A82D6F">
        <w:t>1996</w:t>
      </w:r>
      <w:r w:rsidRPr="00A82D6F">
        <w:tab/>
        <w:t xml:space="preserve">14 May:  Parliament passes the Parliamentary Salaries and Allowances Amendment Act (14/1996) which provides for a review of the basic salary and loadings of all members and office holders.  The review by the </w:t>
      </w:r>
      <w:r w:rsidR="005A3FC3" w:rsidRPr="00A82D6F">
        <w:t xml:space="preserve">Full Bench </w:t>
      </w:r>
      <w:r w:rsidRPr="00A82D6F">
        <w:t>of the Tasmanian Industrial Commission (F.</w:t>
      </w:r>
      <w:r w:rsidR="005A3FC3">
        <w:t> </w:t>
      </w:r>
      <w:r w:rsidRPr="00A82D6F">
        <w:t xml:space="preserve">D. Westwood Chair) would set the percentage link with the Commonwealth MPs rate of pay as at 30 June 1996, such review being unquashable. Thereafter the Auditor-General would cause a notice of determination to be published in the </w:t>
      </w:r>
      <w:r w:rsidRPr="00A82D6F">
        <w:rPr>
          <w:i/>
          <w:iCs/>
        </w:rPr>
        <w:t>Gazette</w:t>
      </w:r>
      <w:r w:rsidRPr="00A82D6F">
        <w:t>, which is to have effect from 1 July in each subsequent year.</w:t>
      </w:r>
    </w:p>
    <w:p w:rsidR="00A82D6F" w:rsidRPr="00A82D6F" w:rsidRDefault="00A82D6F" w:rsidP="00C61815">
      <w:pPr>
        <w:pStyle w:val="Appendixindent"/>
      </w:pPr>
      <w:r w:rsidRPr="00A82D6F">
        <w:t>1997</w:t>
      </w:r>
      <w:r w:rsidRPr="00A82D6F">
        <w:tab/>
        <w:t>15 May:  Industrial Commission publishes its determination, setting Tasmanian MPs</w:t>
      </w:r>
      <w:r w:rsidR="005A3FC3">
        <w:t>’</w:t>
      </w:r>
      <w:r w:rsidRPr="00A82D6F">
        <w:t xml:space="preserve"> salaries at 85.19% of that of a Federal member.  It also publishes its determination of additional salaries and allowances.  This includes an allowance for the Leader of a party with four or more members, other than the Government or the Opposition, for the first time in Tasmania.</w:t>
      </w:r>
    </w:p>
    <w:p w:rsidR="006B6AE0" w:rsidRPr="00A82D6F" w:rsidRDefault="006B6AE0" w:rsidP="006B6AE0">
      <w:pPr>
        <w:pStyle w:val="Appendixindent"/>
      </w:pPr>
      <w:r w:rsidRPr="00A82D6F">
        <w:t>1997</w:t>
      </w:r>
      <w:r w:rsidRPr="00A82D6F">
        <w:tab/>
        <w:t>15 August: Parliament passes the Parliamentary (Disclosure of Interests) Act (22/1996) which establishes a register of pecuniary interests for Tasmanian MPs.  With these steps taken the disbandment is announced of the Extremely Greedy 40% Extra Party, which was established after the MPs 40% pay rise.</w:t>
      </w:r>
    </w:p>
    <w:p w:rsidR="00A82D6F" w:rsidRPr="00A82D6F" w:rsidRDefault="00A82D6F" w:rsidP="00C61815">
      <w:pPr>
        <w:pStyle w:val="Appendixindent"/>
      </w:pPr>
      <w:r w:rsidRPr="00A82D6F">
        <w:t>1997</w:t>
      </w:r>
      <w:r w:rsidRPr="00A82D6F">
        <w:tab/>
        <w:t>October: After revelations regarding spending of MPs</w:t>
      </w:r>
      <w:r w:rsidR="005A3FC3">
        <w:t>’</w:t>
      </w:r>
      <w:r w:rsidRPr="00A82D6F">
        <w:t xml:space="preserve"> allowances Premier Rundle (Lib) and the Leader of the Tasmanian Greens agree to send them to a committee of review.  On 10</w:t>
      </w:r>
      <w:r w:rsidR="005A3FC3">
        <w:t> </w:t>
      </w:r>
      <w:r w:rsidRPr="00A82D6F">
        <w:t>October a separate review commences, although it is composed of the TIC and is to report at the same time as the salary review.</w:t>
      </w:r>
    </w:p>
    <w:p w:rsidR="00A82D6F" w:rsidRPr="00A82D6F" w:rsidRDefault="00A82D6F" w:rsidP="00C61815">
      <w:pPr>
        <w:pStyle w:val="Appendixindent"/>
      </w:pPr>
      <w:r w:rsidRPr="00A82D6F">
        <w:t>1998</w:t>
      </w:r>
      <w:r w:rsidRPr="00A82D6F">
        <w:tab/>
        <w:t>On 17 February, Minister for Finance (Ron Cornish) appoints Dr Vince Fitzgerald (of Allen Consulting Group Pty Ltd</w:t>
      </w:r>
      <w:r w:rsidR="005A3FC3">
        <w:t>)</w:t>
      </w:r>
      <w:r w:rsidRPr="00A82D6F">
        <w:t xml:space="preserve"> to review the superannuation entitlements of future parliamentarians, judges and </w:t>
      </w:r>
      <w:r w:rsidRPr="00A82D6F">
        <w:rPr>
          <w:i/>
          <w:iCs/>
        </w:rPr>
        <w:t>masters</w:t>
      </w:r>
      <w:r w:rsidRPr="00A82D6F">
        <w:t xml:space="preserve"> of Supreme Court.(Report issued April 1998)</w:t>
      </w:r>
    </w:p>
    <w:p w:rsidR="00A82D6F" w:rsidRPr="00A82D6F" w:rsidRDefault="00A82D6F" w:rsidP="00C61815">
      <w:pPr>
        <w:pStyle w:val="Appendixindent"/>
        <w:ind w:firstLine="0"/>
      </w:pPr>
      <w:r w:rsidRPr="00A82D6F">
        <w:t xml:space="preserve">In June, 1998 Tas. Industrial Commission </w:t>
      </w:r>
      <w:r w:rsidR="005A3FC3">
        <w:t xml:space="preserve">is </w:t>
      </w:r>
      <w:r w:rsidRPr="00A82D6F">
        <w:t xml:space="preserve">appointed to report by September, ie to make a determination on the Fitzgerald Report </w:t>
      </w:r>
      <w:r w:rsidR="005A3FC3">
        <w:t>“</w:t>
      </w:r>
      <w:r w:rsidRPr="00A82D6F">
        <w:t>on the percentage of basic salary that should be payable as a retirement income allowance”</w:t>
      </w:r>
    </w:p>
    <w:p w:rsidR="00A82D6F" w:rsidRPr="00A82D6F" w:rsidRDefault="00A82D6F" w:rsidP="00C61815">
      <w:pPr>
        <w:pStyle w:val="Appendixindent"/>
        <w:ind w:firstLine="0"/>
      </w:pPr>
      <w:r w:rsidRPr="00A82D6F">
        <w:t>In July 1998 Auditor-General determined that because Federal MPs had received no increase then due to t</w:t>
      </w:r>
      <w:r w:rsidR="003015CF">
        <w:t>he ‘nexus’ a flow-on to Tas. MP</w:t>
      </w:r>
      <w:r w:rsidRPr="00A82D6F">
        <w:t>s was available</w:t>
      </w:r>
    </w:p>
    <w:p w:rsidR="00A82D6F" w:rsidRPr="00A82D6F" w:rsidRDefault="00A82D6F" w:rsidP="00C61815">
      <w:pPr>
        <w:pStyle w:val="Appendixindent"/>
        <w:ind w:firstLine="0"/>
      </w:pPr>
      <w:r w:rsidRPr="00A82D6F">
        <w:t xml:space="preserve">Federal Members of Parliament agree a pay rise of 10% in two stages: 5% 1/7/00 and </w:t>
      </w:r>
      <w:r w:rsidR="003015CF">
        <w:t>5% 1/7/01. Because Tasmanian MP</w:t>
      </w:r>
      <w:r w:rsidRPr="00A82D6F">
        <w:t>s</w:t>
      </w:r>
      <w:r w:rsidR="003015CF">
        <w:t>’</w:t>
      </w:r>
      <w:r w:rsidRPr="00A82D6F">
        <w:t xml:space="preserve"> salary has a 85.19% nexus with Federal MPs</w:t>
      </w:r>
      <w:r w:rsidR="003015CF">
        <w:t>’</w:t>
      </w:r>
      <w:r w:rsidRPr="00A82D6F">
        <w:t xml:space="preserve"> pay rise calculated by Audit Office. It comes to 4.45% as of 1/7/00.</w:t>
      </w:r>
    </w:p>
    <w:p w:rsidR="00C61815" w:rsidRDefault="00A82D6F" w:rsidP="00C61815">
      <w:pPr>
        <w:pStyle w:val="Appendixindent"/>
      </w:pPr>
      <w:r w:rsidRPr="00A82D6F">
        <w:t>1999</w:t>
      </w:r>
      <w:r w:rsidRPr="00A82D6F">
        <w:tab/>
        <w:t xml:space="preserve">In 1 July 1999 Premier Jim Bacon announces that the Government will implement recommendations of Full Bench of Tas. Industrial Commission, (F D Westwood-Chair). </w:t>
      </w:r>
      <w:r w:rsidRPr="00A82D6F">
        <w:rPr>
          <w:i/>
        </w:rPr>
        <w:t>“Report of the Committee of Review in</w:t>
      </w:r>
      <w:r w:rsidR="003015CF">
        <w:rPr>
          <w:i/>
        </w:rPr>
        <w:t>quiring into entitlements of MP</w:t>
      </w:r>
      <w:r w:rsidRPr="00A82D6F">
        <w:rPr>
          <w:i/>
        </w:rPr>
        <w:t>s regarding retirement income allowances and re-establishment allowances”</w:t>
      </w:r>
      <w:r w:rsidRPr="00A82D6F">
        <w:t xml:space="preserve"> (June 1999).</w:t>
      </w:r>
    </w:p>
    <w:p w:rsidR="00A82D6F" w:rsidRPr="00A82D6F" w:rsidRDefault="00A82D6F" w:rsidP="00C61815">
      <w:pPr>
        <w:pStyle w:val="Appendixindent"/>
        <w:ind w:firstLine="0"/>
      </w:pPr>
      <w:r w:rsidRPr="00A82D6F">
        <w:t xml:space="preserve">Report of the Tribunal appointed to </w:t>
      </w:r>
      <w:r w:rsidR="003015CF" w:rsidRPr="00A82D6F">
        <w:t xml:space="preserve">determine </w:t>
      </w:r>
      <w:r w:rsidRPr="00A82D6F">
        <w:t>Electorate Allowances payable to all members of the Legislative Council released (15 September, see allowances tabulation)</w:t>
      </w:r>
    </w:p>
    <w:p w:rsidR="00A82D6F" w:rsidRPr="00A82D6F" w:rsidRDefault="00A82D6F" w:rsidP="00C61815">
      <w:pPr>
        <w:pStyle w:val="Appendixindent"/>
        <w:ind w:firstLine="0"/>
      </w:pPr>
      <w:r w:rsidRPr="00A82D6F">
        <w:lastRenderedPageBreak/>
        <w:t>Continuing Prof</w:t>
      </w:r>
      <w:r w:rsidR="003015CF">
        <w:t>essional</w:t>
      </w:r>
      <w:r w:rsidRPr="00A82D6F">
        <w:t xml:space="preserve"> Dev</w:t>
      </w:r>
      <w:r w:rsidR="003015CF">
        <w:t>elopment</w:t>
      </w:r>
      <w:r w:rsidRPr="00A82D6F">
        <w:t xml:space="preserve"> Allowance of $3 000 applied from 1998-2006: reports of the travel undertaken were lodged with the Parliamentary Library</w:t>
      </w:r>
    </w:p>
    <w:p w:rsidR="00A82D6F" w:rsidRPr="00A82D6F" w:rsidRDefault="00A82D6F" w:rsidP="00C61815">
      <w:pPr>
        <w:pStyle w:val="Appendixindent"/>
      </w:pPr>
      <w:r w:rsidRPr="00A82D6F">
        <w:t>2006</w:t>
      </w:r>
      <w:r w:rsidRPr="00A82D6F">
        <w:tab/>
        <w:t>Second Committee of Review reports (August 2006) and recommended eg. motor vehicle allowance or a car per Member. It also abolished the Continuing Professional Development Allowances (used for travel from 1998).</w:t>
      </w:r>
    </w:p>
    <w:p w:rsidR="00A82D6F" w:rsidRPr="00A82D6F" w:rsidRDefault="00A82D6F" w:rsidP="00C61815">
      <w:pPr>
        <w:pStyle w:val="Appendixindent"/>
      </w:pPr>
      <w:r w:rsidRPr="00A82D6F">
        <w:t>2011</w:t>
      </w:r>
      <w:r w:rsidRPr="00A82D6F">
        <w:tab/>
        <w:t>Legislation passed to fix rise in MPs</w:t>
      </w:r>
      <w:r w:rsidR="003015CF">
        <w:t>’</w:t>
      </w:r>
      <w:r w:rsidRPr="00A82D6F">
        <w:t xml:space="preserve"> salaries for 2011/12 to 2% in line with </w:t>
      </w:r>
      <w:r w:rsidR="003015CF">
        <w:t>the G</w:t>
      </w:r>
      <w:r w:rsidRPr="00A82D6F">
        <w:t>overnment</w:t>
      </w:r>
      <w:r w:rsidR="003015CF">
        <w:t>’</w:t>
      </w:r>
      <w:r w:rsidRPr="00A82D6F">
        <w:t>s wages policy.</w:t>
      </w:r>
    </w:p>
    <w:p w:rsidR="00A82D6F" w:rsidRPr="00A82D6F" w:rsidRDefault="00A82D6F" w:rsidP="00C61815">
      <w:pPr>
        <w:pStyle w:val="Appendixindent"/>
      </w:pPr>
      <w:r w:rsidRPr="00A82D6F">
        <w:t>2012</w:t>
      </w:r>
      <w:r w:rsidRPr="00A82D6F">
        <w:tab/>
        <w:t>Legislation passed to fix rise in MPs salaries for 2012/13 and 2013/14 to 2% in line with governments wages policy</w:t>
      </w:r>
    </w:p>
    <w:p w:rsidR="00A82D6F" w:rsidRPr="00A82D6F" w:rsidRDefault="00A82D6F" w:rsidP="00C61815">
      <w:pPr>
        <w:pStyle w:val="Appendixindent"/>
      </w:pPr>
      <w:r w:rsidRPr="00A82D6F">
        <w:t>2012</w:t>
      </w:r>
      <w:r w:rsidRPr="00A82D6F">
        <w:tab/>
        <w:t xml:space="preserve">June 2013: Order-in-Council </w:t>
      </w:r>
      <w:r w:rsidR="00C61815" w:rsidRPr="00A82D6F">
        <w:t xml:space="preserve">appoints Timothy John Abey (who shall chair the tribunal), Nicole Mary Wells and Barbara Deegan </w:t>
      </w:r>
      <w:r w:rsidRPr="00A82D6F">
        <w:t xml:space="preserve">to be a tribunal to inquire into the basic salary for Members of the Tasmanian Parliament as required by the </w:t>
      </w:r>
      <w:r w:rsidRPr="00A82D6F">
        <w:rPr>
          <w:i/>
          <w:iCs/>
        </w:rPr>
        <w:t>Parliamentary Salaries, Superannuation and Allowances Act 2012.</w:t>
      </w:r>
    </w:p>
    <w:p w:rsidR="00A82D6F" w:rsidRDefault="00A82D6F" w:rsidP="00C61815">
      <w:pPr>
        <w:pStyle w:val="Appendixindent"/>
      </w:pPr>
      <w:r w:rsidRPr="00A82D6F">
        <w:t>201</w:t>
      </w:r>
      <w:r w:rsidR="00C61815">
        <w:t>3</w:t>
      </w:r>
      <w:r w:rsidR="006B6AE0">
        <w:tab/>
        <w:t>October,</w:t>
      </w:r>
      <w:r w:rsidRPr="00A82D6F">
        <w:t xml:space="preserve"> Tribunal released issues paper and called for public submissions.</w:t>
      </w:r>
    </w:p>
    <w:p w:rsidR="00C61815" w:rsidRDefault="00C61815" w:rsidP="00C61815">
      <w:pPr>
        <w:pStyle w:val="Appendixindent"/>
        <w:rPr>
          <w:bCs/>
          <w:lang w:val="en-US"/>
        </w:rPr>
      </w:pPr>
      <w:r>
        <w:t>2014</w:t>
      </w:r>
      <w:r>
        <w:tab/>
      </w:r>
      <w:r w:rsidRPr="00C61815">
        <w:rPr>
          <w:bCs/>
          <w:lang w:val="en-US"/>
        </w:rPr>
        <w:t>May 2014</w:t>
      </w:r>
      <w:r>
        <w:rPr>
          <w:bCs/>
          <w:lang w:val="en-US"/>
        </w:rPr>
        <w:t>, Report of the Parliamentary Salaries and Allowances Tribunal Inquiring into Basic Salary, Allowances and Benefits provided to Members of the Tasmanian Parliament</w:t>
      </w:r>
    </w:p>
    <w:p w:rsidR="00C61815" w:rsidRDefault="00C61815" w:rsidP="00C61815">
      <w:pPr>
        <w:pStyle w:val="Appendixindent"/>
        <w:rPr>
          <w:bCs/>
          <w:lang w:val="en-US"/>
        </w:rPr>
      </w:pPr>
      <w:r>
        <w:rPr>
          <w:bCs/>
          <w:lang w:val="en-US"/>
        </w:rPr>
        <w:t>2015</w:t>
      </w:r>
      <w:r>
        <w:rPr>
          <w:bCs/>
          <w:lang w:val="en-US"/>
        </w:rPr>
        <w:tab/>
        <w:t>Legislation passed to fix MPs salaries as at 1 July 2015, and require Full Bench of the Industrial Commission to determine salaries in future, with first determination required by 1 March 2016.</w:t>
      </w:r>
    </w:p>
    <w:p w:rsidR="00C61815" w:rsidRDefault="00C61815" w:rsidP="00C61815">
      <w:pPr>
        <w:pStyle w:val="Appendixindent"/>
        <w:ind w:firstLine="0"/>
        <w:rPr>
          <w:bCs/>
          <w:lang w:val="en-US"/>
        </w:rPr>
      </w:pPr>
      <w:r>
        <w:rPr>
          <w:bCs/>
          <w:lang w:val="en-US"/>
        </w:rPr>
        <w:t xml:space="preserve">September 2015, Full Bench of Commission comprising </w:t>
      </w:r>
      <w:r w:rsidRPr="00C61815">
        <w:rPr>
          <w:bCs/>
        </w:rPr>
        <w:t xml:space="preserve">Timothy John Abey </w:t>
      </w:r>
      <w:r>
        <w:rPr>
          <w:bCs/>
        </w:rPr>
        <w:t>(President)</w:t>
      </w:r>
      <w:r w:rsidRPr="00C61815">
        <w:rPr>
          <w:bCs/>
        </w:rPr>
        <w:t xml:space="preserve">), Nicole Mary Wells </w:t>
      </w:r>
      <w:r>
        <w:rPr>
          <w:bCs/>
        </w:rPr>
        <w:t xml:space="preserve">(Deputy President) </w:t>
      </w:r>
      <w:r w:rsidRPr="00C61815">
        <w:rPr>
          <w:bCs/>
        </w:rPr>
        <w:t xml:space="preserve">and </w:t>
      </w:r>
      <w:r>
        <w:rPr>
          <w:bCs/>
        </w:rPr>
        <w:t>Michael Roberts</w:t>
      </w:r>
      <w:r>
        <w:rPr>
          <w:bCs/>
          <w:lang w:val="en-US"/>
        </w:rPr>
        <w:t xml:space="preserve"> (Commissioner) releases </w:t>
      </w:r>
      <w:r w:rsidR="00A82D6F" w:rsidRPr="00C61815">
        <w:rPr>
          <w:bCs/>
        </w:rPr>
        <w:t>issues paper and call</w:t>
      </w:r>
      <w:r w:rsidR="003015CF">
        <w:rPr>
          <w:bCs/>
        </w:rPr>
        <w:t>s</w:t>
      </w:r>
      <w:r w:rsidR="00A82D6F" w:rsidRPr="00C61815">
        <w:rPr>
          <w:bCs/>
        </w:rPr>
        <w:t xml:space="preserve"> for public submissions</w:t>
      </w:r>
      <w:r>
        <w:rPr>
          <w:bCs/>
        </w:rPr>
        <w:t>.</w:t>
      </w:r>
    </w:p>
    <w:p w:rsidR="00C61815" w:rsidRPr="00A82D6F" w:rsidRDefault="00C61815" w:rsidP="00C61815">
      <w:pPr>
        <w:pStyle w:val="Appendixindent"/>
      </w:pPr>
      <w:r>
        <w:rPr>
          <w:bCs/>
          <w:lang w:val="en-US"/>
        </w:rPr>
        <w:t>2016</w:t>
      </w:r>
      <w:r>
        <w:rPr>
          <w:bCs/>
          <w:lang w:val="en-US"/>
        </w:rPr>
        <w:tab/>
        <w:t>February</w:t>
      </w:r>
      <w:r w:rsidR="006B6AE0">
        <w:rPr>
          <w:bCs/>
          <w:lang w:val="en-US"/>
        </w:rPr>
        <w:t>,</w:t>
      </w:r>
      <w:r>
        <w:rPr>
          <w:bCs/>
          <w:lang w:val="en-US"/>
        </w:rPr>
        <w:t xml:space="preserve"> </w:t>
      </w:r>
      <w:r w:rsidRPr="00C61815">
        <w:rPr>
          <w:bCs/>
          <w:lang w:val="en-US"/>
        </w:rPr>
        <w:t xml:space="preserve">Full Bench of Commission </w:t>
      </w:r>
      <w:r>
        <w:rPr>
          <w:bCs/>
          <w:lang w:val="en-US"/>
        </w:rPr>
        <w:t>produces first Report and Determination</w:t>
      </w:r>
      <w:r w:rsidR="003015CF">
        <w:rPr>
          <w:bCs/>
          <w:lang w:val="en-US"/>
        </w:rPr>
        <w:t>.</w:t>
      </w:r>
      <w:r>
        <w:rPr>
          <w:bCs/>
          <w:lang w:val="en-US"/>
        </w:rPr>
        <w:t xml:space="preserve"> </w:t>
      </w:r>
    </w:p>
    <w:p w:rsidR="00A82D6F" w:rsidRPr="009547FF" w:rsidRDefault="00A82D6F" w:rsidP="005B797F">
      <w:pPr>
        <w:pStyle w:val="Heading2"/>
        <w:rPr>
          <w:b/>
        </w:rPr>
      </w:pPr>
      <w:r w:rsidRPr="00A82D6F">
        <w:br w:type="page"/>
      </w:r>
      <w:bookmarkStart w:id="106" w:name="_Toc443486971"/>
      <w:r w:rsidR="005B797F" w:rsidRPr="009547FF">
        <w:rPr>
          <w:b/>
        </w:rPr>
        <w:lastRenderedPageBreak/>
        <w:t>2</w:t>
      </w:r>
      <w:r w:rsidR="005B797F" w:rsidRPr="009547FF">
        <w:rPr>
          <w:b/>
        </w:rPr>
        <w:tab/>
      </w:r>
      <w:r w:rsidRPr="009547FF">
        <w:rPr>
          <w:b/>
        </w:rPr>
        <w:t>History of Parliamentary Salaries</w:t>
      </w:r>
      <w:bookmarkEnd w:id="106"/>
    </w:p>
    <w:tbl>
      <w:tblPr>
        <w:tblStyle w:val="TableGrid"/>
        <w:tblW w:w="0" w:type="auto"/>
        <w:tblLook w:val="04A0" w:firstRow="1" w:lastRow="0" w:firstColumn="1" w:lastColumn="0" w:noHBand="0" w:noVBand="1"/>
      </w:tblPr>
      <w:tblGrid>
        <w:gridCol w:w="1037"/>
        <w:gridCol w:w="6078"/>
        <w:gridCol w:w="2127"/>
      </w:tblGrid>
      <w:tr w:rsidR="009547FF" w:rsidRPr="009547FF" w:rsidTr="00060E2B">
        <w:trPr>
          <w:cantSplit/>
          <w:tblHeader/>
        </w:trPr>
        <w:tc>
          <w:tcPr>
            <w:tcW w:w="1037" w:type="dxa"/>
            <w:shd w:val="clear" w:color="auto" w:fill="D9D9D9" w:themeFill="background1" w:themeFillShade="D9"/>
          </w:tcPr>
          <w:p w:rsidR="009547FF" w:rsidRPr="009547FF" w:rsidRDefault="009547FF" w:rsidP="001C028F">
            <w:pPr>
              <w:pStyle w:val="textbasic"/>
              <w:spacing w:before="120" w:line="240" w:lineRule="auto"/>
              <w:jc w:val="left"/>
              <w:rPr>
                <w:b/>
              </w:rPr>
            </w:pPr>
            <w:r w:rsidRPr="009547FF">
              <w:rPr>
                <w:b/>
              </w:rPr>
              <w:t>Year</w:t>
            </w:r>
          </w:p>
        </w:tc>
        <w:tc>
          <w:tcPr>
            <w:tcW w:w="6078" w:type="dxa"/>
            <w:shd w:val="clear" w:color="auto" w:fill="D9D9D9" w:themeFill="background1" w:themeFillShade="D9"/>
          </w:tcPr>
          <w:p w:rsidR="009547FF" w:rsidRPr="009547FF" w:rsidRDefault="009547FF" w:rsidP="001C028F">
            <w:pPr>
              <w:pStyle w:val="textbasic"/>
              <w:spacing w:before="120" w:line="240" w:lineRule="auto"/>
              <w:jc w:val="left"/>
              <w:rPr>
                <w:b/>
              </w:rPr>
            </w:pPr>
            <w:r w:rsidRPr="009547FF">
              <w:rPr>
                <w:b/>
              </w:rPr>
              <w:t>Title</w:t>
            </w:r>
          </w:p>
        </w:tc>
        <w:tc>
          <w:tcPr>
            <w:tcW w:w="2127" w:type="dxa"/>
            <w:shd w:val="clear" w:color="auto" w:fill="D9D9D9" w:themeFill="background1" w:themeFillShade="D9"/>
          </w:tcPr>
          <w:p w:rsidR="009547FF" w:rsidRPr="009547FF" w:rsidRDefault="009547FF" w:rsidP="001C028F">
            <w:pPr>
              <w:pStyle w:val="textbasic"/>
              <w:spacing w:before="120" w:line="240" w:lineRule="auto"/>
              <w:jc w:val="left"/>
              <w:rPr>
                <w:b/>
              </w:rPr>
            </w:pPr>
            <w:r w:rsidRPr="009547FF">
              <w:rPr>
                <w:b/>
              </w:rPr>
              <w:t>Act No.</w:t>
            </w:r>
          </w:p>
        </w:tc>
      </w:tr>
      <w:tr w:rsidR="009547FF" w:rsidRPr="009547FF" w:rsidTr="009547FF">
        <w:tc>
          <w:tcPr>
            <w:tcW w:w="1037" w:type="dxa"/>
          </w:tcPr>
          <w:p w:rsidR="009547FF" w:rsidRPr="009547FF" w:rsidRDefault="009547FF" w:rsidP="009547FF">
            <w:pPr>
              <w:pStyle w:val="textbasic"/>
              <w:jc w:val="left"/>
            </w:pPr>
            <w:r w:rsidRPr="009547FF">
              <w:t>1882  </w:t>
            </w:r>
          </w:p>
        </w:tc>
        <w:tc>
          <w:tcPr>
            <w:tcW w:w="6078" w:type="dxa"/>
          </w:tcPr>
          <w:p w:rsidR="009547FF" w:rsidRPr="009547FF" w:rsidRDefault="009547FF" w:rsidP="009547FF">
            <w:pPr>
              <w:pStyle w:val="textbasic"/>
              <w:jc w:val="left"/>
            </w:pPr>
            <w:r w:rsidRPr="009547FF">
              <w:t>Responsible Ministers' Salaries Act</w:t>
            </w:r>
          </w:p>
        </w:tc>
        <w:tc>
          <w:tcPr>
            <w:tcW w:w="2127" w:type="dxa"/>
          </w:tcPr>
          <w:p w:rsidR="009547FF" w:rsidRPr="009547FF" w:rsidRDefault="009547FF" w:rsidP="009547FF">
            <w:pPr>
              <w:pStyle w:val="textbasic"/>
              <w:jc w:val="left"/>
            </w:pPr>
            <w:r w:rsidRPr="009547FF">
              <w:t>46 Vict. No. 9</w:t>
            </w:r>
          </w:p>
        </w:tc>
      </w:tr>
      <w:tr w:rsidR="009547FF" w:rsidRPr="009547FF" w:rsidTr="009547FF">
        <w:tc>
          <w:tcPr>
            <w:tcW w:w="1037" w:type="dxa"/>
          </w:tcPr>
          <w:p w:rsidR="009547FF" w:rsidRPr="009547FF" w:rsidRDefault="009547FF" w:rsidP="009547FF">
            <w:pPr>
              <w:pStyle w:val="textbasic"/>
              <w:jc w:val="left"/>
            </w:pPr>
            <w:r w:rsidRPr="009547FF">
              <w:t>1890  </w:t>
            </w:r>
          </w:p>
        </w:tc>
        <w:tc>
          <w:tcPr>
            <w:tcW w:w="6078" w:type="dxa"/>
          </w:tcPr>
          <w:p w:rsidR="009547FF" w:rsidRPr="009547FF" w:rsidRDefault="003015CF" w:rsidP="009547FF">
            <w:pPr>
              <w:pStyle w:val="textbasic"/>
              <w:jc w:val="left"/>
            </w:pPr>
            <w:r>
              <w:t>Reimbursement of Members</w:t>
            </w:r>
            <w:r w:rsidR="009547FF" w:rsidRPr="009547FF">
              <w:t xml:space="preserve"> of Parliament Act</w:t>
            </w:r>
          </w:p>
        </w:tc>
        <w:tc>
          <w:tcPr>
            <w:tcW w:w="2127" w:type="dxa"/>
          </w:tcPr>
          <w:p w:rsidR="009547FF" w:rsidRPr="009547FF" w:rsidRDefault="009547FF" w:rsidP="009547FF">
            <w:pPr>
              <w:pStyle w:val="textbasic"/>
              <w:jc w:val="left"/>
            </w:pPr>
            <w:r w:rsidRPr="009547FF">
              <w:t>54 Vict. No. 20</w:t>
            </w:r>
          </w:p>
        </w:tc>
      </w:tr>
      <w:tr w:rsidR="009547FF" w:rsidRPr="009547FF" w:rsidTr="009547FF">
        <w:tc>
          <w:tcPr>
            <w:tcW w:w="1037" w:type="dxa"/>
          </w:tcPr>
          <w:p w:rsidR="009547FF" w:rsidRPr="009547FF" w:rsidRDefault="009547FF" w:rsidP="009547FF">
            <w:pPr>
              <w:pStyle w:val="textbasic"/>
              <w:jc w:val="left"/>
            </w:pPr>
            <w:r w:rsidRPr="009547FF">
              <w:t>1891  </w:t>
            </w:r>
          </w:p>
        </w:tc>
        <w:tc>
          <w:tcPr>
            <w:tcW w:w="6078" w:type="dxa"/>
          </w:tcPr>
          <w:p w:rsidR="009547FF" w:rsidRPr="009547FF" w:rsidRDefault="003015CF" w:rsidP="009547FF">
            <w:pPr>
              <w:pStyle w:val="textbasic"/>
              <w:jc w:val="left"/>
            </w:pPr>
            <w:r>
              <w:t>Reimbursement of Members</w:t>
            </w:r>
            <w:r w:rsidR="009547FF" w:rsidRPr="009547FF">
              <w:t xml:space="preserve"> of Parliament Act</w:t>
            </w:r>
          </w:p>
        </w:tc>
        <w:tc>
          <w:tcPr>
            <w:tcW w:w="2127" w:type="dxa"/>
          </w:tcPr>
          <w:p w:rsidR="009547FF" w:rsidRPr="009547FF" w:rsidRDefault="009547FF" w:rsidP="009547FF">
            <w:pPr>
              <w:pStyle w:val="textbasic"/>
              <w:jc w:val="left"/>
            </w:pPr>
            <w:r w:rsidRPr="009547FF">
              <w:t>55 Vict. No. 29</w:t>
            </w:r>
          </w:p>
        </w:tc>
      </w:tr>
      <w:tr w:rsidR="009547FF" w:rsidRPr="009547FF" w:rsidTr="009547FF">
        <w:tc>
          <w:tcPr>
            <w:tcW w:w="1037" w:type="dxa"/>
          </w:tcPr>
          <w:p w:rsidR="009547FF" w:rsidRPr="009547FF" w:rsidRDefault="009547FF" w:rsidP="009547FF">
            <w:pPr>
              <w:pStyle w:val="textbasic"/>
              <w:jc w:val="left"/>
            </w:pPr>
            <w:r w:rsidRPr="009547FF">
              <w:t>1892  </w:t>
            </w:r>
          </w:p>
        </w:tc>
        <w:tc>
          <w:tcPr>
            <w:tcW w:w="6078" w:type="dxa"/>
          </w:tcPr>
          <w:p w:rsidR="009547FF" w:rsidRPr="009547FF" w:rsidRDefault="009547FF" w:rsidP="009547FF">
            <w:pPr>
              <w:pStyle w:val="textbasic"/>
              <w:jc w:val="left"/>
            </w:pPr>
            <w:r w:rsidRPr="009547FF">
              <w:t>Responsible Ministers' Salaries, Reduction Act</w:t>
            </w:r>
          </w:p>
        </w:tc>
        <w:tc>
          <w:tcPr>
            <w:tcW w:w="2127" w:type="dxa"/>
          </w:tcPr>
          <w:p w:rsidR="009547FF" w:rsidRPr="009547FF" w:rsidRDefault="009547FF" w:rsidP="009547FF">
            <w:pPr>
              <w:pStyle w:val="textbasic"/>
              <w:jc w:val="left"/>
            </w:pPr>
            <w:r w:rsidRPr="009547FF">
              <w:t>56 Vict. No. 9</w:t>
            </w:r>
          </w:p>
        </w:tc>
      </w:tr>
      <w:tr w:rsidR="009547FF" w:rsidRPr="009547FF" w:rsidTr="009547FF">
        <w:tc>
          <w:tcPr>
            <w:tcW w:w="1037" w:type="dxa"/>
          </w:tcPr>
          <w:p w:rsidR="009547FF" w:rsidRPr="009547FF" w:rsidRDefault="009547FF" w:rsidP="009547FF">
            <w:pPr>
              <w:pStyle w:val="textbasic"/>
              <w:jc w:val="left"/>
            </w:pPr>
            <w:r w:rsidRPr="009547FF">
              <w:t>1894  </w:t>
            </w:r>
          </w:p>
        </w:tc>
        <w:tc>
          <w:tcPr>
            <w:tcW w:w="6078" w:type="dxa"/>
          </w:tcPr>
          <w:p w:rsidR="009547FF" w:rsidRPr="009547FF" w:rsidRDefault="009547FF" w:rsidP="009547FF">
            <w:pPr>
              <w:pStyle w:val="textbasic"/>
              <w:jc w:val="left"/>
            </w:pPr>
            <w:r w:rsidRPr="009547FF">
              <w:t>Reduction of Salaries fixed by Law Act</w:t>
            </w:r>
          </w:p>
        </w:tc>
        <w:tc>
          <w:tcPr>
            <w:tcW w:w="2127" w:type="dxa"/>
          </w:tcPr>
          <w:p w:rsidR="009547FF" w:rsidRPr="009547FF" w:rsidRDefault="009547FF" w:rsidP="009547FF">
            <w:pPr>
              <w:pStyle w:val="textbasic"/>
              <w:jc w:val="left"/>
            </w:pPr>
            <w:r w:rsidRPr="009547FF">
              <w:t>58 Vict. No. 42</w:t>
            </w:r>
          </w:p>
        </w:tc>
      </w:tr>
      <w:tr w:rsidR="009547FF" w:rsidRPr="009547FF" w:rsidTr="009547FF">
        <w:tc>
          <w:tcPr>
            <w:tcW w:w="1037" w:type="dxa"/>
          </w:tcPr>
          <w:p w:rsidR="009547FF" w:rsidRPr="009547FF" w:rsidRDefault="009547FF" w:rsidP="009547FF">
            <w:pPr>
              <w:pStyle w:val="textbasic"/>
              <w:jc w:val="left"/>
            </w:pPr>
            <w:r w:rsidRPr="009547FF">
              <w:t>1895  </w:t>
            </w:r>
          </w:p>
        </w:tc>
        <w:tc>
          <w:tcPr>
            <w:tcW w:w="6078" w:type="dxa"/>
          </w:tcPr>
          <w:p w:rsidR="009547FF" w:rsidRPr="009547FF" w:rsidRDefault="009547FF" w:rsidP="009547FF">
            <w:pPr>
              <w:pStyle w:val="textbasic"/>
              <w:jc w:val="left"/>
            </w:pPr>
            <w:r w:rsidRPr="009547FF">
              <w:t>Reduction of Salaries fixed by Law Act</w:t>
            </w:r>
          </w:p>
        </w:tc>
        <w:tc>
          <w:tcPr>
            <w:tcW w:w="2127" w:type="dxa"/>
          </w:tcPr>
          <w:p w:rsidR="009547FF" w:rsidRPr="009547FF" w:rsidRDefault="009547FF" w:rsidP="009547FF">
            <w:pPr>
              <w:pStyle w:val="textbasic"/>
              <w:jc w:val="left"/>
            </w:pPr>
            <w:r w:rsidRPr="009547FF">
              <w:t>59 Vict. No. 41</w:t>
            </w:r>
          </w:p>
        </w:tc>
      </w:tr>
      <w:tr w:rsidR="009547FF" w:rsidRPr="009547FF" w:rsidTr="009547FF">
        <w:tc>
          <w:tcPr>
            <w:tcW w:w="1037" w:type="dxa"/>
          </w:tcPr>
          <w:p w:rsidR="009547FF" w:rsidRPr="009547FF" w:rsidRDefault="009547FF" w:rsidP="009547FF">
            <w:pPr>
              <w:pStyle w:val="textbasic"/>
              <w:jc w:val="left"/>
            </w:pPr>
            <w:r w:rsidRPr="009547FF">
              <w:t>1896  </w:t>
            </w:r>
          </w:p>
        </w:tc>
        <w:tc>
          <w:tcPr>
            <w:tcW w:w="6078" w:type="dxa"/>
          </w:tcPr>
          <w:p w:rsidR="009547FF" w:rsidRPr="009547FF" w:rsidRDefault="009547FF" w:rsidP="009547FF">
            <w:pPr>
              <w:pStyle w:val="textbasic"/>
              <w:jc w:val="left"/>
            </w:pPr>
            <w:r w:rsidRPr="009547FF">
              <w:t>Reduction of Salaries fixed by Law Act</w:t>
            </w:r>
          </w:p>
        </w:tc>
        <w:tc>
          <w:tcPr>
            <w:tcW w:w="2127" w:type="dxa"/>
          </w:tcPr>
          <w:p w:rsidR="009547FF" w:rsidRPr="009547FF" w:rsidRDefault="009547FF" w:rsidP="009547FF">
            <w:pPr>
              <w:pStyle w:val="textbasic"/>
              <w:jc w:val="left"/>
            </w:pPr>
            <w:r w:rsidRPr="009547FF">
              <w:t>60 Vict. No. 41</w:t>
            </w:r>
          </w:p>
        </w:tc>
      </w:tr>
      <w:tr w:rsidR="009547FF" w:rsidRPr="009547FF" w:rsidTr="009547FF">
        <w:tc>
          <w:tcPr>
            <w:tcW w:w="1037" w:type="dxa"/>
          </w:tcPr>
          <w:p w:rsidR="009547FF" w:rsidRPr="009547FF" w:rsidRDefault="009547FF" w:rsidP="009547FF">
            <w:pPr>
              <w:pStyle w:val="textbasic"/>
              <w:jc w:val="left"/>
            </w:pPr>
            <w:r w:rsidRPr="009547FF">
              <w:t>1898  </w:t>
            </w:r>
          </w:p>
        </w:tc>
        <w:tc>
          <w:tcPr>
            <w:tcW w:w="6078" w:type="dxa"/>
          </w:tcPr>
          <w:p w:rsidR="009547FF" w:rsidRPr="009547FF" w:rsidRDefault="009547FF" w:rsidP="009547FF">
            <w:pPr>
              <w:pStyle w:val="textbasic"/>
              <w:jc w:val="left"/>
            </w:pPr>
            <w:r w:rsidRPr="009547FF">
              <w:t>Reduction of Salaries fixed by Law Act</w:t>
            </w:r>
          </w:p>
        </w:tc>
        <w:tc>
          <w:tcPr>
            <w:tcW w:w="2127" w:type="dxa"/>
          </w:tcPr>
          <w:p w:rsidR="009547FF" w:rsidRPr="009547FF" w:rsidRDefault="009547FF" w:rsidP="009547FF">
            <w:pPr>
              <w:pStyle w:val="textbasic"/>
              <w:jc w:val="left"/>
            </w:pPr>
            <w:r w:rsidRPr="009547FF">
              <w:t>62 Vict. No. 55</w:t>
            </w:r>
          </w:p>
        </w:tc>
      </w:tr>
      <w:tr w:rsidR="009547FF" w:rsidRPr="009547FF" w:rsidTr="009547FF">
        <w:tc>
          <w:tcPr>
            <w:tcW w:w="1037" w:type="dxa"/>
          </w:tcPr>
          <w:p w:rsidR="009547FF" w:rsidRPr="009547FF" w:rsidRDefault="009547FF" w:rsidP="009547FF">
            <w:pPr>
              <w:pStyle w:val="textbasic"/>
              <w:jc w:val="left"/>
            </w:pPr>
            <w:r w:rsidRPr="009547FF">
              <w:t>1900  </w:t>
            </w:r>
          </w:p>
        </w:tc>
        <w:tc>
          <w:tcPr>
            <w:tcW w:w="6078" w:type="dxa"/>
          </w:tcPr>
          <w:p w:rsidR="009547FF" w:rsidRPr="009547FF" w:rsidRDefault="003015CF" w:rsidP="009547FF">
            <w:pPr>
              <w:pStyle w:val="textbasic"/>
              <w:jc w:val="left"/>
            </w:pPr>
            <w:r>
              <w:t>Payment of Members</w:t>
            </w:r>
            <w:r w:rsidR="009547FF" w:rsidRPr="009547FF">
              <w:t xml:space="preserve"> Act</w:t>
            </w:r>
          </w:p>
        </w:tc>
        <w:tc>
          <w:tcPr>
            <w:tcW w:w="2127" w:type="dxa"/>
          </w:tcPr>
          <w:p w:rsidR="009547FF" w:rsidRPr="009547FF" w:rsidRDefault="009547FF" w:rsidP="009547FF">
            <w:pPr>
              <w:pStyle w:val="textbasic"/>
              <w:jc w:val="left"/>
            </w:pPr>
            <w:r w:rsidRPr="009547FF">
              <w:t>63 Vict. No. 51</w:t>
            </w:r>
          </w:p>
        </w:tc>
      </w:tr>
      <w:tr w:rsidR="009547FF" w:rsidRPr="009547FF" w:rsidTr="009547FF">
        <w:tc>
          <w:tcPr>
            <w:tcW w:w="1037" w:type="dxa"/>
          </w:tcPr>
          <w:p w:rsidR="009547FF" w:rsidRPr="009547FF" w:rsidRDefault="009547FF" w:rsidP="009547FF">
            <w:pPr>
              <w:pStyle w:val="textbasic"/>
              <w:jc w:val="left"/>
            </w:pPr>
            <w:r w:rsidRPr="009547FF">
              <w:t>1901  </w:t>
            </w:r>
          </w:p>
        </w:tc>
        <w:tc>
          <w:tcPr>
            <w:tcW w:w="6078" w:type="dxa"/>
          </w:tcPr>
          <w:p w:rsidR="009547FF" w:rsidRPr="009547FF" w:rsidRDefault="009547FF" w:rsidP="009547FF">
            <w:pPr>
              <w:pStyle w:val="textbasic"/>
              <w:jc w:val="left"/>
            </w:pPr>
            <w:r w:rsidRPr="009547FF">
              <w:t>Alteration of Salaries fixed by Law Act</w:t>
            </w:r>
          </w:p>
        </w:tc>
        <w:tc>
          <w:tcPr>
            <w:tcW w:w="2127" w:type="dxa"/>
          </w:tcPr>
          <w:p w:rsidR="009547FF" w:rsidRPr="009547FF" w:rsidRDefault="009547FF" w:rsidP="009547FF">
            <w:pPr>
              <w:pStyle w:val="textbasic"/>
              <w:jc w:val="left"/>
            </w:pPr>
            <w:r w:rsidRPr="009547FF">
              <w:t>1 Ed. VII No. 35</w:t>
            </w:r>
          </w:p>
        </w:tc>
      </w:tr>
      <w:tr w:rsidR="009547FF" w:rsidRPr="009547FF" w:rsidTr="009547FF">
        <w:tc>
          <w:tcPr>
            <w:tcW w:w="1037" w:type="dxa"/>
          </w:tcPr>
          <w:p w:rsidR="009547FF" w:rsidRPr="009547FF" w:rsidRDefault="009547FF" w:rsidP="009547FF">
            <w:pPr>
              <w:pStyle w:val="textbasic"/>
              <w:jc w:val="left"/>
            </w:pPr>
            <w:r w:rsidRPr="009547FF">
              <w:t>1902  </w:t>
            </w:r>
          </w:p>
        </w:tc>
        <w:tc>
          <w:tcPr>
            <w:tcW w:w="6078" w:type="dxa"/>
          </w:tcPr>
          <w:p w:rsidR="009547FF" w:rsidRPr="009547FF" w:rsidRDefault="009547FF" w:rsidP="009547FF">
            <w:pPr>
              <w:pStyle w:val="textbasic"/>
              <w:jc w:val="left"/>
            </w:pPr>
            <w:r w:rsidRPr="009547FF">
              <w:t>Alteration of Salaries fixed by Law Act</w:t>
            </w:r>
          </w:p>
        </w:tc>
        <w:tc>
          <w:tcPr>
            <w:tcW w:w="2127" w:type="dxa"/>
          </w:tcPr>
          <w:p w:rsidR="009547FF" w:rsidRPr="009547FF" w:rsidRDefault="009547FF" w:rsidP="009547FF">
            <w:pPr>
              <w:pStyle w:val="textbasic"/>
              <w:jc w:val="left"/>
            </w:pPr>
            <w:r w:rsidRPr="009547FF">
              <w:t>2 Ed. VII No. 44</w:t>
            </w:r>
          </w:p>
        </w:tc>
      </w:tr>
      <w:tr w:rsidR="009547FF" w:rsidRPr="009547FF" w:rsidTr="009547FF">
        <w:tc>
          <w:tcPr>
            <w:tcW w:w="1037" w:type="dxa"/>
          </w:tcPr>
          <w:p w:rsidR="009547FF" w:rsidRPr="009547FF" w:rsidRDefault="009547FF" w:rsidP="009547FF">
            <w:pPr>
              <w:pStyle w:val="textbasic"/>
              <w:jc w:val="left"/>
            </w:pPr>
            <w:r w:rsidRPr="009547FF">
              <w:t>1903  </w:t>
            </w:r>
          </w:p>
        </w:tc>
        <w:tc>
          <w:tcPr>
            <w:tcW w:w="6078" w:type="dxa"/>
          </w:tcPr>
          <w:p w:rsidR="009547FF" w:rsidRPr="009547FF" w:rsidRDefault="009547FF" w:rsidP="009547FF">
            <w:pPr>
              <w:pStyle w:val="textbasic"/>
              <w:jc w:val="left"/>
            </w:pPr>
            <w:r w:rsidRPr="009547FF">
              <w:t>Alteration of Salaries fixed by Law Act</w:t>
            </w:r>
          </w:p>
        </w:tc>
        <w:tc>
          <w:tcPr>
            <w:tcW w:w="2127" w:type="dxa"/>
          </w:tcPr>
          <w:p w:rsidR="009547FF" w:rsidRPr="009547FF" w:rsidRDefault="009547FF" w:rsidP="009547FF">
            <w:pPr>
              <w:pStyle w:val="textbasic"/>
              <w:jc w:val="left"/>
            </w:pPr>
            <w:r w:rsidRPr="009547FF">
              <w:t>3 Ed. VII No. 30</w:t>
            </w:r>
          </w:p>
        </w:tc>
      </w:tr>
      <w:tr w:rsidR="009547FF" w:rsidRPr="009547FF" w:rsidTr="009547FF">
        <w:tc>
          <w:tcPr>
            <w:tcW w:w="1037" w:type="dxa"/>
          </w:tcPr>
          <w:p w:rsidR="009547FF" w:rsidRPr="009547FF" w:rsidRDefault="009547FF" w:rsidP="009547FF">
            <w:pPr>
              <w:pStyle w:val="textbasic"/>
              <w:jc w:val="left"/>
            </w:pPr>
            <w:r w:rsidRPr="009547FF">
              <w:t>1904  </w:t>
            </w:r>
          </w:p>
        </w:tc>
        <w:tc>
          <w:tcPr>
            <w:tcW w:w="6078" w:type="dxa"/>
          </w:tcPr>
          <w:p w:rsidR="009547FF" w:rsidRPr="009547FF" w:rsidRDefault="009547FF" w:rsidP="009547FF">
            <w:pPr>
              <w:pStyle w:val="textbasic"/>
              <w:jc w:val="left"/>
            </w:pPr>
            <w:r w:rsidRPr="009547FF">
              <w:t>Alteration of Salaries fixed by Law Act</w:t>
            </w:r>
          </w:p>
        </w:tc>
        <w:tc>
          <w:tcPr>
            <w:tcW w:w="2127" w:type="dxa"/>
          </w:tcPr>
          <w:p w:rsidR="009547FF" w:rsidRPr="009547FF" w:rsidRDefault="009547FF" w:rsidP="009547FF">
            <w:pPr>
              <w:pStyle w:val="textbasic"/>
              <w:jc w:val="left"/>
            </w:pPr>
            <w:r w:rsidRPr="009547FF">
              <w:t>4 Ed. VII No. 26</w:t>
            </w:r>
          </w:p>
        </w:tc>
      </w:tr>
      <w:tr w:rsidR="009547FF" w:rsidRPr="009547FF" w:rsidTr="009547FF">
        <w:tc>
          <w:tcPr>
            <w:tcW w:w="1037" w:type="dxa"/>
          </w:tcPr>
          <w:p w:rsidR="009547FF" w:rsidRPr="009547FF" w:rsidRDefault="009547FF" w:rsidP="009547FF">
            <w:pPr>
              <w:pStyle w:val="textbasic"/>
              <w:jc w:val="left"/>
            </w:pPr>
            <w:r w:rsidRPr="009547FF">
              <w:t>1905  </w:t>
            </w:r>
          </w:p>
        </w:tc>
        <w:tc>
          <w:tcPr>
            <w:tcW w:w="6078" w:type="dxa"/>
          </w:tcPr>
          <w:p w:rsidR="009547FF" w:rsidRPr="009547FF" w:rsidRDefault="009547FF" w:rsidP="009547FF">
            <w:pPr>
              <w:pStyle w:val="textbasic"/>
              <w:jc w:val="left"/>
            </w:pPr>
            <w:r w:rsidRPr="009547FF">
              <w:t>Alteration of Salaries fixed by Law Act</w:t>
            </w:r>
          </w:p>
        </w:tc>
        <w:tc>
          <w:tcPr>
            <w:tcW w:w="2127" w:type="dxa"/>
          </w:tcPr>
          <w:p w:rsidR="009547FF" w:rsidRPr="009547FF" w:rsidRDefault="009547FF" w:rsidP="009547FF">
            <w:pPr>
              <w:pStyle w:val="textbasic"/>
              <w:jc w:val="left"/>
            </w:pPr>
            <w:r w:rsidRPr="009547FF">
              <w:t>5 Ed. VII No. 41</w:t>
            </w:r>
          </w:p>
        </w:tc>
      </w:tr>
      <w:tr w:rsidR="009547FF" w:rsidRPr="009547FF" w:rsidTr="009547FF">
        <w:tc>
          <w:tcPr>
            <w:tcW w:w="1037" w:type="dxa"/>
          </w:tcPr>
          <w:p w:rsidR="009547FF" w:rsidRPr="009547FF" w:rsidRDefault="009547FF" w:rsidP="009547FF">
            <w:pPr>
              <w:pStyle w:val="textbasic"/>
              <w:jc w:val="left"/>
            </w:pPr>
            <w:r w:rsidRPr="009547FF">
              <w:t>1906  </w:t>
            </w:r>
          </w:p>
        </w:tc>
        <w:tc>
          <w:tcPr>
            <w:tcW w:w="6078" w:type="dxa"/>
          </w:tcPr>
          <w:p w:rsidR="009547FF" w:rsidRPr="009547FF" w:rsidRDefault="009547FF" w:rsidP="009547FF">
            <w:pPr>
              <w:pStyle w:val="textbasic"/>
              <w:jc w:val="left"/>
            </w:pPr>
            <w:r w:rsidRPr="009547FF">
              <w:t>Alteration of Salaries fixed by Law Act</w:t>
            </w:r>
          </w:p>
        </w:tc>
        <w:tc>
          <w:tcPr>
            <w:tcW w:w="2127" w:type="dxa"/>
          </w:tcPr>
          <w:p w:rsidR="009547FF" w:rsidRPr="009547FF" w:rsidRDefault="009547FF" w:rsidP="009547FF">
            <w:pPr>
              <w:pStyle w:val="textbasic"/>
              <w:jc w:val="left"/>
            </w:pPr>
            <w:r w:rsidRPr="009547FF">
              <w:t>6 Ed. VII No. 4</w:t>
            </w:r>
          </w:p>
        </w:tc>
      </w:tr>
      <w:tr w:rsidR="009547FF" w:rsidRPr="009547FF" w:rsidTr="009547FF">
        <w:tc>
          <w:tcPr>
            <w:tcW w:w="1037" w:type="dxa"/>
          </w:tcPr>
          <w:p w:rsidR="009547FF" w:rsidRPr="009547FF" w:rsidRDefault="009547FF" w:rsidP="009547FF">
            <w:pPr>
              <w:pStyle w:val="textbasic"/>
              <w:jc w:val="left"/>
            </w:pPr>
            <w:r w:rsidRPr="009547FF">
              <w:t>1906</w:t>
            </w:r>
          </w:p>
        </w:tc>
        <w:tc>
          <w:tcPr>
            <w:tcW w:w="6078" w:type="dxa"/>
          </w:tcPr>
          <w:p w:rsidR="009547FF" w:rsidRPr="009547FF" w:rsidRDefault="009547FF" w:rsidP="009547FF">
            <w:pPr>
              <w:pStyle w:val="textbasic"/>
              <w:jc w:val="left"/>
            </w:pPr>
            <w:r w:rsidRPr="009547FF">
              <w:t>Officers' Salaries Act</w:t>
            </w:r>
          </w:p>
        </w:tc>
        <w:tc>
          <w:tcPr>
            <w:tcW w:w="2127" w:type="dxa"/>
          </w:tcPr>
          <w:p w:rsidR="009547FF" w:rsidRPr="009547FF" w:rsidRDefault="009547FF" w:rsidP="009547FF">
            <w:pPr>
              <w:pStyle w:val="textbasic"/>
              <w:jc w:val="left"/>
            </w:pPr>
            <w:r w:rsidRPr="009547FF">
              <w:t>6 Ed. VII No. 38</w:t>
            </w:r>
          </w:p>
        </w:tc>
      </w:tr>
      <w:tr w:rsidR="009547FF" w:rsidRPr="009547FF" w:rsidTr="009547FF">
        <w:tc>
          <w:tcPr>
            <w:tcW w:w="1037" w:type="dxa"/>
          </w:tcPr>
          <w:p w:rsidR="009547FF" w:rsidRPr="009547FF" w:rsidRDefault="009547FF" w:rsidP="009547FF">
            <w:pPr>
              <w:pStyle w:val="textbasic"/>
              <w:jc w:val="left"/>
            </w:pPr>
            <w:r w:rsidRPr="009547FF">
              <w:t>1907  </w:t>
            </w:r>
          </w:p>
        </w:tc>
        <w:tc>
          <w:tcPr>
            <w:tcW w:w="6078" w:type="dxa"/>
          </w:tcPr>
          <w:p w:rsidR="009547FF" w:rsidRPr="009547FF" w:rsidRDefault="009547FF" w:rsidP="009547FF">
            <w:pPr>
              <w:pStyle w:val="textbasic"/>
              <w:jc w:val="left"/>
            </w:pPr>
            <w:r w:rsidRPr="009547FF">
              <w:t>Alteration of Salaries fixed by Law Act</w:t>
            </w:r>
          </w:p>
        </w:tc>
        <w:tc>
          <w:tcPr>
            <w:tcW w:w="2127" w:type="dxa"/>
          </w:tcPr>
          <w:p w:rsidR="009547FF" w:rsidRPr="009547FF" w:rsidRDefault="009547FF" w:rsidP="009547FF">
            <w:pPr>
              <w:pStyle w:val="textbasic"/>
              <w:jc w:val="left"/>
            </w:pPr>
            <w:r w:rsidRPr="009547FF">
              <w:t>7 Ed. VII No. 43</w:t>
            </w:r>
          </w:p>
        </w:tc>
      </w:tr>
      <w:tr w:rsidR="009547FF" w:rsidRPr="009547FF" w:rsidTr="009547FF">
        <w:tc>
          <w:tcPr>
            <w:tcW w:w="1037" w:type="dxa"/>
          </w:tcPr>
          <w:p w:rsidR="009547FF" w:rsidRPr="009547FF" w:rsidRDefault="009547FF" w:rsidP="009547FF">
            <w:pPr>
              <w:pStyle w:val="textbasic"/>
              <w:jc w:val="left"/>
            </w:pPr>
            <w:r w:rsidRPr="009547FF">
              <w:t>1908  </w:t>
            </w:r>
          </w:p>
        </w:tc>
        <w:tc>
          <w:tcPr>
            <w:tcW w:w="6078" w:type="dxa"/>
          </w:tcPr>
          <w:p w:rsidR="009547FF" w:rsidRPr="009547FF" w:rsidRDefault="009547FF" w:rsidP="009547FF">
            <w:pPr>
              <w:pStyle w:val="textbasic"/>
              <w:jc w:val="left"/>
            </w:pPr>
            <w:r w:rsidRPr="009547FF">
              <w:t>Alteration of Salaries fixed by Law Act</w:t>
            </w:r>
          </w:p>
        </w:tc>
        <w:tc>
          <w:tcPr>
            <w:tcW w:w="2127" w:type="dxa"/>
          </w:tcPr>
          <w:p w:rsidR="009547FF" w:rsidRPr="009547FF" w:rsidRDefault="009547FF" w:rsidP="009547FF">
            <w:pPr>
              <w:pStyle w:val="textbasic"/>
              <w:jc w:val="left"/>
            </w:pPr>
            <w:r w:rsidRPr="009547FF">
              <w:t>8 Ed. VII No. 43</w:t>
            </w:r>
          </w:p>
        </w:tc>
      </w:tr>
      <w:tr w:rsidR="009547FF" w:rsidRPr="009547FF" w:rsidTr="009547FF">
        <w:tc>
          <w:tcPr>
            <w:tcW w:w="1037" w:type="dxa"/>
          </w:tcPr>
          <w:p w:rsidR="009547FF" w:rsidRPr="009547FF" w:rsidRDefault="009547FF" w:rsidP="009547FF">
            <w:pPr>
              <w:pStyle w:val="textbasic"/>
              <w:jc w:val="left"/>
            </w:pPr>
            <w:r w:rsidRPr="009547FF">
              <w:t>1909  </w:t>
            </w:r>
          </w:p>
        </w:tc>
        <w:tc>
          <w:tcPr>
            <w:tcW w:w="6078" w:type="dxa"/>
          </w:tcPr>
          <w:p w:rsidR="009547FF" w:rsidRPr="009547FF" w:rsidRDefault="009547FF" w:rsidP="009547FF">
            <w:pPr>
              <w:pStyle w:val="textbasic"/>
              <w:jc w:val="left"/>
            </w:pPr>
            <w:r w:rsidRPr="009547FF">
              <w:t>Alteration of Salaries fixed by Law Act</w:t>
            </w:r>
          </w:p>
        </w:tc>
        <w:tc>
          <w:tcPr>
            <w:tcW w:w="2127" w:type="dxa"/>
          </w:tcPr>
          <w:p w:rsidR="009547FF" w:rsidRPr="009547FF" w:rsidRDefault="009547FF" w:rsidP="009547FF">
            <w:pPr>
              <w:pStyle w:val="textbasic"/>
              <w:jc w:val="left"/>
            </w:pPr>
            <w:r w:rsidRPr="009547FF">
              <w:t>9 Ed. VII No. 17</w:t>
            </w:r>
          </w:p>
        </w:tc>
      </w:tr>
      <w:tr w:rsidR="009547FF" w:rsidRPr="009547FF" w:rsidTr="009547FF">
        <w:tc>
          <w:tcPr>
            <w:tcW w:w="1037" w:type="dxa"/>
          </w:tcPr>
          <w:p w:rsidR="009547FF" w:rsidRPr="009547FF" w:rsidRDefault="009547FF" w:rsidP="009547FF">
            <w:pPr>
              <w:pStyle w:val="textbasic"/>
              <w:jc w:val="left"/>
            </w:pPr>
            <w:r w:rsidRPr="009547FF">
              <w:t>1910  </w:t>
            </w:r>
          </w:p>
        </w:tc>
        <w:tc>
          <w:tcPr>
            <w:tcW w:w="6078" w:type="dxa"/>
          </w:tcPr>
          <w:p w:rsidR="009547FF" w:rsidRPr="009547FF" w:rsidRDefault="009547FF" w:rsidP="009547FF">
            <w:pPr>
              <w:pStyle w:val="textbasic"/>
              <w:jc w:val="left"/>
            </w:pPr>
            <w:r w:rsidRPr="009547FF">
              <w:t>Ministers' Salaries Act</w:t>
            </w:r>
          </w:p>
        </w:tc>
        <w:tc>
          <w:tcPr>
            <w:tcW w:w="2127" w:type="dxa"/>
          </w:tcPr>
          <w:p w:rsidR="009547FF" w:rsidRPr="009547FF" w:rsidRDefault="009547FF" w:rsidP="009547FF">
            <w:pPr>
              <w:pStyle w:val="textbasic"/>
              <w:jc w:val="left"/>
            </w:pPr>
            <w:r w:rsidRPr="009547FF">
              <w:t>1 Geo. V. No. 38</w:t>
            </w:r>
          </w:p>
        </w:tc>
      </w:tr>
      <w:tr w:rsidR="009547FF" w:rsidRPr="009547FF" w:rsidTr="009547FF">
        <w:tc>
          <w:tcPr>
            <w:tcW w:w="1037" w:type="dxa"/>
          </w:tcPr>
          <w:p w:rsidR="009547FF" w:rsidRPr="009547FF" w:rsidRDefault="009547FF" w:rsidP="009547FF">
            <w:pPr>
              <w:pStyle w:val="textbasic"/>
              <w:jc w:val="left"/>
            </w:pPr>
            <w:r w:rsidRPr="009547FF">
              <w:t>1910  </w:t>
            </w:r>
          </w:p>
        </w:tc>
        <w:tc>
          <w:tcPr>
            <w:tcW w:w="6078" w:type="dxa"/>
          </w:tcPr>
          <w:p w:rsidR="009547FF" w:rsidRPr="009547FF" w:rsidRDefault="003015CF" w:rsidP="009547FF">
            <w:pPr>
              <w:pStyle w:val="textbasic"/>
              <w:jc w:val="left"/>
            </w:pPr>
            <w:r>
              <w:t>Payment of Members</w:t>
            </w:r>
            <w:r w:rsidR="009547FF" w:rsidRPr="009547FF">
              <w:t xml:space="preserve"> Act</w:t>
            </w:r>
          </w:p>
        </w:tc>
        <w:tc>
          <w:tcPr>
            <w:tcW w:w="2127" w:type="dxa"/>
          </w:tcPr>
          <w:p w:rsidR="009547FF" w:rsidRPr="009547FF" w:rsidRDefault="009547FF" w:rsidP="009547FF">
            <w:pPr>
              <w:pStyle w:val="textbasic"/>
              <w:jc w:val="left"/>
            </w:pPr>
            <w:r w:rsidRPr="009547FF">
              <w:t>1 Geo. V. No. 53</w:t>
            </w:r>
          </w:p>
        </w:tc>
      </w:tr>
      <w:tr w:rsidR="009547FF" w:rsidRPr="009547FF" w:rsidTr="009547FF">
        <w:tc>
          <w:tcPr>
            <w:tcW w:w="1037" w:type="dxa"/>
          </w:tcPr>
          <w:p w:rsidR="009547FF" w:rsidRPr="009547FF" w:rsidRDefault="009547FF" w:rsidP="009547FF">
            <w:pPr>
              <w:pStyle w:val="textbasic"/>
              <w:jc w:val="left"/>
            </w:pPr>
            <w:r w:rsidRPr="009547FF">
              <w:t>1913  </w:t>
            </w:r>
          </w:p>
        </w:tc>
        <w:tc>
          <w:tcPr>
            <w:tcW w:w="6078" w:type="dxa"/>
          </w:tcPr>
          <w:p w:rsidR="009547FF" w:rsidRPr="009547FF" w:rsidRDefault="009547FF" w:rsidP="009547FF">
            <w:pPr>
              <w:pStyle w:val="textbasic"/>
              <w:jc w:val="left"/>
            </w:pPr>
            <w:r w:rsidRPr="009547FF">
              <w:t>Payment of Memb</w:t>
            </w:r>
            <w:r w:rsidR="003015CF">
              <w:t>ers</w:t>
            </w:r>
            <w:r w:rsidRPr="009547FF">
              <w:t xml:space="preserve"> Act</w:t>
            </w:r>
          </w:p>
        </w:tc>
        <w:tc>
          <w:tcPr>
            <w:tcW w:w="2127" w:type="dxa"/>
          </w:tcPr>
          <w:p w:rsidR="009547FF" w:rsidRPr="009547FF" w:rsidRDefault="009547FF" w:rsidP="009547FF">
            <w:pPr>
              <w:pStyle w:val="textbasic"/>
              <w:jc w:val="left"/>
            </w:pPr>
            <w:r w:rsidRPr="009547FF">
              <w:t>4 Geo. V. No. 49</w:t>
            </w:r>
          </w:p>
        </w:tc>
      </w:tr>
      <w:tr w:rsidR="009547FF" w:rsidRPr="009547FF" w:rsidTr="009547FF">
        <w:tc>
          <w:tcPr>
            <w:tcW w:w="1037" w:type="dxa"/>
          </w:tcPr>
          <w:p w:rsidR="009547FF" w:rsidRPr="009547FF" w:rsidRDefault="009547FF" w:rsidP="009547FF">
            <w:pPr>
              <w:pStyle w:val="textbasic"/>
              <w:jc w:val="left"/>
            </w:pPr>
            <w:r w:rsidRPr="009547FF">
              <w:t>1918  </w:t>
            </w:r>
          </w:p>
        </w:tc>
        <w:tc>
          <w:tcPr>
            <w:tcW w:w="6078" w:type="dxa"/>
          </w:tcPr>
          <w:p w:rsidR="009547FF" w:rsidRPr="009547FF" w:rsidRDefault="003015CF" w:rsidP="009547FF">
            <w:pPr>
              <w:pStyle w:val="textbasic"/>
              <w:jc w:val="left"/>
            </w:pPr>
            <w:r>
              <w:t>Payment of Members</w:t>
            </w:r>
            <w:r w:rsidR="009547FF" w:rsidRPr="009547FF">
              <w:t xml:space="preserve"> Amendment Act</w:t>
            </w:r>
          </w:p>
        </w:tc>
        <w:tc>
          <w:tcPr>
            <w:tcW w:w="2127" w:type="dxa"/>
          </w:tcPr>
          <w:p w:rsidR="009547FF" w:rsidRPr="009547FF" w:rsidRDefault="009547FF" w:rsidP="009547FF">
            <w:pPr>
              <w:pStyle w:val="textbasic"/>
              <w:jc w:val="left"/>
            </w:pPr>
            <w:r w:rsidRPr="009547FF">
              <w:t>9 Geo. V. No. 64</w:t>
            </w:r>
          </w:p>
        </w:tc>
      </w:tr>
      <w:tr w:rsidR="009547FF" w:rsidRPr="009547FF" w:rsidTr="009547FF">
        <w:tc>
          <w:tcPr>
            <w:tcW w:w="1037" w:type="dxa"/>
          </w:tcPr>
          <w:p w:rsidR="009547FF" w:rsidRPr="009547FF" w:rsidRDefault="009547FF" w:rsidP="009547FF">
            <w:pPr>
              <w:pStyle w:val="textbasic"/>
              <w:jc w:val="left"/>
            </w:pPr>
            <w:r w:rsidRPr="009547FF">
              <w:t>1919  </w:t>
            </w:r>
          </w:p>
        </w:tc>
        <w:tc>
          <w:tcPr>
            <w:tcW w:w="6078" w:type="dxa"/>
          </w:tcPr>
          <w:p w:rsidR="009547FF" w:rsidRPr="009547FF" w:rsidRDefault="003015CF" w:rsidP="009547FF">
            <w:pPr>
              <w:pStyle w:val="textbasic"/>
              <w:jc w:val="left"/>
            </w:pPr>
            <w:r>
              <w:t>Payment of Members</w:t>
            </w:r>
            <w:r w:rsidR="009547FF" w:rsidRPr="009547FF">
              <w:t xml:space="preserve"> Act</w:t>
            </w:r>
          </w:p>
        </w:tc>
        <w:tc>
          <w:tcPr>
            <w:tcW w:w="2127" w:type="dxa"/>
          </w:tcPr>
          <w:p w:rsidR="009547FF" w:rsidRPr="009547FF" w:rsidRDefault="009547FF" w:rsidP="009547FF">
            <w:pPr>
              <w:pStyle w:val="textbasic"/>
              <w:jc w:val="left"/>
            </w:pPr>
            <w:r w:rsidRPr="009547FF">
              <w:t>10 Geo. V. No. 3</w:t>
            </w:r>
          </w:p>
        </w:tc>
      </w:tr>
      <w:tr w:rsidR="009547FF" w:rsidRPr="009547FF" w:rsidTr="009547FF">
        <w:tc>
          <w:tcPr>
            <w:tcW w:w="1037" w:type="dxa"/>
          </w:tcPr>
          <w:p w:rsidR="009547FF" w:rsidRPr="009547FF" w:rsidRDefault="009547FF" w:rsidP="009547FF">
            <w:pPr>
              <w:pStyle w:val="textbasic"/>
              <w:jc w:val="left"/>
            </w:pPr>
            <w:r w:rsidRPr="009547FF">
              <w:t>1923  </w:t>
            </w:r>
          </w:p>
        </w:tc>
        <w:tc>
          <w:tcPr>
            <w:tcW w:w="6078" w:type="dxa"/>
          </w:tcPr>
          <w:p w:rsidR="009547FF" w:rsidRPr="009547FF" w:rsidRDefault="009547FF" w:rsidP="009547FF">
            <w:pPr>
              <w:pStyle w:val="textbasic"/>
              <w:jc w:val="left"/>
            </w:pPr>
            <w:r w:rsidRPr="009547FF">
              <w:t>Ministers of the Crown Act</w:t>
            </w:r>
          </w:p>
        </w:tc>
        <w:tc>
          <w:tcPr>
            <w:tcW w:w="2127" w:type="dxa"/>
          </w:tcPr>
          <w:p w:rsidR="009547FF" w:rsidRPr="009547FF" w:rsidRDefault="009547FF" w:rsidP="009547FF">
            <w:pPr>
              <w:pStyle w:val="textbasic"/>
              <w:jc w:val="left"/>
            </w:pPr>
            <w:r w:rsidRPr="009547FF">
              <w:t>14 Geo. V. No. 2</w:t>
            </w:r>
          </w:p>
        </w:tc>
      </w:tr>
      <w:tr w:rsidR="009547FF" w:rsidRPr="009547FF" w:rsidTr="009547FF">
        <w:tc>
          <w:tcPr>
            <w:tcW w:w="1037" w:type="dxa"/>
          </w:tcPr>
          <w:p w:rsidR="009547FF" w:rsidRPr="009547FF" w:rsidRDefault="009547FF" w:rsidP="009547FF">
            <w:pPr>
              <w:pStyle w:val="textbasic"/>
              <w:jc w:val="left"/>
            </w:pPr>
            <w:r w:rsidRPr="009547FF">
              <w:t>1927  </w:t>
            </w:r>
          </w:p>
        </w:tc>
        <w:tc>
          <w:tcPr>
            <w:tcW w:w="6078" w:type="dxa"/>
          </w:tcPr>
          <w:p w:rsidR="009547FF" w:rsidRPr="009547FF" w:rsidRDefault="009547FF" w:rsidP="009547FF">
            <w:pPr>
              <w:pStyle w:val="textbasic"/>
              <w:jc w:val="left"/>
            </w:pPr>
            <w:r w:rsidRPr="009547FF">
              <w:t>Ministers of the Crown Act</w:t>
            </w:r>
          </w:p>
        </w:tc>
        <w:tc>
          <w:tcPr>
            <w:tcW w:w="2127" w:type="dxa"/>
          </w:tcPr>
          <w:p w:rsidR="009547FF" w:rsidRPr="009547FF" w:rsidRDefault="009547FF" w:rsidP="009547FF">
            <w:pPr>
              <w:pStyle w:val="textbasic"/>
              <w:jc w:val="left"/>
            </w:pPr>
            <w:r w:rsidRPr="009547FF">
              <w:t>18 Geo. V. No. 14</w:t>
            </w:r>
          </w:p>
        </w:tc>
      </w:tr>
      <w:tr w:rsidR="009547FF" w:rsidRPr="009547FF" w:rsidTr="009547FF">
        <w:tc>
          <w:tcPr>
            <w:tcW w:w="1037" w:type="dxa"/>
          </w:tcPr>
          <w:p w:rsidR="009547FF" w:rsidRPr="009547FF" w:rsidRDefault="009547FF" w:rsidP="009547FF">
            <w:pPr>
              <w:pStyle w:val="textbasic"/>
              <w:jc w:val="left"/>
            </w:pPr>
            <w:r w:rsidRPr="009547FF">
              <w:t>1927  </w:t>
            </w:r>
          </w:p>
        </w:tc>
        <w:tc>
          <w:tcPr>
            <w:tcW w:w="6078" w:type="dxa"/>
          </w:tcPr>
          <w:p w:rsidR="009547FF" w:rsidRPr="009547FF" w:rsidRDefault="009547FF" w:rsidP="009547FF">
            <w:pPr>
              <w:pStyle w:val="textbasic"/>
              <w:jc w:val="left"/>
            </w:pPr>
            <w:r w:rsidRPr="009547FF">
              <w:t>Payment o</w:t>
            </w:r>
            <w:r w:rsidR="003015CF">
              <w:t>f Members</w:t>
            </w:r>
            <w:r w:rsidRPr="009547FF">
              <w:t xml:space="preserve"> Act</w:t>
            </w:r>
          </w:p>
        </w:tc>
        <w:tc>
          <w:tcPr>
            <w:tcW w:w="2127" w:type="dxa"/>
          </w:tcPr>
          <w:p w:rsidR="009547FF" w:rsidRPr="009547FF" w:rsidRDefault="009547FF" w:rsidP="009547FF">
            <w:pPr>
              <w:pStyle w:val="textbasic"/>
              <w:jc w:val="left"/>
            </w:pPr>
            <w:r w:rsidRPr="009547FF">
              <w:t>18 Geo. V. No. 15</w:t>
            </w:r>
          </w:p>
        </w:tc>
      </w:tr>
      <w:tr w:rsidR="009547FF" w:rsidRPr="009547FF" w:rsidTr="009547FF">
        <w:tc>
          <w:tcPr>
            <w:tcW w:w="1037" w:type="dxa"/>
          </w:tcPr>
          <w:p w:rsidR="009547FF" w:rsidRPr="009547FF" w:rsidRDefault="009547FF" w:rsidP="009547FF">
            <w:pPr>
              <w:pStyle w:val="textbasic"/>
              <w:jc w:val="left"/>
            </w:pPr>
            <w:r w:rsidRPr="009547FF">
              <w:t>1931</w:t>
            </w:r>
          </w:p>
        </w:tc>
        <w:tc>
          <w:tcPr>
            <w:tcW w:w="6078" w:type="dxa"/>
          </w:tcPr>
          <w:p w:rsidR="009547FF" w:rsidRPr="009547FF" w:rsidRDefault="009547FF" w:rsidP="009547FF">
            <w:pPr>
              <w:pStyle w:val="textbasic"/>
              <w:jc w:val="left"/>
            </w:pPr>
            <w:r w:rsidRPr="009547FF">
              <w:t>Official Salaries Reduction Act</w:t>
            </w:r>
          </w:p>
        </w:tc>
        <w:tc>
          <w:tcPr>
            <w:tcW w:w="2127" w:type="dxa"/>
          </w:tcPr>
          <w:p w:rsidR="009547FF" w:rsidRPr="009547FF" w:rsidRDefault="009547FF" w:rsidP="009547FF">
            <w:pPr>
              <w:pStyle w:val="textbasic"/>
              <w:jc w:val="left"/>
            </w:pPr>
            <w:r w:rsidRPr="009547FF">
              <w:t>22 Geo. V. No. 2</w:t>
            </w:r>
          </w:p>
        </w:tc>
      </w:tr>
      <w:tr w:rsidR="009547FF" w:rsidRPr="009547FF" w:rsidTr="009547FF">
        <w:tc>
          <w:tcPr>
            <w:tcW w:w="1037" w:type="dxa"/>
          </w:tcPr>
          <w:p w:rsidR="009547FF" w:rsidRPr="009547FF" w:rsidRDefault="009547FF" w:rsidP="009547FF">
            <w:pPr>
              <w:pStyle w:val="textbasic"/>
              <w:jc w:val="left"/>
            </w:pPr>
            <w:r w:rsidRPr="009547FF">
              <w:t>1931</w:t>
            </w:r>
          </w:p>
        </w:tc>
        <w:tc>
          <w:tcPr>
            <w:tcW w:w="6078" w:type="dxa"/>
          </w:tcPr>
          <w:p w:rsidR="009547FF" w:rsidRPr="009547FF" w:rsidRDefault="009547FF" w:rsidP="009547FF">
            <w:pPr>
              <w:pStyle w:val="textbasic"/>
              <w:jc w:val="left"/>
            </w:pPr>
            <w:r w:rsidRPr="009547FF">
              <w:t>Official Salaries Reduction Act (No. 2)</w:t>
            </w:r>
          </w:p>
        </w:tc>
        <w:tc>
          <w:tcPr>
            <w:tcW w:w="2127" w:type="dxa"/>
          </w:tcPr>
          <w:p w:rsidR="009547FF" w:rsidRPr="009547FF" w:rsidRDefault="009547FF" w:rsidP="009547FF">
            <w:pPr>
              <w:pStyle w:val="textbasic"/>
              <w:jc w:val="left"/>
            </w:pPr>
            <w:r w:rsidRPr="009547FF">
              <w:t>22 Geo. V. No. 45</w:t>
            </w:r>
          </w:p>
        </w:tc>
      </w:tr>
      <w:tr w:rsidR="009547FF" w:rsidRPr="009547FF" w:rsidTr="009547FF">
        <w:tc>
          <w:tcPr>
            <w:tcW w:w="1037" w:type="dxa"/>
          </w:tcPr>
          <w:p w:rsidR="009547FF" w:rsidRPr="009547FF" w:rsidRDefault="009547FF" w:rsidP="009547FF">
            <w:pPr>
              <w:pStyle w:val="textbasic"/>
              <w:jc w:val="left"/>
            </w:pPr>
            <w:r w:rsidRPr="009547FF">
              <w:t>1934  </w:t>
            </w:r>
          </w:p>
        </w:tc>
        <w:tc>
          <w:tcPr>
            <w:tcW w:w="6078" w:type="dxa"/>
          </w:tcPr>
          <w:p w:rsidR="009547FF" w:rsidRPr="009547FF" w:rsidRDefault="003015CF" w:rsidP="009547FF">
            <w:pPr>
              <w:pStyle w:val="textbasic"/>
              <w:jc w:val="left"/>
            </w:pPr>
            <w:r>
              <w:t>Payment of Members</w:t>
            </w:r>
            <w:r w:rsidR="009547FF" w:rsidRPr="009547FF">
              <w:t xml:space="preserve"> Act</w:t>
            </w:r>
          </w:p>
        </w:tc>
        <w:tc>
          <w:tcPr>
            <w:tcW w:w="2127" w:type="dxa"/>
          </w:tcPr>
          <w:p w:rsidR="009547FF" w:rsidRPr="009547FF" w:rsidRDefault="009547FF" w:rsidP="009547FF">
            <w:pPr>
              <w:pStyle w:val="textbasic"/>
              <w:jc w:val="left"/>
            </w:pPr>
            <w:r w:rsidRPr="009547FF">
              <w:t>25 Geo. V. No. 4</w:t>
            </w:r>
          </w:p>
        </w:tc>
      </w:tr>
      <w:tr w:rsidR="009547FF" w:rsidRPr="009547FF" w:rsidTr="009547FF">
        <w:tc>
          <w:tcPr>
            <w:tcW w:w="1037" w:type="dxa"/>
          </w:tcPr>
          <w:p w:rsidR="009547FF" w:rsidRPr="009547FF" w:rsidRDefault="009547FF" w:rsidP="009547FF">
            <w:pPr>
              <w:pStyle w:val="textbasic"/>
              <w:jc w:val="left"/>
            </w:pPr>
            <w:r w:rsidRPr="009547FF">
              <w:lastRenderedPageBreak/>
              <w:t>1934  </w:t>
            </w:r>
          </w:p>
        </w:tc>
        <w:tc>
          <w:tcPr>
            <w:tcW w:w="6078" w:type="dxa"/>
          </w:tcPr>
          <w:p w:rsidR="009547FF" w:rsidRPr="009547FF" w:rsidRDefault="009547FF" w:rsidP="009547FF">
            <w:pPr>
              <w:pStyle w:val="textbasic"/>
              <w:jc w:val="left"/>
            </w:pPr>
            <w:r w:rsidRPr="009547FF">
              <w:t>Ministers of the Crown Act</w:t>
            </w:r>
          </w:p>
        </w:tc>
        <w:tc>
          <w:tcPr>
            <w:tcW w:w="2127" w:type="dxa"/>
          </w:tcPr>
          <w:p w:rsidR="009547FF" w:rsidRPr="009547FF" w:rsidRDefault="009547FF" w:rsidP="009547FF">
            <w:pPr>
              <w:pStyle w:val="textbasic"/>
              <w:jc w:val="left"/>
            </w:pPr>
            <w:r w:rsidRPr="009547FF">
              <w:t>25 Geo. V. No. 5</w:t>
            </w:r>
          </w:p>
        </w:tc>
      </w:tr>
      <w:tr w:rsidR="009547FF" w:rsidRPr="009547FF" w:rsidTr="009547FF">
        <w:tc>
          <w:tcPr>
            <w:tcW w:w="1037" w:type="dxa"/>
          </w:tcPr>
          <w:p w:rsidR="009547FF" w:rsidRPr="009547FF" w:rsidRDefault="009547FF" w:rsidP="009547FF">
            <w:pPr>
              <w:pStyle w:val="textbasic"/>
              <w:jc w:val="left"/>
            </w:pPr>
            <w:r w:rsidRPr="009547FF">
              <w:t>1934  </w:t>
            </w:r>
          </w:p>
        </w:tc>
        <w:tc>
          <w:tcPr>
            <w:tcW w:w="6078" w:type="dxa"/>
          </w:tcPr>
          <w:p w:rsidR="009547FF" w:rsidRPr="009547FF" w:rsidRDefault="003015CF" w:rsidP="009547FF">
            <w:pPr>
              <w:pStyle w:val="textbasic"/>
              <w:jc w:val="left"/>
            </w:pPr>
            <w:r>
              <w:t>Payment of Members</w:t>
            </w:r>
            <w:r w:rsidR="009547FF" w:rsidRPr="009547FF">
              <w:t xml:space="preserve"> Act (No. 2)</w:t>
            </w:r>
          </w:p>
        </w:tc>
        <w:tc>
          <w:tcPr>
            <w:tcW w:w="2127" w:type="dxa"/>
          </w:tcPr>
          <w:p w:rsidR="009547FF" w:rsidRPr="009547FF" w:rsidRDefault="009547FF" w:rsidP="009547FF">
            <w:pPr>
              <w:pStyle w:val="textbasic"/>
              <w:jc w:val="left"/>
            </w:pPr>
            <w:r w:rsidRPr="009547FF">
              <w:t>25 Geo. V. No. 14</w:t>
            </w:r>
          </w:p>
        </w:tc>
      </w:tr>
      <w:tr w:rsidR="009547FF" w:rsidRPr="009547FF" w:rsidTr="009547FF">
        <w:tc>
          <w:tcPr>
            <w:tcW w:w="1037" w:type="dxa"/>
          </w:tcPr>
          <w:p w:rsidR="009547FF" w:rsidRPr="009547FF" w:rsidRDefault="009547FF" w:rsidP="009547FF">
            <w:pPr>
              <w:pStyle w:val="textbasic"/>
              <w:jc w:val="left"/>
            </w:pPr>
            <w:r w:rsidRPr="009547FF">
              <w:t>1934  </w:t>
            </w:r>
          </w:p>
        </w:tc>
        <w:tc>
          <w:tcPr>
            <w:tcW w:w="6078" w:type="dxa"/>
          </w:tcPr>
          <w:p w:rsidR="009547FF" w:rsidRPr="009547FF" w:rsidRDefault="009547FF" w:rsidP="009547FF">
            <w:pPr>
              <w:pStyle w:val="textbasic"/>
              <w:jc w:val="left"/>
            </w:pPr>
            <w:r w:rsidRPr="009547FF">
              <w:t>Ministers of the Crown Act (No. 2)</w:t>
            </w:r>
          </w:p>
        </w:tc>
        <w:tc>
          <w:tcPr>
            <w:tcW w:w="2127" w:type="dxa"/>
          </w:tcPr>
          <w:p w:rsidR="009547FF" w:rsidRPr="009547FF" w:rsidRDefault="009547FF" w:rsidP="009547FF">
            <w:pPr>
              <w:pStyle w:val="textbasic"/>
              <w:jc w:val="left"/>
            </w:pPr>
            <w:r w:rsidRPr="009547FF">
              <w:t>25 Geo. V. No. 15</w:t>
            </w:r>
          </w:p>
        </w:tc>
      </w:tr>
      <w:tr w:rsidR="009547FF" w:rsidRPr="009547FF" w:rsidTr="009547FF">
        <w:tc>
          <w:tcPr>
            <w:tcW w:w="1037" w:type="dxa"/>
          </w:tcPr>
          <w:p w:rsidR="009547FF" w:rsidRPr="009547FF" w:rsidRDefault="009547FF" w:rsidP="009547FF">
            <w:pPr>
              <w:pStyle w:val="textbasic"/>
              <w:jc w:val="left"/>
            </w:pPr>
            <w:r w:rsidRPr="009547FF">
              <w:t>1936  </w:t>
            </w:r>
          </w:p>
        </w:tc>
        <w:tc>
          <w:tcPr>
            <w:tcW w:w="6078" w:type="dxa"/>
          </w:tcPr>
          <w:p w:rsidR="009547FF" w:rsidRPr="009547FF" w:rsidRDefault="009547FF" w:rsidP="009547FF">
            <w:pPr>
              <w:pStyle w:val="textbasic"/>
              <w:jc w:val="left"/>
            </w:pPr>
            <w:r w:rsidRPr="009547FF">
              <w:t>Official Salaries Reduction Repeal Act</w:t>
            </w:r>
          </w:p>
        </w:tc>
        <w:tc>
          <w:tcPr>
            <w:tcW w:w="2127" w:type="dxa"/>
          </w:tcPr>
          <w:p w:rsidR="009547FF" w:rsidRPr="009547FF" w:rsidRDefault="009547FF" w:rsidP="009547FF">
            <w:pPr>
              <w:pStyle w:val="textbasic"/>
              <w:jc w:val="left"/>
            </w:pPr>
            <w:r w:rsidRPr="009547FF">
              <w:t>1 Ed. VII No. 25</w:t>
            </w:r>
          </w:p>
        </w:tc>
      </w:tr>
      <w:tr w:rsidR="009547FF" w:rsidRPr="009547FF" w:rsidTr="009547FF">
        <w:tc>
          <w:tcPr>
            <w:tcW w:w="1037" w:type="dxa"/>
          </w:tcPr>
          <w:p w:rsidR="009547FF" w:rsidRPr="009547FF" w:rsidRDefault="009547FF" w:rsidP="009547FF">
            <w:pPr>
              <w:pStyle w:val="textbasic"/>
              <w:jc w:val="left"/>
            </w:pPr>
            <w:r w:rsidRPr="009547FF">
              <w:t>1943  </w:t>
            </w:r>
          </w:p>
        </w:tc>
        <w:tc>
          <w:tcPr>
            <w:tcW w:w="6078" w:type="dxa"/>
          </w:tcPr>
          <w:p w:rsidR="009547FF" w:rsidRPr="009547FF" w:rsidRDefault="009547FF" w:rsidP="009547FF">
            <w:pPr>
              <w:pStyle w:val="textbasic"/>
              <w:jc w:val="left"/>
            </w:pPr>
            <w:r w:rsidRPr="009547FF">
              <w:t>Ministers of the Crown Act</w:t>
            </w:r>
          </w:p>
        </w:tc>
        <w:tc>
          <w:tcPr>
            <w:tcW w:w="2127" w:type="dxa"/>
          </w:tcPr>
          <w:p w:rsidR="009547FF" w:rsidRPr="009547FF" w:rsidRDefault="009547FF" w:rsidP="009547FF">
            <w:pPr>
              <w:pStyle w:val="textbasic"/>
              <w:jc w:val="left"/>
            </w:pPr>
            <w:r w:rsidRPr="009547FF">
              <w:t>7 Geo. VI No. 36</w:t>
            </w:r>
          </w:p>
        </w:tc>
      </w:tr>
      <w:tr w:rsidR="009547FF" w:rsidRPr="009547FF" w:rsidTr="009547FF">
        <w:tc>
          <w:tcPr>
            <w:tcW w:w="1037" w:type="dxa"/>
          </w:tcPr>
          <w:p w:rsidR="009547FF" w:rsidRPr="009547FF" w:rsidRDefault="009547FF" w:rsidP="009547FF">
            <w:pPr>
              <w:pStyle w:val="textbasic"/>
              <w:jc w:val="left"/>
            </w:pPr>
            <w:r w:rsidRPr="009547FF">
              <w:t>1943</w:t>
            </w:r>
          </w:p>
        </w:tc>
        <w:tc>
          <w:tcPr>
            <w:tcW w:w="6078" w:type="dxa"/>
          </w:tcPr>
          <w:p w:rsidR="009547FF" w:rsidRPr="009547FF" w:rsidRDefault="009547FF" w:rsidP="009547FF">
            <w:pPr>
              <w:pStyle w:val="textbasic"/>
              <w:jc w:val="left"/>
            </w:pPr>
            <w:r w:rsidRPr="009547FF">
              <w:t>Payment of Members (Allowances to Arthur James Tyler) Act</w:t>
            </w:r>
          </w:p>
        </w:tc>
        <w:tc>
          <w:tcPr>
            <w:tcW w:w="2127" w:type="dxa"/>
          </w:tcPr>
          <w:p w:rsidR="009547FF" w:rsidRPr="009547FF" w:rsidRDefault="009547FF" w:rsidP="009547FF">
            <w:pPr>
              <w:pStyle w:val="textbasic"/>
              <w:jc w:val="left"/>
            </w:pPr>
            <w:r w:rsidRPr="009547FF">
              <w:t> 7 &amp; 8 Geo. VI No. 83</w:t>
            </w:r>
          </w:p>
        </w:tc>
      </w:tr>
      <w:tr w:rsidR="009547FF" w:rsidRPr="009547FF" w:rsidTr="009547FF">
        <w:tc>
          <w:tcPr>
            <w:tcW w:w="1037" w:type="dxa"/>
          </w:tcPr>
          <w:p w:rsidR="009547FF" w:rsidRPr="009547FF" w:rsidRDefault="009547FF" w:rsidP="009547FF">
            <w:pPr>
              <w:pStyle w:val="textbasic"/>
              <w:jc w:val="left"/>
            </w:pPr>
            <w:r w:rsidRPr="009547FF">
              <w:t>1946  </w:t>
            </w:r>
          </w:p>
        </w:tc>
        <w:tc>
          <w:tcPr>
            <w:tcW w:w="6078" w:type="dxa"/>
          </w:tcPr>
          <w:p w:rsidR="009547FF" w:rsidRPr="009547FF" w:rsidRDefault="003015CF" w:rsidP="009547FF">
            <w:pPr>
              <w:pStyle w:val="textbasic"/>
              <w:jc w:val="left"/>
            </w:pPr>
            <w:r>
              <w:t>Payment of Members</w:t>
            </w:r>
            <w:r w:rsidR="009547FF" w:rsidRPr="009547FF">
              <w:t xml:space="preserve"> Act</w:t>
            </w:r>
          </w:p>
        </w:tc>
        <w:tc>
          <w:tcPr>
            <w:tcW w:w="2127" w:type="dxa"/>
          </w:tcPr>
          <w:p w:rsidR="009547FF" w:rsidRPr="009547FF" w:rsidRDefault="009547FF" w:rsidP="009547FF">
            <w:pPr>
              <w:pStyle w:val="textbasic"/>
              <w:jc w:val="left"/>
            </w:pPr>
            <w:r w:rsidRPr="009547FF">
              <w:t>9 &amp; 10 Geo. VI No. 50</w:t>
            </w:r>
          </w:p>
        </w:tc>
      </w:tr>
      <w:tr w:rsidR="009547FF" w:rsidRPr="009547FF" w:rsidTr="009547FF">
        <w:tc>
          <w:tcPr>
            <w:tcW w:w="1037" w:type="dxa"/>
          </w:tcPr>
          <w:p w:rsidR="009547FF" w:rsidRPr="009547FF" w:rsidRDefault="009547FF" w:rsidP="009547FF">
            <w:pPr>
              <w:pStyle w:val="textbasic"/>
              <w:jc w:val="left"/>
            </w:pPr>
            <w:r w:rsidRPr="009547FF">
              <w:t>1946  </w:t>
            </w:r>
          </w:p>
        </w:tc>
        <w:tc>
          <w:tcPr>
            <w:tcW w:w="6078" w:type="dxa"/>
          </w:tcPr>
          <w:p w:rsidR="009547FF" w:rsidRPr="009547FF" w:rsidRDefault="009547FF" w:rsidP="009547FF">
            <w:pPr>
              <w:pStyle w:val="textbasic"/>
              <w:jc w:val="left"/>
            </w:pPr>
            <w:r w:rsidRPr="009547FF">
              <w:t>Ministers of the Crown Act</w:t>
            </w:r>
          </w:p>
        </w:tc>
        <w:tc>
          <w:tcPr>
            <w:tcW w:w="2127" w:type="dxa"/>
          </w:tcPr>
          <w:p w:rsidR="009547FF" w:rsidRPr="009547FF" w:rsidRDefault="009547FF" w:rsidP="009547FF">
            <w:pPr>
              <w:pStyle w:val="textbasic"/>
              <w:jc w:val="left"/>
            </w:pPr>
            <w:r w:rsidRPr="009547FF">
              <w:t>9 &amp; 10 Geo. VI No. 51</w:t>
            </w:r>
          </w:p>
        </w:tc>
      </w:tr>
      <w:tr w:rsidR="009547FF" w:rsidRPr="009547FF" w:rsidTr="009547FF">
        <w:tc>
          <w:tcPr>
            <w:tcW w:w="1037" w:type="dxa"/>
          </w:tcPr>
          <w:p w:rsidR="009547FF" w:rsidRPr="009547FF" w:rsidRDefault="009547FF" w:rsidP="009547FF">
            <w:pPr>
              <w:pStyle w:val="textbasic"/>
              <w:jc w:val="left"/>
            </w:pPr>
            <w:r w:rsidRPr="009547FF">
              <w:t>1947  </w:t>
            </w:r>
          </w:p>
        </w:tc>
        <w:tc>
          <w:tcPr>
            <w:tcW w:w="6078" w:type="dxa"/>
          </w:tcPr>
          <w:p w:rsidR="009547FF" w:rsidRPr="009547FF" w:rsidRDefault="009547FF" w:rsidP="009547FF">
            <w:pPr>
              <w:pStyle w:val="textbasic"/>
              <w:jc w:val="left"/>
            </w:pPr>
            <w:r w:rsidRPr="009547FF">
              <w:t>Ministers of the Crown Act</w:t>
            </w:r>
          </w:p>
        </w:tc>
        <w:tc>
          <w:tcPr>
            <w:tcW w:w="2127" w:type="dxa"/>
          </w:tcPr>
          <w:p w:rsidR="009547FF" w:rsidRPr="009547FF" w:rsidRDefault="009547FF" w:rsidP="009547FF">
            <w:pPr>
              <w:pStyle w:val="textbasic"/>
              <w:jc w:val="left"/>
            </w:pPr>
            <w:r w:rsidRPr="009547FF">
              <w:t>11 Geo. V. No. 51</w:t>
            </w:r>
          </w:p>
        </w:tc>
      </w:tr>
      <w:tr w:rsidR="009547FF" w:rsidRPr="009547FF" w:rsidTr="009547FF">
        <w:tc>
          <w:tcPr>
            <w:tcW w:w="1037" w:type="dxa"/>
          </w:tcPr>
          <w:p w:rsidR="009547FF" w:rsidRPr="009547FF" w:rsidRDefault="009547FF" w:rsidP="009547FF">
            <w:pPr>
              <w:pStyle w:val="textbasic"/>
              <w:jc w:val="left"/>
            </w:pPr>
            <w:r w:rsidRPr="009547FF">
              <w:t>1948  </w:t>
            </w:r>
          </w:p>
        </w:tc>
        <w:tc>
          <w:tcPr>
            <w:tcW w:w="6078" w:type="dxa"/>
          </w:tcPr>
          <w:p w:rsidR="009547FF" w:rsidRPr="009547FF" w:rsidRDefault="009547FF" w:rsidP="009547FF">
            <w:pPr>
              <w:pStyle w:val="textbasic"/>
              <w:jc w:val="left"/>
            </w:pPr>
            <w:r w:rsidRPr="009547FF">
              <w:t>Parliamentary Salaries and Allowances Act</w:t>
            </w:r>
          </w:p>
        </w:tc>
        <w:tc>
          <w:tcPr>
            <w:tcW w:w="2127" w:type="dxa"/>
          </w:tcPr>
          <w:p w:rsidR="009547FF" w:rsidRPr="009547FF" w:rsidRDefault="009547FF" w:rsidP="009547FF">
            <w:pPr>
              <w:pStyle w:val="textbasic"/>
              <w:jc w:val="left"/>
            </w:pPr>
            <w:r w:rsidRPr="009547FF">
              <w:t>59/1948</w:t>
            </w:r>
          </w:p>
        </w:tc>
      </w:tr>
      <w:tr w:rsidR="009547FF" w:rsidRPr="009547FF" w:rsidTr="009547FF">
        <w:tc>
          <w:tcPr>
            <w:tcW w:w="1037" w:type="dxa"/>
          </w:tcPr>
          <w:p w:rsidR="009547FF" w:rsidRPr="009547FF" w:rsidRDefault="009547FF" w:rsidP="009547FF">
            <w:pPr>
              <w:pStyle w:val="textbasic"/>
              <w:jc w:val="left"/>
            </w:pPr>
            <w:r w:rsidRPr="009547FF">
              <w:t>1951  </w:t>
            </w:r>
          </w:p>
        </w:tc>
        <w:tc>
          <w:tcPr>
            <w:tcW w:w="6078" w:type="dxa"/>
          </w:tcPr>
          <w:p w:rsidR="009547FF" w:rsidRPr="009547FF" w:rsidRDefault="009547FF" w:rsidP="009547FF">
            <w:pPr>
              <w:pStyle w:val="textbasic"/>
              <w:jc w:val="left"/>
            </w:pPr>
            <w:r w:rsidRPr="009547FF">
              <w:t>Parliamentary Salaries and Allowances (Adjustment) Act</w:t>
            </w:r>
          </w:p>
        </w:tc>
        <w:tc>
          <w:tcPr>
            <w:tcW w:w="2127" w:type="dxa"/>
          </w:tcPr>
          <w:p w:rsidR="009547FF" w:rsidRPr="009547FF" w:rsidRDefault="009547FF" w:rsidP="009547FF">
            <w:pPr>
              <w:pStyle w:val="textbasic"/>
              <w:jc w:val="left"/>
            </w:pPr>
            <w:r w:rsidRPr="009547FF">
              <w:t>73/1951</w:t>
            </w:r>
          </w:p>
        </w:tc>
      </w:tr>
      <w:tr w:rsidR="009547FF" w:rsidRPr="009547FF" w:rsidTr="009547FF">
        <w:tc>
          <w:tcPr>
            <w:tcW w:w="1037" w:type="dxa"/>
          </w:tcPr>
          <w:p w:rsidR="009547FF" w:rsidRPr="009547FF" w:rsidRDefault="009547FF" w:rsidP="009547FF">
            <w:pPr>
              <w:pStyle w:val="textbasic"/>
              <w:jc w:val="left"/>
            </w:pPr>
            <w:r w:rsidRPr="009547FF">
              <w:t>1953  </w:t>
            </w:r>
          </w:p>
        </w:tc>
        <w:tc>
          <w:tcPr>
            <w:tcW w:w="6078" w:type="dxa"/>
          </w:tcPr>
          <w:p w:rsidR="009547FF" w:rsidRPr="009547FF" w:rsidRDefault="009547FF" w:rsidP="009547FF">
            <w:pPr>
              <w:pStyle w:val="textbasic"/>
              <w:jc w:val="left"/>
            </w:pPr>
            <w:r w:rsidRPr="009547FF">
              <w:t>Parliamentary Salaries and Allowances (Adjustment) Act</w:t>
            </w:r>
          </w:p>
        </w:tc>
        <w:tc>
          <w:tcPr>
            <w:tcW w:w="2127" w:type="dxa"/>
          </w:tcPr>
          <w:p w:rsidR="009547FF" w:rsidRPr="009547FF" w:rsidRDefault="009547FF" w:rsidP="009547FF">
            <w:pPr>
              <w:pStyle w:val="textbasic"/>
              <w:jc w:val="left"/>
            </w:pPr>
            <w:r w:rsidRPr="009547FF">
              <w:t>87/1953</w:t>
            </w:r>
          </w:p>
        </w:tc>
      </w:tr>
      <w:tr w:rsidR="009547FF" w:rsidRPr="009547FF" w:rsidTr="009547FF">
        <w:tc>
          <w:tcPr>
            <w:tcW w:w="1037" w:type="dxa"/>
          </w:tcPr>
          <w:p w:rsidR="009547FF" w:rsidRPr="009547FF" w:rsidRDefault="009547FF" w:rsidP="009547FF">
            <w:pPr>
              <w:pStyle w:val="textbasic"/>
              <w:jc w:val="left"/>
            </w:pPr>
            <w:r w:rsidRPr="009547FF">
              <w:t>1955  </w:t>
            </w:r>
          </w:p>
        </w:tc>
        <w:tc>
          <w:tcPr>
            <w:tcW w:w="6078" w:type="dxa"/>
          </w:tcPr>
          <w:p w:rsidR="009547FF" w:rsidRPr="009547FF" w:rsidRDefault="009547FF" w:rsidP="009547FF">
            <w:pPr>
              <w:pStyle w:val="textbasic"/>
              <w:jc w:val="left"/>
            </w:pPr>
            <w:r w:rsidRPr="009547FF">
              <w:t>Parliamentary Salaries and Allowances Act</w:t>
            </w:r>
          </w:p>
        </w:tc>
        <w:tc>
          <w:tcPr>
            <w:tcW w:w="2127" w:type="dxa"/>
          </w:tcPr>
          <w:p w:rsidR="009547FF" w:rsidRPr="009547FF" w:rsidRDefault="009547FF" w:rsidP="009547FF">
            <w:pPr>
              <w:pStyle w:val="textbasic"/>
              <w:jc w:val="left"/>
            </w:pPr>
            <w:r w:rsidRPr="009547FF">
              <w:t>11/1955</w:t>
            </w:r>
          </w:p>
        </w:tc>
      </w:tr>
      <w:tr w:rsidR="009547FF" w:rsidRPr="009547FF" w:rsidTr="009547FF">
        <w:tc>
          <w:tcPr>
            <w:tcW w:w="1037" w:type="dxa"/>
          </w:tcPr>
          <w:p w:rsidR="009547FF" w:rsidRPr="009547FF" w:rsidRDefault="009547FF" w:rsidP="009547FF">
            <w:pPr>
              <w:pStyle w:val="textbasic"/>
              <w:jc w:val="left"/>
            </w:pPr>
            <w:r w:rsidRPr="009547FF">
              <w:t>1955  </w:t>
            </w:r>
          </w:p>
        </w:tc>
        <w:tc>
          <w:tcPr>
            <w:tcW w:w="6078" w:type="dxa"/>
          </w:tcPr>
          <w:p w:rsidR="009547FF" w:rsidRPr="009547FF" w:rsidRDefault="009547FF" w:rsidP="009547FF">
            <w:pPr>
              <w:pStyle w:val="textbasic"/>
              <w:jc w:val="left"/>
            </w:pPr>
            <w:r w:rsidRPr="009547FF">
              <w:t>Parliamentary Retiring Allowances Act</w:t>
            </w:r>
          </w:p>
        </w:tc>
        <w:tc>
          <w:tcPr>
            <w:tcW w:w="2127" w:type="dxa"/>
          </w:tcPr>
          <w:p w:rsidR="009547FF" w:rsidRPr="009547FF" w:rsidRDefault="009547FF" w:rsidP="009547FF">
            <w:pPr>
              <w:pStyle w:val="textbasic"/>
              <w:jc w:val="left"/>
            </w:pPr>
            <w:r w:rsidRPr="009547FF">
              <w:t>59/1955</w:t>
            </w:r>
          </w:p>
        </w:tc>
      </w:tr>
      <w:tr w:rsidR="009547FF" w:rsidRPr="009547FF" w:rsidTr="009547FF">
        <w:tc>
          <w:tcPr>
            <w:tcW w:w="1037" w:type="dxa"/>
          </w:tcPr>
          <w:p w:rsidR="009547FF" w:rsidRPr="009547FF" w:rsidRDefault="009547FF" w:rsidP="009547FF">
            <w:pPr>
              <w:pStyle w:val="textbasic"/>
              <w:jc w:val="left"/>
            </w:pPr>
            <w:r w:rsidRPr="009547FF">
              <w:t>1958  </w:t>
            </w:r>
          </w:p>
        </w:tc>
        <w:tc>
          <w:tcPr>
            <w:tcW w:w="6078" w:type="dxa"/>
          </w:tcPr>
          <w:p w:rsidR="009547FF" w:rsidRPr="009547FF" w:rsidRDefault="009547FF" w:rsidP="009547FF">
            <w:pPr>
              <w:pStyle w:val="textbasic"/>
              <w:jc w:val="left"/>
            </w:pPr>
            <w:r w:rsidRPr="009547FF">
              <w:t>Parliamentary Retiring Allowances Act</w:t>
            </w:r>
          </w:p>
        </w:tc>
        <w:tc>
          <w:tcPr>
            <w:tcW w:w="2127" w:type="dxa"/>
          </w:tcPr>
          <w:p w:rsidR="009547FF" w:rsidRPr="009547FF" w:rsidRDefault="009547FF" w:rsidP="009547FF">
            <w:pPr>
              <w:pStyle w:val="textbasic"/>
              <w:jc w:val="left"/>
            </w:pPr>
            <w:r w:rsidRPr="009547FF">
              <w:t>32/1958</w:t>
            </w:r>
          </w:p>
        </w:tc>
      </w:tr>
      <w:tr w:rsidR="009547FF" w:rsidRPr="009547FF" w:rsidTr="009547FF">
        <w:tc>
          <w:tcPr>
            <w:tcW w:w="1037" w:type="dxa"/>
          </w:tcPr>
          <w:p w:rsidR="009547FF" w:rsidRPr="009547FF" w:rsidRDefault="009547FF" w:rsidP="009547FF">
            <w:pPr>
              <w:pStyle w:val="textbasic"/>
              <w:jc w:val="left"/>
            </w:pPr>
            <w:r w:rsidRPr="009547FF">
              <w:t>1959  </w:t>
            </w:r>
          </w:p>
        </w:tc>
        <w:tc>
          <w:tcPr>
            <w:tcW w:w="6078" w:type="dxa"/>
          </w:tcPr>
          <w:p w:rsidR="009547FF" w:rsidRPr="009547FF" w:rsidRDefault="009547FF" w:rsidP="009547FF">
            <w:pPr>
              <w:pStyle w:val="textbasic"/>
              <w:jc w:val="left"/>
            </w:pPr>
            <w:r w:rsidRPr="009547FF">
              <w:t>Parliamentary Retiring Allowances Act</w:t>
            </w:r>
          </w:p>
        </w:tc>
        <w:tc>
          <w:tcPr>
            <w:tcW w:w="2127" w:type="dxa"/>
          </w:tcPr>
          <w:p w:rsidR="009547FF" w:rsidRPr="009547FF" w:rsidRDefault="009547FF" w:rsidP="009547FF">
            <w:pPr>
              <w:pStyle w:val="textbasic"/>
              <w:jc w:val="left"/>
            </w:pPr>
            <w:r w:rsidRPr="009547FF">
              <w:t>67/1959</w:t>
            </w:r>
          </w:p>
        </w:tc>
      </w:tr>
      <w:tr w:rsidR="009547FF" w:rsidRPr="009547FF" w:rsidTr="009547FF">
        <w:tc>
          <w:tcPr>
            <w:tcW w:w="1037" w:type="dxa"/>
          </w:tcPr>
          <w:p w:rsidR="009547FF" w:rsidRPr="009547FF" w:rsidRDefault="009547FF" w:rsidP="009547FF">
            <w:pPr>
              <w:pStyle w:val="textbasic"/>
              <w:jc w:val="left"/>
            </w:pPr>
            <w:r w:rsidRPr="009547FF">
              <w:t>1961  </w:t>
            </w:r>
          </w:p>
        </w:tc>
        <w:tc>
          <w:tcPr>
            <w:tcW w:w="6078" w:type="dxa"/>
          </w:tcPr>
          <w:p w:rsidR="009547FF" w:rsidRPr="009547FF" w:rsidRDefault="009547FF" w:rsidP="009547FF">
            <w:pPr>
              <w:pStyle w:val="textbasic"/>
              <w:jc w:val="left"/>
            </w:pPr>
            <w:r w:rsidRPr="009547FF">
              <w:t>Parliamentary Retiring Allowances Act</w:t>
            </w:r>
          </w:p>
        </w:tc>
        <w:tc>
          <w:tcPr>
            <w:tcW w:w="2127" w:type="dxa"/>
          </w:tcPr>
          <w:p w:rsidR="009547FF" w:rsidRPr="009547FF" w:rsidRDefault="009547FF" w:rsidP="009547FF">
            <w:pPr>
              <w:pStyle w:val="textbasic"/>
              <w:jc w:val="left"/>
            </w:pPr>
            <w:r w:rsidRPr="009547FF">
              <w:t>46/1961</w:t>
            </w:r>
          </w:p>
        </w:tc>
      </w:tr>
      <w:tr w:rsidR="009547FF" w:rsidRPr="009547FF" w:rsidTr="009547FF">
        <w:tc>
          <w:tcPr>
            <w:tcW w:w="1037" w:type="dxa"/>
          </w:tcPr>
          <w:p w:rsidR="009547FF" w:rsidRPr="009547FF" w:rsidRDefault="009547FF" w:rsidP="009547FF">
            <w:pPr>
              <w:pStyle w:val="textbasic"/>
              <w:jc w:val="left"/>
            </w:pPr>
            <w:r w:rsidRPr="009547FF">
              <w:t>1962  </w:t>
            </w:r>
          </w:p>
        </w:tc>
        <w:tc>
          <w:tcPr>
            <w:tcW w:w="6078" w:type="dxa"/>
          </w:tcPr>
          <w:p w:rsidR="009547FF" w:rsidRPr="009547FF" w:rsidRDefault="009547FF" w:rsidP="009547FF">
            <w:pPr>
              <w:pStyle w:val="textbasic"/>
              <w:jc w:val="left"/>
            </w:pPr>
            <w:r w:rsidRPr="009547FF">
              <w:t>Parliamentary Salaries and Allowances Act</w:t>
            </w:r>
          </w:p>
        </w:tc>
        <w:tc>
          <w:tcPr>
            <w:tcW w:w="2127" w:type="dxa"/>
          </w:tcPr>
          <w:p w:rsidR="009547FF" w:rsidRPr="009547FF" w:rsidRDefault="009547FF" w:rsidP="009547FF">
            <w:pPr>
              <w:pStyle w:val="textbasic"/>
              <w:jc w:val="left"/>
            </w:pPr>
            <w:r w:rsidRPr="009547FF">
              <w:t>10/1962</w:t>
            </w:r>
          </w:p>
        </w:tc>
      </w:tr>
      <w:tr w:rsidR="009547FF" w:rsidRPr="009547FF" w:rsidTr="009547FF">
        <w:tc>
          <w:tcPr>
            <w:tcW w:w="1037" w:type="dxa"/>
          </w:tcPr>
          <w:p w:rsidR="009547FF" w:rsidRPr="009547FF" w:rsidRDefault="009547FF" w:rsidP="009547FF">
            <w:pPr>
              <w:pStyle w:val="textbasic"/>
              <w:jc w:val="left"/>
            </w:pPr>
            <w:r w:rsidRPr="009547FF">
              <w:t>1964  </w:t>
            </w:r>
          </w:p>
        </w:tc>
        <w:tc>
          <w:tcPr>
            <w:tcW w:w="6078" w:type="dxa"/>
          </w:tcPr>
          <w:p w:rsidR="009547FF" w:rsidRPr="009547FF" w:rsidRDefault="009547FF" w:rsidP="009547FF">
            <w:pPr>
              <w:pStyle w:val="textbasic"/>
              <w:jc w:val="left"/>
            </w:pPr>
            <w:r w:rsidRPr="009547FF">
              <w:t>Parliamentary Retiring Allowances Act</w:t>
            </w:r>
          </w:p>
        </w:tc>
        <w:tc>
          <w:tcPr>
            <w:tcW w:w="2127" w:type="dxa"/>
          </w:tcPr>
          <w:p w:rsidR="009547FF" w:rsidRPr="009547FF" w:rsidRDefault="009547FF" w:rsidP="009547FF">
            <w:pPr>
              <w:pStyle w:val="textbasic"/>
              <w:jc w:val="left"/>
            </w:pPr>
            <w:r w:rsidRPr="009547FF">
              <w:t>42/1964</w:t>
            </w:r>
          </w:p>
        </w:tc>
      </w:tr>
      <w:tr w:rsidR="009547FF" w:rsidRPr="009547FF" w:rsidTr="009547FF">
        <w:tc>
          <w:tcPr>
            <w:tcW w:w="1037" w:type="dxa"/>
          </w:tcPr>
          <w:p w:rsidR="009547FF" w:rsidRPr="009547FF" w:rsidRDefault="009547FF" w:rsidP="009547FF">
            <w:pPr>
              <w:pStyle w:val="textbasic"/>
              <w:jc w:val="left"/>
            </w:pPr>
            <w:r w:rsidRPr="009547FF">
              <w:t>1968  </w:t>
            </w:r>
          </w:p>
        </w:tc>
        <w:tc>
          <w:tcPr>
            <w:tcW w:w="6078" w:type="dxa"/>
          </w:tcPr>
          <w:p w:rsidR="009547FF" w:rsidRPr="009547FF" w:rsidRDefault="009547FF" w:rsidP="009547FF">
            <w:pPr>
              <w:pStyle w:val="textbasic"/>
              <w:jc w:val="left"/>
            </w:pPr>
            <w:r w:rsidRPr="009547FF">
              <w:t>Parliamentary Retiring Allowances Act</w:t>
            </w:r>
          </w:p>
        </w:tc>
        <w:tc>
          <w:tcPr>
            <w:tcW w:w="2127" w:type="dxa"/>
          </w:tcPr>
          <w:p w:rsidR="009547FF" w:rsidRPr="009547FF" w:rsidRDefault="009547FF" w:rsidP="009547FF">
            <w:pPr>
              <w:pStyle w:val="textbasic"/>
              <w:jc w:val="left"/>
            </w:pPr>
            <w:r w:rsidRPr="009547FF">
              <w:t>40/1968</w:t>
            </w:r>
          </w:p>
        </w:tc>
      </w:tr>
      <w:tr w:rsidR="009547FF" w:rsidRPr="009547FF" w:rsidTr="009547FF">
        <w:tc>
          <w:tcPr>
            <w:tcW w:w="1037" w:type="dxa"/>
          </w:tcPr>
          <w:p w:rsidR="009547FF" w:rsidRPr="009547FF" w:rsidRDefault="009547FF" w:rsidP="009547FF">
            <w:pPr>
              <w:pStyle w:val="textbasic"/>
              <w:jc w:val="left"/>
            </w:pPr>
            <w:r w:rsidRPr="009547FF">
              <w:t>1972  </w:t>
            </w:r>
          </w:p>
        </w:tc>
        <w:tc>
          <w:tcPr>
            <w:tcW w:w="6078" w:type="dxa"/>
          </w:tcPr>
          <w:p w:rsidR="009547FF" w:rsidRPr="009547FF" w:rsidRDefault="009547FF" w:rsidP="009547FF">
            <w:pPr>
              <w:pStyle w:val="textbasic"/>
              <w:jc w:val="left"/>
            </w:pPr>
            <w:r w:rsidRPr="009547FF">
              <w:t>Parliamentary Retiring Allowances Act</w:t>
            </w:r>
          </w:p>
        </w:tc>
        <w:tc>
          <w:tcPr>
            <w:tcW w:w="2127" w:type="dxa"/>
          </w:tcPr>
          <w:p w:rsidR="009547FF" w:rsidRPr="009547FF" w:rsidRDefault="009547FF" w:rsidP="009547FF">
            <w:pPr>
              <w:pStyle w:val="textbasic"/>
              <w:jc w:val="left"/>
            </w:pPr>
            <w:r w:rsidRPr="009547FF">
              <w:t>11/1972</w:t>
            </w:r>
          </w:p>
        </w:tc>
      </w:tr>
      <w:tr w:rsidR="009547FF" w:rsidRPr="009547FF" w:rsidTr="009547FF">
        <w:tc>
          <w:tcPr>
            <w:tcW w:w="1037" w:type="dxa"/>
          </w:tcPr>
          <w:p w:rsidR="009547FF" w:rsidRPr="009547FF" w:rsidRDefault="009547FF" w:rsidP="009547FF">
            <w:pPr>
              <w:pStyle w:val="textbasic"/>
              <w:jc w:val="left"/>
            </w:pPr>
            <w:r w:rsidRPr="009547FF">
              <w:t>1972  </w:t>
            </w:r>
          </w:p>
        </w:tc>
        <w:tc>
          <w:tcPr>
            <w:tcW w:w="6078" w:type="dxa"/>
          </w:tcPr>
          <w:p w:rsidR="009547FF" w:rsidRPr="009547FF" w:rsidRDefault="009547FF" w:rsidP="009547FF">
            <w:pPr>
              <w:pStyle w:val="textbasic"/>
              <w:jc w:val="left"/>
            </w:pPr>
            <w:r w:rsidRPr="009547FF">
              <w:t>Parliamentary Retiring Allowances Act (No. 2)</w:t>
            </w:r>
          </w:p>
        </w:tc>
        <w:tc>
          <w:tcPr>
            <w:tcW w:w="2127" w:type="dxa"/>
          </w:tcPr>
          <w:p w:rsidR="009547FF" w:rsidRPr="009547FF" w:rsidRDefault="009547FF" w:rsidP="009547FF">
            <w:pPr>
              <w:pStyle w:val="textbasic"/>
              <w:jc w:val="left"/>
            </w:pPr>
            <w:r w:rsidRPr="009547FF">
              <w:t>32/1972</w:t>
            </w:r>
          </w:p>
        </w:tc>
      </w:tr>
      <w:tr w:rsidR="009547FF" w:rsidRPr="009547FF" w:rsidTr="009547FF">
        <w:tc>
          <w:tcPr>
            <w:tcW w:w="1037" w:type="dxa"/>
          </w:tcPr>
          <w:p w:rsidR="009547FF" w:rsidRPr="009547FF" w:rsidRDefault="009547FF" w:rsidP="009547FF">
            <w:pPr>
              <w:pStyle w:val="textbasic"/>
              <w:jc w:val="left"/>
            </w:pPr>
            <w:r w:rsidRPr="009547FF">
              <w:t>1973  </w:t>
            </w:r>
          </w:p>
        </w:tc>
        <w:tc>
          <w:tcPr>
            <w:tcW w:w="6078" w:type="dxa"/>
          </w:tcPr>
          <w:p w:rsidR="009547FF" w:rsidRPr="009547FF" w:rsidRDefault="009547FF" w:rsidP="009547FF">
            <w:pPr>
              <w:pStyle w:val="textbasic"/>
              <w:jc w:val="left"/>
            </w:pPr>
            <w:r w:rsidRPr="009547FF">
              <w:t>Parliamentary Salaries and Allowances Act</w:t>
            </w:r>
          </w:p>
        </w:tc>
        <w:tc>
          <w:tcPr>
            <w:tcW w:w="2127" w:type="dxa"/>
          </w:tcPr>
          <w:p w:rsidR="009547FF" w:rsidRPr="009547FF" w:rsidRDefault="009547FF" w:rsidP="009547FF">
            <w:pPr>
              <w:pStyle w:val="textbasic"/>
              <w:jc w:val="left"/>
            </w:pPr>
            <w:r w:rsidRPr="009547FF">
              <w:t>27/1973</w:t>
            </w:r>
          </w:p>
        </w:tc>
      </w:tr>
      <w:tr w:rsidR="009547FF" w:rsidRPr="009547FF" w:rsidTr="009547FF">
        <w:tc>
          <w:tcPr>
            <w:tcW w:w="1037" w:type="dxa"/>
          </w:tcPr>
          <w:p w:rsidR="009547FF" w:rsidRPr="009547FF" w:rsidRDefault="009547FF" w:rsidP="009547FF">
            <w:pPr>
              <w:pStyle w:val="textbasic"/>
              <w:jc w:val="left"/>
            </w:pPr>
            <w:r w:rsidRPr="009547FF">
              <w:t>1973 </w:t>
            </w:r>
          </w:p>
        </w:tc>
        <w:tc>
          <w:tcPr>
            <w:tcW w:w="6078" w:type="dxa"/>
          </w:tcPr>
          <w:p w:rsidR="009547FF" w:rsidRPr="009547FF" w:rsidRDefault="009547FF" w:rsidP="009547FF">
            <w:pPr>
              <w:pStyle w:val="textbasic"/>
              <w:jc w:val="left"/>
            </w:pPr>
            <w:r w:rsidRPr="009547FF">
              <w:t>Parliamentary Superannuation Act</w:t>
            </w:r>
          </w:p>
        </w:tc>
        <w:tc>
          <w:tcPr>
            <w:tcW w:w="2127" w:type="dxa"/>
          </w:tcPr>
          <w:p w:rsidR="009547FF" w:rsidRPr="009547FF" w:rsidRDefault="009547FF" w:rsidP="009547FF">
            <w:pPr>
              <w:pStyle w:val="textbasic"/>
              <w:jc w:val="left"/>
            </w:pPr>
            <w:r w:rsidRPr="009547FF">
              <w:t>28/1973</w:t>
            </w:r>
          </w:p>
        </w:tc>
      </w:tr>
      <w:tr w:rsidR="009547FF" w:rsidRPr="009547FF" w:rsidTr="009547FF">
        <w:tc>
          <w:tcPr>
            <w:tcW w:w="1037" w:type="dxa"/>
          </w:tcPr>
          <w:p w:rsidR="009547FF" w:rsidRPr="009547FF" w:rsidRDefault="009547FF" w:rsidP="009547FF">
            <w:pPr>
              <w:pStyle w:val="textbasic"/>
              <w:jc w:val="left"/>
            </w:pPr>
            <w:r w:rsidRPr="009547FF">
              <w:t>1973  </w:t>
            </w:r>
          </w:p>
        </w:tc>
        <w:tc>
          <w:tcPr>
            <w:tcW w:w="6078" w:type="dxa"/>
          </w:tcPr>
          <w:p w:rsidR="009547FF" w:rsidRPr="009547FF" w:rsidRDefault="009547FF" w:rsidP="009547FF">
            <w:pPr>
              <w:pStyle w:val="textbasic"/>
              <w:jc w:val="left"/>
            </w:pPr>
            <w:r w:rsidRPr="009547FF">
              <w:t>Parliamentary Superannuation Act (No. 2)</w:t>
            </w:r>
          </w:p>
        </w:tc>
        <w:tc>
          <w:tcPr>
            <w:tcW w:w="2127" w:type="dxa"/>
          </w:tcPr>
          <w:p w:rsidR="009547FF" w:rsidRPr="009547FF" w:rsidRDefault="009547FF" w:rsidP="009547FF">
            <w:pPr>
              <w:pStyle w:val="textbasic"/>
              <w:jc w:val="left"/>
            </w:pPr>
            <w:r w:rsidRPr="009547FF">
              <w:t>70/1973</w:t>
            </w:r>
          </w:p>
        </w:tc>
      </w:tr>
      <w:tr w:rsidR="009547FF" w:rsidRPr="009547FF" w:rsidTr="009547FF">
        <w:tc>
          <w:tcPr>
            <w:tcW w:w="1037" w:type="dxa"/>
          </w:tcPr>
          <w:p w:rsidR="009547FF" w:rsidRPr="009547FF" w:rsidRDefault="009547FF" w:rsidP="009547FF">
            <w:pPr>
              <w:pStyle w:val="textbasic"/>
              <w:jc w:val="left"/>
            </w:pPr>
            <w:r w:rsidRPr="009547FF">
              <w:t>1974  </w:t>
            </w:r>
          </w:p>
        </w:tc>
        <w:tc>
          <w:tcPr>
            <w:tcW w:w="6078" w:type="dxa"/>
          </w:tcPr>
          <w:p w:rsidR="009547FF" w:rsidRPr="009547FF" w:rsidRDefault="009547FF" w:rsidP="009547FF">
            <w:pPr>
              <w:pStyle w:val="textbasic"/>
              <w:jc w:val="left"/>
            </w:pPr>
            <w:r w:rsidRPr="009547FF">
              <w:t>Parliamentary Superannuation Amendment Act</w:t>
            </w:r>
          </w:p>
        </w:tc>
        <w:tc>
          <w:tcPr>
            <w:tcW w:w="2127" w:type="dxa"/>
          </w:tcPr>
          <w:p w:rsidR="009547FF" w:rsidRPr="009547FF" w:rsidRDefault="009547FF" w:rsidP="009547FF">
            <w:pPr>
              <w:pStyle w:val="textbasic"/>
              <w:jc w:val="left"/>
            </w:pPr>
            <w:r w:rsidRPr="009547FF">
              <w:t>67/1974</w:t>
            </w:r>
          </w:p>
        </w:tc>
      </w:tr>
      <w:tr w:rsidR="009547FF" w:rsidRPr="009547FF" w:rsidTr="009547FF">
        <w:tc>
          <w:tcPr>
            <w:tcW w:w="1037" w:type="dxa"/>
          </w:tcPr>
          <w:p w:rsidR="009547FF" w:rsidRPr="009547FF" w:rsidRDefault="009547FF" w:rsidP="009547FF">
            <w:pPr>
              <w:pStyle w:val="textbasic"/>
              <w:jc w:val="left"/>
            </w:pPr>
            <w:r w:rsidRPr="009547FF">
              <w:t>1975  </w:t>
            </w:r>
          </w:p>
        </w:tc>
        <w:tc>
          <w:tcPr>
            <w:tcW w:w="6078" w:type="dxa"/>
          </w:tcPr>
          <w:p w:rsidR="009547FF" w:rsidRPr="009547FF" w:rsidRDefault="009547FF" w:rsidP="009547FF">
            <w:pPr>
              <w:pStyle w:val="textbasic"/>
              <w:jc w:val="left"/>
            </w:pPr>
            <w:r w:rsidRPr="009547FF">
              <w:t>Parliamentary Salaries and Allowances Amendment Act</w:t>
            </w:r>
          </w:p>
        </w:tc>
        <w:tc>
          <w:tcPr>
            <w:tcW w:w="2127" w:type="dxa"/>
          </w:tcPr>
          <w:p w:rsidR="009547FF" w:rsidRPr="009547FF" w:rsidRDefault="009547FF" w:rsidP="009547FF">
            <w:pPr>
              <w:pStyle w:val="textbasic"/>
              <w:jc w:val="left"/>
            </w:pPr>
            <w:r w:rsidRPr="009547FF">
              <w:t>10/1975</w:t>
            </w:r>
          </w:p>
        </w:tc>
      </w:tr>
      <w:tr w:rsidR="009547FF" w:rsidRPr="009547FF" w:rsidTr="009547FF">
        <w:tc>
          <w:tcPr>
            <w:tcW w:w="1037" w:type="dxa"/>
          </w:tcPr>
          <w:p w:rsidR="009547FF" w:rsidRPr="009547FF" w:rsidRDefault="009547FF" w:rsidP="009547FF">
            <w:pPr>
              <w:pStyle w:val="textbasic"/>
              <w:jc w:val="left"/>
            </w:pPr>
            <w:r w:rsidRPr="009547FF">
              <w:t>1976  </w:t>
            </w:r>
          </w:p>
        </w:tc>
        <w:tc>
          <w:tcPr>
            <w:tcW w:w="6078" w:type="dxa"/>
          </w:tcPr>
          <w:p w:rsidR="009547FF" w:rsidRPr="009547FF" w:rsidRDefault="009547FF" w:rsidP="009547FF">
            <w:pPr>
              <w:pStyle w:val="textbasic"/>
              <w:jc w:val="left"/>
            </w:pPr>
            <w:r w:rsidRPr="009547FF">
              <w:t>Parliamentary Superannuation Amendment Act</w:t>
            </w:r>
          </w:p>
        </w:tc>
        <w:tc>
          <w:tcPr>
            <w:tcW w:w="2127" w:type="dxa"/>
          </w:tcPr>
          <w:p w:rsidR="009547FF" w:rsidRPr="009547FF" w:rsidRDefault="009547FF" w:rsidP="009547FF">
            <w:pPr>
              <w:pStyle w:val="textbasic"/>
              <w:jc w:val="left"/>
            </w:pPr>
            <w:r w:rsidRPr="009547FF">
              <w:t>41/1976</w:t>
            </w:r>
          </w:p>
        </w:tc>
      </w:tr>
      <w:tr w:rsidR="009547FF" w:rsidRPr="009547FF" w:rsidTr="009547FF">
        <w:tc>
          <w:tcPr>
            <w:tcW w:w="1037" w:type="dxa"/>
          </w:tcPr>
          <w:p w:rsidR="009547FF" w:rsidRPr="009547FF" w:rsidRDefault="009547FF" w:rsidP="009547FF">
            <w:pPr>
              <w:pStyle w:val="textbasic"/>
              <w:jc w:val="left"/>
            </w:pPr>
            <w:r w:rsidRPr="009547FF">
              <w:t>1977  </w:t>
            </w:r>
          </w:p>
        </w:tc>
        <w:tc>
          <w:tcPr>
            <w:tcW w:w="6078" w:type="dxa"/>
          </w:tcPr>
          <w:p w:rsidR="009547FF" w:rsidRPr="009547FF" w:rsidRDefault="009547FF" w:rsidP="009547FF">
            <w:pPr>
              <w:pStyle w:val="textbasic"/>
              <w:jc w:val="left"/>
            </w:pPr>
            <w:r w:rsidRPr="009547FF">
              <w:t>Constitution (Ministers of the Crown) Act</w:t>
            </w:r>
          </w:p>
        </w:tc>
        <w:tc>
          <w:tcPr>
            <w:tcW w:w="2127" w:type="dxa"/>
          </w:tcPr>
          <w:p w:rsidR="009547FF" w:rsidRPr="009547FF" w:rsidRDefault="009547FF" w:rsidP="009547FF">
            <w:pPr>
              <w:pStyle w:val="textbasic"/>
              <w:jc w:val="left"/>
            </w:pPr>
            <w:r w:rsidRPr="009547FF">
              <w:t>82/1977</w:t>
            </w:r>
          </w:p>
        </w:tc>
      </w:tr>
      <w:tr w:rsidR="009547FF" w:rsidRPr="009547FF" w:rsidTr="009547FF">
        <w:tc>
          <w:tcPr>
            <w:tcW w:w="1037" w:type="dxa"/>
          </w:tcPr>
          <w:p w:rsidR="009547FF" w:rsidRPr="009547FF" w:rsidRDefault="009547FF" w:rsidP="009547FF">
            <w:pPr>
              <w:pStyle w:val="textbasic"/>
              <w:jc w:val="left"/>
            </w:pPr>
            <w:r w:rsidRPr="009547FF">
              <w:lastRenderedPageBreak/>
              <w:t>1979  </w:t>
            </w:r>
          </w:p>
        </w:tc>
        <w:tc>
          <w:tcPr>
            <w:tcW w:w="6078" w:type="dxa"/>
          </w:tcPr>
          <w:p w:rsidR="009547FF" w:rsidRPr="009547FF" w:rsidRDefault="009547FF" w:rsidP="009547FF">
            <w:pPr>
              <w:pStyle w:val="textbasic"/>
              <w:jc w:val="left"/>
            </w:pPr>
            <w:r w:rsidRPr="009547FF">
              <w:t>Parliamentary Salaries and Allowances Amendment Act</w:t>
            </w:r>
          </w:p>
        </w:tc>
        <w:tc>
          <w:tcPr>
            <w:tcW w:w="2127" w:type="dxa"/>
          </w:tcPr>
          <w:p w:rsidR="009547FF" w:rsidRPr="009547FF" w:rsidRDefault="009547FF" w:rsidP="009547FF">
            <w:pPr>
              <w:pStyle w:val="textbasic"/>
              <w:jc w:val="left"/>
            </w:pPr>
            <w:r w:rsidRPr="009547FF">
              <w:t>86/1979</w:t>
            </w:r>
          </w:p>
        </w:tc>
      </w:tr>
      <w:tr w:rsidR="009547FF" w:rsidRPr="009547FF" w:rsidTr="009547FF">
        <w:tc>
          <w:tcPr>
            <w:tcW w:w="1037" w:type="dxa"/>
          </w:tcPr>
          <w:p w:rsidR="009547FF" w:rsidRPr="009547FF" w:rsidRDefault="009547FF" w:rsidP="009547FF">
            <w:pPr>
              <w:pStyle w:val="textbasic"/>
              <w:jc w:val="left"/>
            </w:pPr>
            <w:r w:rsidRPr="009547FF">
              <w:t>1979  </w:t>
            </w:r>
          </w:p>
        </w:tc>
        <w:tc>
          <w:tcPr>
            <w:tcW w:w="6078" w:type="dxa"/>
          </w:tcPr>
          <w:p w:rsidR="009547FF" w:rsidRPr="009547FF" w:rsidRDefault="009547FF" w:rsidP="009547FF">
            <w:pPr>
              <w:pStyle w:val="textbasic"/>
              <w:jc w:val="left"/>
            </w:pPr>
            <w:r w:rsidRPr="009547FF">
              <w:t>Parliamentary Superannuation Amendment Act</w:t>
            </w:r>
          </w:p>
        </w:tc>
        <w:tc>
          <w:tcPr>
            <w:tcW w:w="2127" w:type="dxa"/>
          </w:tcPr>
          <w:p w:rsidR="009547FF" w:rsidRPr="009547FF" w:rsidRDefault="009547FF" w:rsidP="009547FF">
            <w:pPr>
              <w:pStyle w:val="textbasic"/>
              <w:jc w:val="left"/>
            </w:pPr>
            <w:r w:rsidRPr="009547FF">
              <w:t>88/1979</w:t>
            </w:r>
          </w:p>
        </w:tc>
      </w:tr>
      <w:tr w:rsidR="009547FF" w:rsidRPr="009547FF" w:rsidTr="009547FF">
        <w:tc>
          <w:tcPr>
            <w:tcW w:w="1037" w:type="dxa"/>
          </w:tcPr>
          <w:p w:rsidR="009547FF" w:rsidRPr="009547FF" w:rsidRDefault="009547FF" w:rsidP="009547FF">
            <w:pPr>
              <w:pStyle w:val="textbasic"/>
              <w:jc w:val="left"/>
            </w:pPr>
            <w:r w:rsidRPr="009547FF">
              <w:t>1982  </w:t>
            </w:r>
          </w:p>
        </w:tc>
        <w:tc>
          <w:tcPr>
            <w:tcW w:w="6078" w:type="dxa"/>
          </w:tcPr>
          <w:p w:rsidR="009547FF" w:rsidRPr="009547FF" w:rsidRDefault="009547FF" w:rsidP="009547FF">
            <w:pPr>
              <w:pStyle w:val="textbasic"/>
              <w:jc w:val="left"/>
            </w:pPr>
            <w:r w:rsidRPr="009547FF">
              <w:t>Parliamentary Salaries and Allowances Amendment Act</w:t>
            </w:r>
          </w:p>
        </w:tc>
        <w:tc>
          <w:tcPr>
            <w:tcW w:w="2127" w:type="dxa"/>
          </w:tcPr>
          <w:p w:rsidR="009547FF" w:rsidRPr="009547FF" w:rsidRDefault="009547FF" w:rsidP="009547FF">
            <w:pPr>
              <w:pStyle w:val="textbasic"/>
              <w:jc w:val="left"/>
            </w:pPr>
            <w:r w:rsidRPr="009547FF">
              <w:t>14/1982</w:t>
            </w:r>
          </w:p>
        </w:tc>
      </w:tr>
      <w:tr w:rsidR="009547FF" w:rsidRPr="009547FF" w:rsidTr="009547FF">
        <w:tc>
          <w:tcPr>
            <w:tcW w:w="1037" w:type="dxa"/>
          </w:tcPr>
          <w:p w:rsidR="009547FF" w:rsidRPr="009547FF" w:rsidRDefault="009547FF" w:rsidP="009547FF">
            <w:pPr>
              <w:pStyle w:val="textbasic"/>
              <w:jc w:val="left"/>
            </w:pPr>
            <w:r w:rsidRPr="009547FF">
              <w:t>1982   </w:t>
            </w:r>
          </w:p>
        </w:tc>
        <w:tc>
          <w:tcPr>
            <w:tcW w:w="6078" w:type="dxa"/>
          </w:tcPr>
          <w:p w:rsidR="009547FF" w:rsidRPr="009547FF" w:rsidRDefault="009547FF" w:rsidP="009547FF">
            <w:pPr>
              <w:pStyle w:val="textbasic"/>
              <w:jc w:val="left"/>
            </w:pPr>
            <w:r w:rsidRPr="009547FF">
              <w:t>Parliamentary Superannuation Amendment Act</w:t>
            </w:r>
          </w:p>
        </w:tc>
        <w:tc>
          <w:tcPr>
            <w:tcW w:w="2127" w:type="dxa"/>
          </w:tcPr>
          <w:p w:rsidR="009547FF" w:rsidRPr="009547FF" w:rsidRDefault="009547FF" w:rsidP="009547FF">
            <w:pPr>
              <w:pStyle w:val="textbasic"/>
              <w:jc w:val="left"/>
            </w:pPr>
            <w:r w:rsidRPr="009547FF">
              <w:t>15/1982</w:t>
            </w:r>
          </w:p>
        </w:tc>
      </w:tr>
      <w:tr w:rsidR="009547FF" w:rsidRPr="009547FF" w:rsidTr="009547FF">
        <w:tc>
          <w:tcPr>
            <w:tcW w:w="1037" w:type="dxa"/>
          </w:tcPr>
          <w:p w:rsidR="009547FF" w:rsidRPr="009547FF" w:rsidRDefault="009547FF" w:rsidP="009547FF">
            <w:pPr>
              <w:pStyle w:val="textbasic"/>
              <w:jc w:val="left"/>
            </w:pPr>
            <w:r w:rsidRPr="009547FF">
              <w:t>1982  </w:t>
            </w:r>
          </w:p>
        </w:tc>
        <w:tc>
          <w:tcPr>
            <w:tcW w:w="6078" w:type="dxa"/>
          </w:tcPr>
          <w:p w:rsidR="009547FF" w:rsidRPr="009547FF" w:rsidRDefault="009547FF" w:rsidP="009547FF">
            <w:pPr>
              <w:pStyle w:val="textbasic"/>
              <w:jc w:val="left"/>
            </w:pPr>
            <w:r w:rsidRPr="009547FF">
              <w:t>Constitution Amendment Act</w:t>
            </w:r>
          </w:p>
        </w:tc>
        <w:tc>
          <w:tcPr>
            <w:tcW w:w="2127" w:type="dxa"/>
          </w:tcPr>
          <w:p w:rsidR="009547FF" w:rsidRPr="009547FF" w:rsidRDefault="009547FF" w:rsidP="009547FF">
            <w:pPr>
              <w:pStyle w:val="textbasic"/>
              <w:jc w:val="left"/>
            </w:pPr>
            <w:r w:rsidRPr="009547FF">
              <w:t>16/1982</w:t>
            </w:r>
          </w:p>
        </w:tc>
      </w:tr>
      <w:tr w:rsidR="009547FF" w:rsidRPr="009547FF" w:rsidTr="009547FF">
        <w:tc>
          <w:tcPr>
            <w:tcW w:w="1037" w:type="dxa"/>
          </w:tcPr>
          <w:p w:rsidR="009547FF" w:rsidRPr="009547FF" w:rsidRDefault="009547FF" w:rsidP="009547FF">
            <w:pPr>
              <w:pStyle w:val="textbasic"/>
              <w:jc w:val="left"/>
            </w:pPr>
            <w:r w:rsidRPr="009547FF">
              <w:t>1983  </w:t>
            </w:r>
          </w:p>
        </w:tc>
        <w:tc>
          <w:tcPr>
            <w:tcW w:w="6078" w:type="dxa"/>
          </w:tcPr>
          <w:p w:rsidR="009547FF" w:rsidRPr="009547FF" w:rsidRDefault="009547FF" w:rsidP="009547FF">
            <w:pPr>
              <w:pStyle w:val="textbasic"/>
              <w:jc w:val="left"/>
            </w:pPr>
            <w:r w:rsidRPr="009547FF">
              <w:t>Parliamentary Salaries and Allowances Amendment Act</w:t>
            </w:r>
          </w:p>
        </w:tc>
        <w:tc>
          <w:tcPr>
            <w:tcW w:w="2127" w:type="dxa"/>
          </w:tcPr>
          <w:p w:rsidR="009547FF" w:rsidRPr="009547FF" w:rsidRDefault="009547FF" w:rsidP="009547FF">
            <w:pPr>
              <w:pStyle w:val="textbasic"/>
              <w:jc w:val="left"/>
            </w:pPr>
            <w:r w:rsidRPr="009547FF">
              <w:t>21/1983</w:t>
            </w:r>
          </w:p>
        </w:tc>
      </w:tr>
      <w:tr w:rsidR="009547FF" w:rsidRPr="009547FF" w:rsidTr="009547FF">
        <w:tc>
          <w:tcPr>
            <w:tcW w:w="1037" w:type="dxa"/>
          </w:tcPr>
          <w:p w:rsidR="009547FF" w:rsidRPr="009547FF" w:rsidRDefault="009547FF" w:rsidP="009547FF">
            <w:pPr>
              <w:pStyle w:val="textbasic"/>
              <w:jc w:val="left"/>
            </w:pPr>
            <w:r w:rsidRPr="009547FF">
              <w:t>1983  </w:t>
            </w:r>
          </w:p>
        </w:tc>
        <w:tc>
          <w:tcPr>
            <w:tcW w:w="6078" w:type="dxa"/>
          </w:tcPr>
          <w:p w:rsidR="009547FF" w:rsidRPr="009547FF" w:rsidRDefault="009547FF" w:rsidP="009547FF">
            <w:pPr>
              <w:pStyle w:val="textbasic"/>
              <w:jc w:val="left"/>
            </w:pPr>
            <w:r w:rsidRPr="009547FF">
              <w:t>Parliamentary Superannuation (Special Provision) Act</w:t>
            </w:r>
          </w:p>
        </w:tc>
        <w:tc>
          <w:tcPr>
            <w:tcW w:w="2127" w:type="dxa"/>
          </w:tcPr>
          <w:p w:rsidR="009547FF" w:rsidRPr="009547FF" w:rsidRDefault="009547FF" w:rsidP="009547FF">
            <w:pPr>
              <w:pStyle w:val="textbasic"/>
              <w:jc w:val="left"/>
            </w:pPr>
            <w:r w:rsidRPr="009547FF">
              <w:t>62/1983</w:t>
            </w:r>
          </w:p>
        </w:tc>
      </w:tr>
      <w:tr w:rsidR="009547FF" w:rsidRPr="009547FF" w:rsidTr="009547FF">
        <w:tc>
          <w:tcPr>
            <w:tcW w:w="1037" w:type="dxa"/>
          </w:tcPr>
          <w:p w:rsidR="009547FF" w:rsidRPr="009547FF" w:rsidRDefault="009547FF" w:rsidP="009547FF">
            <w:pPr>
              <w:pStyle w:val="textbasic"/>
              <w:jc w:val="left"/>
            </w:pPr>
            <w:r w:rsidRPr="009547FF">
              <w:t>1984  </w:t>
            </w:r>
          </w:p>
        </w:tc>
        <w:tc>
          <w:tcPr>
            <w:tcW w:w="6078" w:type="dxa"/>
          </w:tcPr>
          <w:p w:rsidR="009547FF" w:rsidRPr="009547FF" w:rsidRDefault="009547FF" w:rsidP="009547FF">
            <w:pPr>
              <w:pStyle w:val="textbasic"/>
              <w:jc w:val="left"/>
            </w:pPr>
            <w:r w:rsidRPr="009547FF">
              <w:t>Parliamentary Salaries and Allowances Act</w:t>
            </w:r>
          </w:p>
        </w:tc>
        <w:tc>
          <w:tcPr>
            <w:tcW w:w="2127" w:type="dxa"/>
          </w:tcPr>
          <w:p w:rsidR="009547FF" w:rsidRPr="009547FF" w:rsidRDefault="009547FF" w:rsidP="009547FF">
            <w:pPr>
              <w:pStyle w:val="textbasic"/>
              <w:jc w:val="left"/>
            </w:pPr>
            <w:r w:rsidRPr="009547FF">
              <w:t>13/1984</w:t>
            </w:r>
          </w:p>
        </w:tc>
      </w:tr>
      <w:tr w:rsidR="009547FF" w:rsidRPr="009547FF" w:rsidTr="009547FF">
        <w:tc>
          <w:tcPr>
            <w:tcW w:w="1037" w:type="dxa"/>
          </w:tcPr>
          <w:p w:rsidR="009547FF" w:rsidRPr="009547FF" w:rsidRDefault="009547FF" w:rsidP="009547FF">
            <w:pPr>
              <w:pStyle w:val="textbasic"/>
              <w:jc w:val="left"/>
            </w:pPr>
            <w:r w:rsidRPr="009547FF">
              <w:t>1984  </w:t>
            </w:r>
          </w:p>
        </w:tc>
        <w:tc>
          <w:tcPr>
            <w:tcW w:w="6078" w:type="dxa"/>
          </w:tcPr>
          <w:p w:rsidR="009547FF" w:rsidRPr="009547FF" w:rsidRDefault="009547FF" w:rsidP="009547FF">
            <w:pPr>
              <w:pStyle w:val="textbasic"/>
              <w:jc w:val="left"/>
            </w:pPr>
            <w:r w:rsidRPr="009547FF">
              <w:t>Parliamentary Salaries and Allowances Act (No. 2)</w:t>
            </w:r>
          </w:p>
        </w:tc>
        <w:tc>
          <w:tcPr>
            <w:tcW w:w="2127" w:type="dxa"/>
          </w:tcPr>
          <w:p w:rsidR="009547FF" w:rsidRPr="009547FF" w:rsidRDefault="009547FF" w:rsidP="009547FF">
            <w:pPr>
              <w:pStyle w:val="textbasic"/>
              <w:jc w:val="left"/>
            </w:pPr>
            <w:r w:rsidRPr="009547FF">
              <w:t>30/1984</w:t>
            </w:r>
          </w:p>
        </w:tc>
      </w:tr>
      <w:tr w:rsidR="009547FF" w:rsidRPr="009547FF" w:rsidTr="009547FF">
        <w:tc>
          <w:tcPr>
            <w:tcW w:w="1037" w:type="dxa"/>
          </w:tcPr>
          <w:p w:rsidR="009547FF" w:rsidRPr="009547FF" w:rsidRDefault="009547FF" w:rsidP="009547FF">
            <w:pPr>
              <w:pStyle w:val="textbasic"/>
              <w:jc w:val="left"/>
            </w:pPr>
            <w:r w:rsidRPr="009547FF">
              <w:t>1985  </w:t>
            </w:r>
          </w:p>
        </w:tc>
        <w:tc>
          <w:tcPr>
            <w:tcW w:w="6078" w:type="dxa"/>
          </w:tcPr>
          <w:p w:rsidR="009547FF" w:rsidRPr="009547FF" w:rsidRDefault="009547FF" w:rsidP="009547FF">
            <w:pPr>
              <w:pStyle w:val="textbasic"/>
              <w:jc w:val="left"/>
            </w:pPr>
            <w:r w:rsidRPr="009547FF">
              <w:t>Parliamentary Superannuation (Special Provision) Act</w:t>
            </w:r>
          </w:p>
        </w:tc>
        <w:tc>
          <w:tcPr>
            <w:tcW w:w="2127" w:type="dxa"/>
          </w:tcPr>
          <w:p w:rsidR="009547FF" w:rsidRPr="009547FF" w:rsidRDefault="009547FF" w:rsidP="009547FF">
            <w:pPr>
              <w:pStyle w:val="textbasic"/>
              <w:jc w:val="left"/>
            </w:pPr>
            <w:r w:rsidRPr="009547FF">
              <w:t>41/1985</w:t>
            </w:r>
          </w:p>
        </w:tc>
      </w:tr>
      <w:tr w:rsidR="009547FF" w:rsidRPr="009547FF" w:rsidTr="009547FF">
        <w:tc>
          <w:tcPr>
            <w:tcW w:w="1037" w:type="dxa"/>
          </w:tcPr>
          <w:p w:rsidR="009547FF" w:rsidRPr="009547FF" w:rsidRDefault="009547FF" w:rsidP="009547FF">
            <w:pPr>
              <w:pStyle w:val="textbasic"/>
              <w:jc w:val="left"/>
            </w:pPr>
            <w:r w:rsidRPr="009547FF">
              <w:t>1985  </w:t>
            </w:r>
          </w:p>
        </w:tc>
        <w:tc>
          <w:tcPr>
            <w:tcW w:w="6078" w:type="dxa"/>
          </w:tcPr>
          <w:p w:rsidR="009547FF" w:rsidRPr="009547FF" w:rsidRDefault="009547FF" w:rsidP="009547FF">
            <w:pPr>
              <w:pStyle w:val="textbasic"/>
              <w:jc w:val="left"/>
            </w:pPr>
            <w:r w:rsidRPr="009547FF">
              <w:t>Parliamentary Superannuation Amendment Act</w:t>
            </w:r>
          </w:p>
        </w:tc>
        <w:tc>
          <w:tcPr>
            <w:tcW w:w="2127" w:type="dxa"/>
          </w:tcPr>
          <w:p w:rsidR="009547FF" w:rsidRPr="009547FF" w:rsidRDefault="009547FF" w:rsidP="009547FF">
            <w:pPr>
              <w:pStyle w:val="textbasic"/>
              <w:jc w:val="left"/>
            </w:pPr>
            <w:r w:rsidRPr="009547FF">
              <w:t>105/1985</w:t>
            </w:r>
          </w:p>
        </w:tc>
      </w:tr>
      <w:tr w:rsidR="009547FF" w:rsidRPr="009547FF" w:rsidTr="009547FF">
        <w:tc>
          <w:tcPr>
            <w:tcW w:w="1037" w:type="dxa"/>
          </w:tcPr>
          <w:p w:rsidR="009547FF" w:rsidRPr="009547FF" w:rsidRDefault="009547FF" w:rsidP="003015CF">
            <w:pPr>
              <w:pStyle w:val="textbasic"/>
              <w:jc w:val="left"/>
            </w:pPr>
            <w:r w:rsidRPr="009547FF">
              <w:t>198</w:t>
            </w:r>
            <w:r w:rsidR="003015CF">
              <w:t>6</w:t>
            </w:r>
            <w:r w:rsidRPr="009547FF">
              <w:t>  </w:t>
            </w:r>
          </w:p>
        </w:tc>
        <w:tc>
          <w:tcPr>
            <w:tcW w:w="6078" w:type="dxa"/>
          </w:tcPr>
          <w:p w:rsidR="009547FF" w:rsidRPr="009547FF" w:rsidRDefault="009547FF" w:rsidP="009547FF">
            <w:pPr>
              <w:pStyle w:val="textbasic"/>
              <w:jc w:val="left"/>
            </w:pPr>
            <w:r w:rsidRPr="009547FF">
              <w:t>Parliamentary Superannuation Amendment Act</w:t>
            </w:r>
          </w:p>
        </w:tc>
        <w:tc>
          <w:tcPr>
            <w:tcW w:w="2127" w:type="dxa"/>
          </w:tcPr>
          <w:p w:rsidR="009547FF" w:rsidRPr="009547FF" w:rsidRDefault="009547FF" w:rsidP="009547FF">
            <w:pPr>
              <w:pStyle w:val="textbasic"/>
              <w:jc w:val="left"/>
            </w:pPr>
            <w:r w:rsidRPr="009547FF">
              <w:t>1/1986</w:t>
            </w:r>
          </w:p>
        </w:tc>
      </w:tr>
      <w:tr w:rsidR="009547FF" w:rsidRPr="009547FF" w:rsidTr="009547FF">
        <w:tc>
          <w:tcPr>
            <w:tcW w:w="1037" w:type="dxa"/>
          </w:tcPr>
          <w:p w:rsidR="009547FF" w:rsidRPr="009547FF" w:rsidRDefault="009547FF" w:rsidP="009547FF">
            <w:pPr>
              <w:pStyle w:val="textbasic"/>
              <w:jc w:val="left"/>
            </w:pPr>
            <w:r w:rsidRPr="009547FF">
              <w:t>1986  </w:t>
            </w:r>
          </w:p>
        </w:tc>
        <w:tc>
          <w:tcPr>
            <w:tcW w:w="6078" w:type="dxa"/>
          </w:tcPr>
          <w:p w:rsidR="009547FF" w:rsidRPr="009547FF" w:rsidRDefault="009547FF" w:rsidP="009547FF">
            <w:pPr>
              <w:pStyle w:val="textbasic"/>
              <w:jc w:val="left"/>
            </w:pPr>
            <w:r w:rsidRPr="009547FF">
              <w:t>Parliamentary Salaries and Allowances Amendment Act</w:t>
            </w:r>
          </w:p>
        </w:tc>
        <w:tc>
          <w:tcPr>
            <w:tcW w:w="2127" w:type="dxa"/>
          </w:tcPr>
          <w:p w:rsidR="009547FF" w:rsidRPr="009547FF" w:rsidRDefault="009547FF" w:rsidP="009547FF">
            <w:pPr>
              <w:pStyle w:val="textbasic"/>
              <w:jc w:val="left"/>
            </w:pPr>
            <w:r w:rsidRPr="009547FF">
              <w:t>37/1986</w:t>
            </w:r>
          </w:p>
        </w:tc>
      </w:tr>
      <w:tr w:rsidR="009547FF" w:rsidRPr="009547FF" w:rsidTr="009547FF">
        <w:tc>
          <w:tcPr>
            <w:tcW w:w="1037" w:type="dxa"/>
          </w:tcPr>
          <w:p w:rsidR="009547FF" w:rsidRPr="009547FF" w:rsidRDefault="009547FF" w:rsidP="009547FF">
            <w:pPr>
              <w:pStyle w:val="textbasic"/>
              <w:jc w:val="left"/>
            </w:pPr>
            <w:r w:rsidRPr="009547FF">
              <w:t>1986  </w:t>
            </w:r>
          </w:p>
        </w:tc>
        <w:tc>
          <w:tcPr>
            <w:tcW w:w="6078" w:type="dxa"/>
          </w:tcPr>
          <w:p w:rsidR="009547FF" w:rsidRPr="009547FF" w:rsidRDefault="003015CF" w:rsidP="009547FF">
            <w:pPr>
              <w:pStyle w:val="textbasic"/>
              <w:jc w:val="left"/>
            </w:pPr>
            <w:r>
              <w:t>Reduction of Salaries (Members</w:t>
            </w:r>
            <w:r w:rsidR="009547FF" w:rsidRPr="009547FF">
              <w:t xml:space="preserve"> of Parliament and Judges) Act</w:t>
            </w:r>
          </w:p>
        </w:tc>
        <w:tc>
          <w:tcPr>
            <w:tcW w:w="2127" w:type="dxa"/>
          </w:tcPr>
          <w:p w:rsidR="009547FF" w:rsidRPr="009547FF" w:rsidRDefault="009547FF" w:rsidP="009547FF">
            <w:pPr>
              <w:pStyle w:val="textbasic"/>
              <w:jc w:val="left"/>
            </w:pPr>
            <w:r w:rsidRPr="009547FF">
              <w:t>74/1986</w:t>
            </w:r>
          </w:p>
        </w:tc>
      </w:tr>
      <w:tr w:rsidR="009547FF" w:rsidRPr="009547FF" w:rsidTr="009547FF">
        <w:tc>
          <w:tcPr>
            <w:tcW w:w="1037" w:type="dxa"/>
          </w:tcPr>
          <w:p w:rsidR="009547FF" w:rsidRPr="009547FF" w:rsidRDefault="009547FF" w:rsidP="009547FF">
            <w:pPr>
              <w:pStyle w:val="textbasic"/>
              <w:jc w:val="left"/>
            </w:pPr>
            <w:r w:rsidRPr="009547FF">
              <w:t>1988  </w:t>
            </w:r>
          </w:p>
        </w:tc>
        <w:tc>
          <w:tcPr>
            <w:tcW w:w="6078" w:type="dxa"/>
          </w:tcPr>
          <w:p w:rsidR="009547FF" w:rsidRPr="009547FF" w:rsidRDefault="009547FF" w:rsidP="009547FF">
            <w:pPr>
              <w:pStyle w:val="textbasic"/>
              <w:jc w:val="left"/>
            </w:pPr>
            <w:r w:rsidRPr="009547FF">
              <w:t>Parliamentary Salaries and Allowances (Doubts Removal and Amendments) Act</w:t>
            </w:r>
          </w:p>
        </w:tc>
        <w:tc>
          <w:tcPr>
            <w:tcW w:w="2127" w:type="dxa"/>
          </w:tcPr>
          <w:p w:rsidR="009547FF" w:rsidRPr="009547FF" w:rsidRDefault="009547FF" w:rsidP="009547FF">
            <w:pPr>
              <w:pStyle w:val="textbasic"/>
              <w:jc w:val="left"/>
            </w:pPr>
            <w:r w:rsidRPr="009547FF">
              <w:t>22/1988</w:t>
            </w:r>
          </w:p>
        </w:tc>
      </w:tr>
      <w:tr w:rsidR="009547FF" w:rsidRPr="009547FF" w:rsidTr="009547FF">
        <w:tc>
          <w:tcPr>
            <w:tcW w:w="1037" w:type="dxa"/>
          </w:tcPr>
          <w:p w:rsidR="009547FF" w:rsidRPr="009547FF" w:rsidRDefault="009547FF" w:rsidP="009547FF">
            <w:pPr>
              <w:pStyle w:val="textbasic"/>
              <w:jc w:val="left"/>
            </w:pPr>
            <w:r w:rsidRPr="009547FF">
              <w:t>1988</w:t>
            </w:r>
          </w:p>
        </w:tc>
        <w:tc>
          <w:tcPr>
            <w:tcW w:w="6078" w:type="dxa"/>
          </w:tcPr>
          <w:p w:rsidR="009547FF" w:rsidRPr="009547FF" w:rsidRDefault="009547FF" w:rsidP="009547FF">
            <w:pPr>
              <w:pStyle w:val="textbasic"/>
              <w:jc w:val="left"/>
            </w:pPr>
            <w:r w:rsidRPr="009547FF">
              <w:t>Parliamentary Superannuation Amendment Act</w:t>
            </w:r>
          </w:p>
        </w:tc>
        <w:tc>
          <w:tcPr>
            <w:tcW w:w="2127" w:type="dxa"/>
          </w:tcPr>
          <w:p w:rsidR="009547FF" w:rsidRPr="009547FF" w:rsidRDefault="009547FF" w:rsidP="009547FF">
            <w:pPr>
              <w:pStyle w:val="textbasic"/>
              <w:jc w:val="left"/>
            </w:pPr>
            <w:r w:rsidRPr="009547FF">
              <w:t>57/1988</w:t>
            </w:r>
          </w:p>
        </w:tc>
      </w:tr>
      <w:tr w:rsidR="009547FF" w:rsidRPr="009547FF" w:rsidTr="009547FF">
        <w:tc>
          <w:tcPr>
            <w:tcW w:w="1037" w:type="dxa"/>
          </w:tcPr>
          <w:p w:rsidR="009547FF" w:rsidRPr="009547FF" w:rsidRDefault="009547FF" w:rsidP="009547FF">
            <w:pPr>
              <w:pStyle w:val="textbasic"/>
              <w:jc w:val="left"/>
            </w:pPr>
            <w:r w:rsidRPr="009547FF">
              <w:t>1989</w:t>
            </w:r>
          </w:p>
        </w:tc>
        <w:tc>
          <w:tcPr>
            <w:tcW w:w="6078" w:type="dxa"/>
          </w:tcPr>
          <w:p w:rsidR="009547FF" w:rsidRPr="009547FF" w:rsidRDefault="009547FF" w:rsidP="009547FF">
            <w:pPr>
              <w:pStyle w:val="textbasic"/>
              <w:jc w:val="left"/>
            </w:pPr>
            <w:r w:rsidRPr="009547FF">
              <w:t>Parliamentary Superannuation Amendment Act</w:t>
            </w:r>
          </w:p>
        </w:tc>
        <w:tc>
          <w:tcPr>
            <w:tcW w:w="2127" w:type="dxa"/>
          </w:tcPr>
          <w:p w:rsidR="009547FF" w:rsidRPr="009547FF" w:rsidRDefault="009547FF" w:rsidP="009547FF">
            <w:pPr>
              <w:pStyle w:val="textbasic"/>
              <w:jc w:val="left"/>
            </w:pPr>
            <w:r w:rsidRPr="009547FF">
              <w:t>42/1989</w:t>
            </w:r>
          </w:p>
        </w:tc>
      </w:tr>
      <w:tr w:rsidR="009547FF" w:rsidRPr="009547FF" w:rsidTr="009547FF">
        <w:tc>
          <w:tcPr>
            <w:tcW w:w="1037" w:type="dxa"/>
          </w:tcPr>
          <w:p w:rsidR="009547FF" w:rsidRPr="009547FF" w:rsidRDefault="009547FF" w:rsidP="009547FF">
            <w:pPr>
              <w:pStyle w:val="textbasic"/>
              <w:jc w:val="left"/>
            </w:pPr>
            <w:r w:rsidRPr="009547FF">
              <w:t>1990</w:t>
            </w:r>
          </w:p>
        </w:tc>
        <w:tc>
          <w:tcPr>
            <w:tcW w:w="6078" w:type="dxa"/>
          </w:tcPr>
          <w:p w:rsidR="009547FF" w:rsidRPr="009547FF" w:rsidRDefault="009547FF" w:rsidP="009547FF">
            <w:pPr>
              <w:pStyle w:val="textbasic"/>
              <w:jc w:val="left"/>
            </w:pPr>
            <w:r w:rsidRPr="009547FF">
              <w:t>Parliamentary Benefits (Superannuation and Retiring Benefits Legislation) Amendment Act</w:t>
            </w:r>
          </w:p>
        </w:tc>
        <w:tc>
          <w:tcPr>
            <w:tcW w:w="2127" w:type="dxa"/>
          </w:tcPr>
          <w:p w:rsidR="009547FF" w:rsidRPr="009547FF" w:rsidRDefault="003015CF" w:rsidP="009547FF">
            <w:pPr>
              <w:pStyle w:val="textbasic"/>
              <w:jc w:val="left"/>
            </w:pPr>
            <w:r>
              <w:t>33/1990</w:t>
            </w:r>
          </w:p>
        </w:tc>
      </w:tr>
      <w:tr w:rsidR="009547FF" w:rsidRPr="009547FF" w:rsidTr="009547FF">
        <w:tc>
          <w:tcPr>
            <w:tcW w:w="1037" w:type="dxa"/>
          </w:tcPr>
          <w:p w:rsidR="009547FF" w:rsidRPr="009547FF" w:rsidRDefault="009547FF" w:rsidP="009547FF">
            <w:pPr>
              <w:pStyle w:val="textbasic"/>
              <w:jc w:val="left"/>
            </w:pPr>
            <w:r w:rsidRPr="009547FF">
              <w:t>1993</w:t>
            </w:r>
          </w:p>
        </w:tc>
        <w:tc>
          <w:tcPr>
            <w:tcW w:w="6078" w:type="dxa"/>
          </w:tcPr>
          <w:p w:rsidR="009547FF" w:rsidRPr="009547FF" w:rsidRDefault="009547FF" w:rsidP="009547FF">
            <w:pPr>
              <w:pStyle w:val="textbasic"/>
              <w:jc w:val="left"/>
            </w:pPr>
            <w:r w:rsidRPr="009547FF">
              <w:t>Parliamentary Salaries and Allowances Amendment Act</w:t>
            </w:r>
          </w:p>
        </w:tc>
        <w:tc>
          <w:tcPr>
            <w:tcW w:w="2127" w:type="dxa"/>
          </w:tcPr>
          <w:p w:rsidR="009547FF" w:rsidRPr="009547FF" w:rsidRDefault="009547FF" w:rsidP="009547FF">
            <w:pPr>
              <w:pStyle w:val="textbasic"/>
              <w:jc w:val="left"/>
            </w:pPr>
            <w:r w:rsidRPr="009547FF">
              <w:t>91/1993</w:t>
            </w:r>
          </w:p>
        </w:tc>
      </w:tr>
      <w:tr w:rsidR="009547FF" w:rsidRPr="009547FF" w:rsidTr="009547FF">
        <w:tc>
          <w:tcPr>
            <w:tcW w:w="1037" w:type="dxa"/>
          </w:tcPr>
          <w:p w:rsidR="009547FF" w:rsidRPr="009547FF" w:rsidRDefault="009547FF" w:rsidP="009547FF">
            <w:pPr>
              <w:pStyle w:val="textbasic"/>
              <w:jc w:val="left"/>
            </w:pPr>
            <w:r w:rsidRPr="009547FF">
              <w:t>1995</w:t>
            </w:r>
          </w:p>
        </w:tc>
        <w:tc>
          <w:tcPr>
            <w:tcW w:w="6078" w:type="dxa"/>
          </w:tcPr>
          <w:p w:rsidR="009547FF" w:rsidRPr="009547FF" w:rsidRDefault="009547FF" w:rsidP="009547FF">
            <w:pPr>
              <w:pStyle w:val="textbasic"/>
              <w:jc w:val="left"/>
            </w:pPr>
            <w:r w:rsidRPr="009547FF">
              <w:t>Parliamentary Salaries and Allowances Amendment Act</w:t>
            </w:r>
          </w:p>
        </w:tc>
        <w:tc>
          <w:tcPr>
            <w:tcW w:w="2127" w:type="dxa"/>
          </w:tcPr>
          <w:p w:rsidR="009547FF" w:rsidRPr="009547FF" w:rsidRDefault="009547FF" w:rsidP="009547FF">
            <w:pPr>
              <w:pStyle w:val="textbasic"/>
              <w:jc w:val="left"/>
            </w:pPr>
            <w:r w:rsidRPr="009547FF">
              <w:t>15/1995</w:t>
            </w:r>
          </w:p>
        </w:tc>
      </w:tr>
      <w:tr w:rsidR="009547FF" w:rsidRPr="009547FF" w:rsidTr="009547FF">
        <w:tc>
          <w:tcPr>
            <w:tcW w:w="1037" w:type="dxa"/>
          </w:tcPr>
          <w:p w:rsidR="009547FF" w:rsidRPr="009547FF" w:rsidRDefault="009547FF" w:rsidP="009547FF">
            <w:pPr>
              <w:pStyle w:val="textbasic"/>
              <w:jc w:val="left"/>
            </w:pPr>
            <w:r w:rsidRPr="009547FF">
              <w:t>1996</w:t>
            </w:r>
          </w:p>
        </w:tc>
        <w:tc>
          <w:tcPr>
            <w:tcW w:w="6078" w:type="dxa"/>
          </w:tcPr>
          <w:p w:rsidR="009547FF" w:rsidRPr="009547FF" w:rsidRDefault="009547FF" w:rsidP="009547FF">
            <w:pPr>
              <w:pStyle w:val="textbasic"/>
              <w:jc w:val="left"/>
            </w:pPr>
            <w:r w:rsidRPr="009547FF">
              <w:t>Parliamentary Salaries and Allowances Amendment Act</w:t>
            </w:r>
          </w:p>
        </w:tc>
        <w:tc>
          <w:tcPr>
            <w:tcW w:w="2127" w:type="dxa"/>
          </w:tcPr>
          <w:p w:rsidR="009547FF" w:rsidRPr="009547FF" w:rsidRDefault="009547FF" w:rsidP="009547FF">
            <w:pPr>
              <w:pStyle w:val="textbasic"/>
              <w:jc w:val="left"/>
            </w:pPr>
            <w:r w:rsidRPr="009547FF">
              <w:t>14/1996</w:t>
            </w:r>
          </w:p>
        </w:tc>
      </w:tr>
      <w:tr w:rsidR="009547FF" w:rsidRPr="009547FF" w:rsidTr="009547FF">
        <w:tc>
          <w:tcPr>
            <w:tcW w:w="1037" w:type="dxa"/>
          </w:tcPr>
          <w:p w:rsidR="009547FF" w:rsidRPr="009547FF" w:rsidRDefault="009547FF" w:rsidP="009547FF">
            <w:pPr>
              <w:pStyle w:val="textbasic"/>
              <w:jc w:val="left"/>
            </w:pPr>
            <w:r w:rsidRPr="009547FF">
              <w:t>2006</w:t>
            </w:r>
          </w:p>
        </w:tc>
        <w:tc>
          <w:tcPr>
            <w:tcW w:w="6078" w:type="dxa"/>
          </w:tcPr>
          <w:p w:rsidR="009547FF" w:rsidRPr="009547FF" w:rsidRDefault="009547FF" w:rsidP="009547FF">
            <w:pPr>
              <w:pStyle w:val="textbasic"/>
              <w:jc w:val="left"/>
            </w:pPr>
            <w:r w:rsidRPr="009547FF">
              <w:t>Parliamentary Salaries, Superannuation and Allowances Amendment Act</w:t>
            </w:r>
          </w:p>
        </w:tc>
        <w:tc>
          <w:tcPr>
            <w:tcW w:w="2127" w:type="dxa"/>
          </w:tcPr>
          <w:p w:rsidR="009547FF" w:rsidRPr="009547FF" w:rsidRDefault="009547FF" w:rsidP="009547FF">
            <w:pPr>
              <w:pStyle w:val="textbasic"/>
              <w:jc w:val="left"/>
            </w:pPr>
            <w:r w:rsidRPr="009547FF">
              <w:t>4/2006</w:t>
            </w:r>
          </w:p>
        </w:tc>
      </w:tr>
      <w:tr w:rsidR="009547FF" w:rsidRPr="009547FF" w:rsidTr="009547FF">
        <w:tc>
          <w:tcPr>
            <w:tcW w:w="1037" w:type="dxa"/>
          </w:tcPr>
          <w:p w:rsidR="009547FF" w:rsidRPr="009547FF" w:rsidRDefault="009547FF" w:rsidP="009547FF">
            <w:pPr>
              <w:pStyle w:val="textbasic"/>
              <w:jc w:val="left"/>
            </w:pPr>
            <w:r w:rsidRPr="009547FF">
              <w:t>2011</w:t>
            </w:r>
          </w:p>
        </w:tc>
        <w:tc>
          <w:tcPr>
            <w:tcW w:w="6078" w:type="dxa"/>
          </w:tcPr>
          <w:p w:rsidR="009547FF" w:rsidRPr="009547FF" w:rsidRDefault="009547FF" w:rsidP="009547FF">
            <w:pPr>
              <w:pStyle w:val="textbasic"/>
              <w:jc w:val="left"/>
            </w:pPr>
            <w:r w:rsidRPr="009547FF">
              <w:t>Parliamentary Salaries, Superannuation and Allowances Amendment Act</w:t>
            </w:r>
          </w:p>
        </w:tc>
        <w:tc>
          <w:tcPr>
            <w:tcW w:w="2127" w:type="dxa"/>
          </w:tcPr>
          <w:p w:rsidR="009547FF" w:rsidRPr="009547FF" w:rsidRDefault="009547FF" w:rsidP="009547FF">
            <w:pPr>
              <w:pStyle w:val="textbasic"/>
              <w:jc w:val="left"/>
            </w:pPr>
            <w:r w:rsidRPr="009547FF">
              <w:t>24/2011</w:t>
            </w:r>
          </w:p>
        </w:tc>
      </w:tr>
      <w:tr w:rsidR="009547FF" w:rsidRPr="009547FF" w:rsidTr="009547FF">
        <w:tc>
          <w:tcPr>
            <w:tcW w:w="1037" w:type="dxa"/>
          </w:tcPr>
          <w:p w:rsidR="009547FF" w:rsidRPr="009547FF" w:rsidRDefault="009547FF" w:rsidP="009547FF">
            <w:pPr>
              <w:pStyle w:val="textbasic"/>
              <w:jc w:val="left"/>
            </w:pPr>
            <w:r w:rsidRPr="009547FF">
              <w:t>2012</w:t>
            </w:r>
          </w:p>
        </w:tc>
        <w:tc>
          <w:tcPr>
            <w:tcW w:w="6078" w:type="dxa"/>
          </w:tcPr>
          <w:p w:rsidR="009547FF" w:rsidRPr="009547FF" w:rsidRDefault="009547FF" w:rsidP="009547FF">
            <w:pPr>
              <w:pStyle w:val="textbasic"/>
              <w:jc w:val="left"/>
            </w:pPr>
            <w:r w:rsidRPr="009547FF">
              <w:t>Parliamentary Salaries, Superannuation and Allowances Act</w:t>
            </w:r>
          </w:p>
        </w:tc>
        <w:tc>
          <w:tcPr>
            <w:tcW w:w="2127" w:type="dxa"/>
          </w:tcPr>
          <w:p w:rsidR="009547FF" w:rsidRPr="009547FF" w:rsidRDefault="009547FF" w:rsidP="009547FF">
            <w:pPr>
              <w:pStyle w:val="textbasic"/>
              <w:jc w:val="left"/>
            </w:pPr>
            <w:r w:rsidRPr="009547FF">
              <w:t>18/2012</w:t>
            </w:r>
          </w:p>
        </w:tc>
      </w:tr>
      <w:tr w:rsidR="009547FF" w:rsidRPr="009547FF" w:rsidTr="009547FF">
        <w:tc>
          <w:tcPr>
            <w:tcW w:w="1037" w:type="dxa"/>
          </w:tcPr>
          <w:p w:rsidR="009547FF" w:rsidRPr="009547FF" w:rsidRDefault="009547FF" w:rsidP="009547FF">
            <w:pPr>
              <w:pStyle w:val="textbasic"/>
              <w:jc w:val="left"/>
            </w:pPr>
            <w:r w:rsidRPr="009547FF">
              <w:t>201</w:t>
            </w:r>
            <w:r>
              <w:t>5</w:t>
            </w:r>
          </w:p>
        </w:tc>
        <w:tc>
          <w:tcPr>
            <w:tcW w:w="6078" w:type="dxa"/>
          </w:tcPr>
          <w:p w:rsidR="009547FF" w:rsidRPr="009547FF" w:rsidRDefault="009547FF" w:rsidP="009547FF">
            <w:pPr>
              <w:pStyle w:val="textbasic"/>
              <w:jc w:val="left"/>
            </w:pPr>
            <w:r w:rsidRPr="009547FF">
              <w:t>Parliamentary Salaries, Superannuation and Allowances </w:t>
            </w:r>
            <w:r>
              <w:t xml:space="preserve">Amendment </w:t>
            </w:r>
            <w:r w:rsidRPr="009547FF">
              <w:t>Act</w:t>
            </w:r>
          </w:p>
        </w:tc>
        <w:tc>
          <w:tcPr>
            <w:tcW w:w="2127" w:type="dxa"/>
          </w:tcPr>
          <w:p w:rsidR="009547FF" w:rsidRPr="009547FF" w:rsidRDefault="009547FF" w:rsidP="009547FF">
            <w:pPr>
              <w:pStyle w:val="textbasic"/>
              <w:jc w:val="left"/>
            </w:pPr>
            <w:r>
              <w:t>24</w:t>
            </w:r>
            <w:r w:rsidRPr="009547FF">
              <w:t>/201</w:t>
            </w:r>
            <w:r>
              <w:t>5</w:t>
            </w:r>
          </w:p>
        </w:tc>
      </w:tr>
    </w:tbl>
    <w:p w:rsidR="00A82D6F" w:rsidRPr="007F2E75" w:rsidRDefault="00A82D6F" w:rsidP="007F2E75">
      <w:pPr>
        <w:pStyle w:val="Heading2"/>
        <w:rPr>
          <w:b/>
        </w:rPr>
      </w:pPr>
      <w:r w:rsidRPr="00A82D6F">
        <w:br w:type="page"/>
      </w:r>
      <w:bookmarkStart w:id="107" w:name="_Toc443486972"/>
      <w:r w:rsidR="009547FF" w:rsidRPr="007F2E75">
        <w:rPr>
          <w:b/>
        </w:rPr>
        <w:lastRenderedPageBreak/>
        <w:t>3</w:t>
      </w:r>
      <w:r w:rsidR="009547FF" w:rsidRPr="007F2E75">
        <w:rPr>
          <w:b/>
        </w:rPr>
        <w:tab/>
      </w:r>
      <w:r w:rsidRPr="007F2E75">
        <w:rPr>
          <w:b/>
        </w:rPr>
        <w:t xml:space="preserve">Significant Changes to </w:t>
      </w:r>
      <w:r w:rsidR="007F2E75" w:rsidRPr="007F2E75">
        <w:rPr>
          <w:b/>
        </w:rPr>
        <w:t>MPs’</w:t>
      </w:r>
      <w:r w:rsidRPr="007F2E75">
        <w:rPr>
          <w:b/>
        </w:rPr>
        <w:t xml:space="preserve"> Pay</w:t>
      </w:r>
      <w:bookmarkEnd w:id="107"/>
    </w:p>
    <w:tbl>
      <w:tblPr>
        <w:tblStyle w:val="TableGrid"/>
        <w:tblW w:w="0" w:type="auto"/>
        <w:tblLook w:val="04A0" w:firstRow="1" w:lastRow="0" w:firstColumn="1" w:lastColumn="0" w:noHBand="0" w:noVBand="1"/>
      </w:tblPr>
      <w:tblGrid>
        <w:gridCol w:w="1514"/>
        <w:gridCol w:w="1724"/>
        <w:gridCol w:w="2399"/>
        <w:gridCol w:w="1275"/>
        <w:gridCol w:w="2330"/>
      </w:tblGrid>
      <w:tr w:rsidR="00F322E8" w:rsidRPr="007F2E75" w:rsidTr="00060E2B">
        <w:trPr>
          <w:cantSplit/>
          <w:tblHeader/>
        </w:trPr>
        <w:tc>
          <w:tcPr>
            <w:tcW w:w="1514" w:type="dxa"/>
            <w:shd w:val="clear" w:color="auto" w:fill="D9D9D9" w:themeFill="background1" w:themeFillShade="D9"/>
          </w:tcPr>
          <w:p w:rsidR="00F322E8" w:rsidRPr="007F2E75" w:rsidRDefault="00F322E8" w:rsidP="001C028F">
            <w:pPr>
              <w:spacing w:before="120" w:after="120"/>
              <w:rPr>
                <w:b/>
                <w:sz w:val="18"/>
                <w:szCs w:val="18"/>
              </w:rPr>
            </w:pPr>
            <w:r w:rsidRPr="007F2E75">
              <w:rPr>
                <w:b/>
                <w:sz w:val="18"/>
                <w:szCs w:val="18"/>
              </w:rPr>
              <w:t>Year/Date</w:t>
            </w:r>
          </w:p>
        </w:tc>
        <w:tc>
          <w:tcPr>
            <w:tcW w:w="1724" w:type="dxa"/>
            <w:shd w:val="clear" w:color="auto" w:fill="D9D9D9" w:themeFill="background1" w:themeFillShade="D9"/>
          </w:tcPr>
          <w:p w:rsidR="00F322E8" w:rsidRPr="007F2E75" w:rsidRDefault="00F322E8" w:rsidP="001C028F">
            <w:pPr>
              <w:spacing w:before="120" w:after="120"/>
              <w:rPr>
                <w:b/>
                <w:sz w:val="18"/>
                <w:szCs w:val="18"/>
              </w:rPr>
            </w:pPr>
            <w:r w:rsidRPr="007F2E75">
              <w:rPr>
                <w:b/>
                <w:sz w:val="18"/>
                <w:szCs w:val="18"/>
              </w:rPr>
              <w:t>Bas</w:t>
            </w:r>
            <w:r w:rsidR="003015CF">
              <w:rPr>
                <w:b/>
                <w:sz w:val="18"/>
                <w:szCs w:val="18"/>
              </w:rPr>
              <w:t>ic</w:t>
            </w:r>
            <w:r w:rsidRPr="007F2E75">
              <w:rPr>
                <w:b/>
                <w:sz w:val="18"/>
                <w:szCs w:val="18"/>
              </w:rPr>
              <w:t xml:space="preserve"> Salary</w:t>
            </w:r>
          </w:p>
        </w:tc>
        <w:tc>
          <w:tcPr>
            <w:tcW w:w="2399" w:type="dxa"/>
            <w:shd w:val="clear" w:color="auto" w:fill="D9D9D9" w:themeFill="background1" w:themeFillShade="D9"/>
          </w:tcPr>
          <w:p w:rsidR="00F322E8" w:rsidRPr="007F2E75" w:rsidRDefault="00F322E8" w:rsidP="001C028F">
            <w:pPr>
              <w:spacing w:before="120" w:after="120"/>
              <w:rPr>
                <w:b/>
                <w:sz w:val="18"/>
                <w:szCs w:val="18"/>
              </w:rPr>
            </w:pPr>
            <w:r w:rsidRPr="007F2E75">
              <w:rPr>
                <w:b/>
                <w:sz w:val="18"/>
                <w:szCs w:val="18"/>
              </w:rPr>
              <w:t>Implemented by</w:t>
            </w:r>
          </w:p>
        </w:tc>
        <w:tc>
          <w:tcPr>
            <w:tcW w:w="1275" w:type="dxa"/>
            <w:shd w:val="clear" w:color="auto" w:fill="D9D9D9" w:themeFill="background1" w:themeFillShade="D9"/>
          </w:tcPr>
          <w:p w:rsidR="00F322E8" w:rsidRPr="007F2E75" w:rsidRDefault="00F322E8" w:rsidP="001C028F">
            <w:pPr>
              <w:spacing w:before="120" w:after="120"/>
              <w:rPr>
                <w:b/>
                <w:sz w:val="18"/>
                <w:szCs w:val="18"/>
              </w:rPr>
            </w:pPr>
            <w:r w:rsidRPr="007F2E75">
              <w:rPr>
                <w:b/>
                <w:sz w:val="18"/>
                <w:szCs w:val="18"/>
              </w:rPr>
              <w:t>Increase</w:t>
            </w:r>
          </w:p>
        </w:tc>
        <w:tc>
          <w:tcPr>
            <w:tcW w:w="2330" w:type="dxa"/>
            <w:shd w:val="clear" w:color="auto" w:fill="D9D9D9" w:themeFill="background1" w:themeFillShade="D9"/>
          </w:tcPr>
          <w:p w:rsidR="00F322E8" w:rsidRPr="007F2E75" w:rsidRDefault="007F2E75" w:rsidP="001C028F">
            <w:pPr>
              <w:spacing w:before="120" w:after="120"/>
              <w:rPr>
                <w:b/>
                <w:sz w:val="18"/>
                <w:szCs w:val="18"/>
              </w:rPr>
            </w:pPr>
            <w:r w:rsidRPr="007F2E75">
              <w:rPr>
                <w:b/>
                <w:sz w:val="18"/>
                <w:szCs w:val="18"/>
              </w:rPr>
              <w:t>Comments</w:t>
            </w:r>
          </w:p>
        </w:tc>
      </w:tr>
      <w:tr w:rsidR="00F322E8" w:rsidRPr="007F2E75" w:rsidTr="00F322E8">
        <w:tc>
          <w:tcPr>
            <w:tcW w:w="1514" w:type="dxa"/>
          </w:tcPr>
          <w:p w:rsidR="00F322E8" w:rsidRPr="007F2E75" w:rsidRDefault="00F322E8" w:rsidP="007F2E75">
            <w:pPr>
              <w:rPr>
                <w:sz w:val="18"/>
                <w:szCs w:val="18"/>
              </w:rPr>
            </w:pPr>
            <w:r w:rsidRPr="007F2E75">
              <w:rPr>
                <w:sz w:val="18"/>
                <w:szCs w:val="18"/>
              </w:rPr>
              <w:t>1890</w:t>
            </w:r>
          </w:p>
        </w:tc>
        <w:tc>
          <w:tcPr>
            <w:tcW w:w="1724" w:type="dxa"/>
          </w:tcPr>
          <w:p w:rsidR="00F322E8" w:rsidRPr="007F2E75" w:rsidRDefault="00F322E8" w:rsidP="007F2E75">
            <w:pPr>
              <w:rPr>
                <w:sz w:val="18"/>
                <w:szCs w:val="18"/>
              </w:rPr>
            </w:pPr>
            <w:r w:rsidRPr="007F2E75">
              <w:rPr>
                <w:sz w:val="18"/>
                <w:szCs w:val="18"/>
              </w:rPr>
              <w:t>100 pounds</w:t>
            </w:r>
          </w:p>
        </w:tc>
        <w:tc>
          <w:tcPr>
            <w:tcW w:w="2399" w:type="dxa"/>
          </w:tcPr>
          <w:p w:rsidR="00F322E8" w:rsidRPr="007F2E75" w:rsidRDefault="00F322E8" w:rsidP="007F2E75">
            <w:pPr>
              <w:rPr>
                <w:sz w:val="18"/>
                <w:szCs w:val="18"/>
              </w:rPr>
            </w:pPr>
            <w:r w:rsidRPr="007F2E75">
              <w:rPr>
                <w:sz w:val="18"/>
                <w:szCs w:val="18"/>
              </w:rPr>
              <w:t> </w:t>
            </w:r>
          </w:p>
        </w:tc>
        <w:tc>
          <w:tcPr>
            <w:tcW w:w="1275" w:type="dxa"/>
          </w:tcPr>
          <w:p w:rsidR="00F322E8" w:rsidRPr="007F2E75" w:rsidRDefault="00F322E8" w:rsidP="007F2E75">
            <w:pPr>
              <w:rPr>
                <w:sz w:val="18"/>
                <w:szCs w:val="18"/>
              </w:rPr>
            </w:pPr>
            <w:r w:rsidRPr="007F2E75">
              <w:rPr>
                <w:sz w:val="18"/>
                <w:szCs w:val="18"/>
              </w:rPr>
              <w:t> </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1908</w:t>
            </w:r>
          </w:p>
        </w:tc>
        <w:tc>
          <w:tcPr>
            <w:tcW w:w="1724" w:type="dxa"/>
          </w:tcPr>
          <w:p w:rsidR="00F322E8" w:rsidRPr="007F2E75" w:rsidRDefault="00F322E8" w:rsidP="007F2E75">
            <w:pPr>
              <w:rPr>
                <w:sz w:val="18"/>
                <w:szCs w:val="18"/>
              </w:rPr>
            </w:pPr>
            <w:r w:rsidRPr="007F2E75">
              <w:rPr>
                <w:sz w:val="18"/>
                <w:szCs w:val="18"/>
              </w:rPr>
              <w:t>200 pounds</w:t>
            </w:r>
          </w:p>
        </w:tc>
        <w:tc>
          <w:tcPr>
            <w:tcW w:w="2399" w:type="dxa"/>
          </w:tcPr>
          <w:p w:rsidR="00F322E8" w:rsidRPr="007F2E75" w:rsidRDefault="00F322E8" w:rsidP="007F2E75">
            <w:pPr>
              <w:rPr>
                <w:sz w:val="18"/>
                <w:szCs w:val="18"/>
              </w:rPr>
            </w:pPr>
            <w:r w:rsidRPr="007F2E75">
              <w:rPr>
                <w:sz w:val="18"/>
                <w:szCs w:val="18"/>
              </w:rPr>
              <w:t> </w:t>
            </w:r>
          </w:p>
        </w:tc>
        <w:tc>
          <w:tcPr>
            <w:tcW w:w="1275" w:type="dxa"/>
          </w:tcPr>
          <w:p w:rsidR="00F322E8" w:rsidRPr="007F2E75" w:rsidRDefault="00F322E8" w:rsidP="007F2E75">
            <w:pPr>
              <w:rPr>
                <w:sz w:val="18"/>
                <w:szCs w:val="18"/>
              </w:rPr>
            </w:pPr>
            <w:r w:rsidRPr="007F2E75">
              <w:rPr>
                <w:sz w:val="18"/>
                <w:szCs w:val="18"/>
              </w:rPr>
              <w:t> </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1918</w:t>
            </w:r>
          </w:p>
        </w:tc>
        <w:tc>
          <w:tcPr>
            <w:tcW w:w="1724" w:type="dxa"/>
          </w:tcPr>
          <w:p w:rsidR="00F322E8" w:rsidRPr="007F2E75" w:rsidRDefault="00F322E8" w:rsidP="007F2E75">
            <w:pPr>
              <w:rPr>
                <w:sz w:val="18"/>
                <w:szCs w:val="18"/>
              </w:rPr>
            </w:pPr>
            <w:r w:rsidRPr="007F2E75">
              <w:rPr>
                <w:sz w:val="18"/>
                <w:szCs w:val="18"/>
              </w:rPr>
              <w:t>300 pounds</w:t>
            </w:r>
          </w:p>
        </w:tc>
        <w:tc>
          <w:tcPr>
            <w:tcW w:w="2399" w:type="dxa"/>
          </w:tcPr>
          <w:p w:rsidR="00F322E8" w:rsidRPr="007F2E75" w:rsidRDefault="00F322E8" w:rsidP="007F2E75">
            <w:pPr>
              <w:rPr>
                <w:sz w:val="18"/>
                <w:szCs w:val="18"/>
              </w:rPr>
            </w:pPr>
            <w:r w:rsidRPr="007F2E75">
              <w:rPr>
                <w:sz w:val="18"/>
                <w:szCs w:val="18"/>
              </w:rPr>
              <w:t> </w:t>
            </w:r>
          </w:p>
        </w:tc>
        <w:tc>
          <w:tcPr>
            <w:tcW w:w="1275" w:type="dxa"/>
          </w:tcPr>
          <w:p w:rsidR="00F322E8" w:rsidRPr="007F2E75" w:rsidRDefault="00F322E8" w:rsidP="007F2E75">
            <w:pPr>
              <w:rPr>
                <w:sz w:val="18"/>
                <w:szCs w:val="18"/>
              </w:rPr>
            </w:pPr>
            <w:r w:rsidRPr="007F2E75">
              <w:rPr>
                <w:sz w:val="18"/>
                <w:szCs w:val="18"/>
              </w:rPr>
              <w:t> </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1927</w:t>
            </w:r>
          </w:p>
        </w:tc>
        <w:tc>
          <w:tcPr>
            <w:tcW w:w="1724" w:type="dxa"/>
          </w:tcPr>
          <w:p w:rsidR="00F322E8" w:rsidRPr="007F2E75" w:rsidRDefault="00F322E8" w:rsidP="007F2E75">
            <w:pPr>
              <w:rPr>
                <w:sz w:val="18"/>
                <w:szCs w:val="18"/>
              </w:rPr>
            </w:pPr>
            <w:r w:rsidRPr="007F2E75">
              <w:rPr>
                <w:sz w:val="18"/>
                <w:szCs w:val="18"/>
              </w:rPr>
              <w:t>Basic pay plus allowances principle introduced.</w:t>
            </w:r>
          </w:p>
        </w:tc>
        <w:tc>
          <w:tcPr>
            <w:tcW w:w="2399" w:type="dxa"/>
          </w:tcPr>
          <w:p w:rsidR="00F322E8" w:rsidRPr="007F2E75" w:rsidRDefault="00F322E8" w:rsidP="007F2E75">
            <w:pPr>
              <w:rPr>
                <w:sz w:val="18"/>
                <w:szCs w:val="18"/>
              </w:rPr>
            </w:pPr>
            <w:r w:rsidRPr="007F2E75">
              <w:rPr>
                <w:sz w:val="18"/>
                <w:szCs w:val="18"/>
              </w:rPr>
              <w:t> </w:t>
            </w:r>
          </w:p>
        </w:tc>
        <w:tc>
          <w:tcPr>
            <w:tcW w:w="1275" w:type="dxa"/>
          </w:tcPr>
          <w:p w:rsidR="00F322E8" w:rsidRPr="007F2E75" w:rsidRDefault="00F322E8" w:rsidP="007F2E75">
            <w:pPr>
              <w:rPr>
                <w:sz w:val="18"/>
                <w:szCs w:val="18"/>
              </w:rPr>
            </w:pPr>
            <w:r w:rsidRPr="007F2E75">
              <w:rPr>
                <w:sz w:val="18"/>
                <w:szCs w:val="18"/>
              </w:rPr>
              <w:t> </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1948</w:t>
            </w:r>
          </w:p>
        </w:tc>
        <w:tc>
          <w:tcPr>
            <w:tcW w:w="1724" w:type="dxa"/>
          </w:tcPr>
          <w:p w:rsidR="00F322E8" w:rsidRPr="007F2E75" w:rsidRDefault="00F322E8" w:rsidP="007F2E75">
            <w:pPr>
              <w:rPr>
                <w:sz w:val="18"/>
                <w:szCs w:val="18"/>
              </w:rPr>
            </w:pPr>
            <w:r w:rsidRPr="007F2E75">
              <w:rPr>
                <w:sz w:val="18"/>
                <w:szCs w:val="18"/>
              </w:rPr>
              <w:t>800 pounds (Legislative Council) </w:t>
            </w:r>
          </w:p>
        </w:tc>
        <w:tc>
          <w:tcPr>
            <w:tcW w:w="2399" w:type="dxa"/>
          </w:tcPr>
          <w:p w:rsidR="00F322E8" w:rsidRPr="007F2E75" w:rsidRDefault="00F322E8" w:rsidP="007F2E75">
            <w:pPr>
              <w:rPr>
                <w:sz w:val="18"/>
                <w:szCs w:val="18"/>
              </w:rPr>
            </w:pPr>
          </w:p>
        </w:tc>
        <w:tc>
          <w:tcPr>
            <w:tcW w:w="1275" w:type="dxa"/>
          </w:tcPr>
          <w:p w:rsidR="00F322E8" w:rsidRPr="007F2E75" w:rsidRDefault="00F322E8" w:rsidP="007F2E75">
            <w:pPr>
              <w:rPr>
                <w:sz w:val="18"/>
                <w:szCs w:val="18"/>
              </w:rPr>
            </w:pP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p>
        </w:tc>
        <w:tc>
          <w:tcPr>
            <w:tcW w:w="1724" w:type="dxa"/>
          </w:tcPr>
          <w:p w:rsidR="00F322E8" w:rsidRPr="007F2E75" w:rsidRDefault="003015CF" w:rsidP="007F2E75">
            <w:pPr>
              <w:rPr>
                <w:sz w:val="18"/>
                <w:szCs w:val="18"/>
              </w:rPr>
            </w:pPr>
            <w:r w:rsidRPr="007F2E75">
              <w:rPr>
                <w:sz w:val="18"/>
                <w:szCs w:val="18"/>
              </w:rPr>
              <w:t>880 pounds (House of Assembly)</w:t>
            </w:r>
            <w:r w:rsidR="00F322E8" w:rsidRPr="007F2E75">
              <w:rPr>
                <w:sz w:val="18"/>
                <w:szCs w:val="18"/>
              </w:rPr>
              <w:t> </w:t>
            </w:r>
          </w:p>
        </w:tc>
        <w:tc>
          <w:tcPr>
            <w:tcW w:w="2399" w:type="dxa"/>
          </w:tcPr>
          <w:p w:rsidR="00F322E8" w:rsidRPr="007F2E75" w:rsidRDefault="00F322E8" w:rsidP="007F2E75">
            <w:pPr>
              <w:rPr>
                <w:sz w:val="18"/>
                <w:szCs w:val="18"/>
              </w:rPr>
            </w:pPr>
            <w:r w:rsidRPr="007F2E75">
              <w:rPr>
                <w:sz w:val="18"/>
                <w:szCs w:val="18"/>
              </w:rPr>
              <w:t> </w:t>
            </w:r>
          </w:p>
        </w:tc>
        <w:tc>
          <w:tcPr>
            <w:tcW w:w="1275" w:type="dxa"/>
          </w:tcPr>
          <w:p w:rsidR="00F322E8" w:rsidRPr="007F2E75" w:rsidRDefault="00F322E8" w:rsidP="007F2E75">
            <w:pPr>
              <w:rPr>
                <w:sz w:val="18"/>
                <w:szCs w:val="18"/>
              </w:rPr>
            </w:pP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1955</w:t>
            </w:r>
          </w:p>
        </w:tc>
        <w:tc>
          <w:tcPr>
            <w:tcW w:w="1724" w:type="dxa"/>
          </w:tcPr>
          <w:p w:rsidR="00F322E8" w:rsidRPr="007F2E75" w:rsidRDefault="00F322E8" w:rsidP="007F2E75">
            <w:pPr>
              <w:rPr>
                <w:sz w:val="18"/>
                <w:szCs w:val="18"/>
              </w:rPr>
            </w:pPr>
            <w:r w:rsidRPr="007F2E75">
              <w:rPr>
                <w:sz w:val="18"/>
                <w:szCs w:val="18"/>
              </w:rPr>
              <w:t>1,382 pounds</w:t>
            </w:r>
          </w:p>
        </w:tc>
        <w:tc>
          <w:tcPr>
            <w:tcW w:w="2399" w:type="dxa"/>
          </w:tcPr>
          <w:p w:rsidR="00F322E8" w:rsidRPr="007F2E75" w:rsidRDefault="00F322E8" w:rsidP="007F2E75">
            <w:pPr>
              <w:rPr>
                <w:sz w:val="18"/>
                <w:szCs w:val="18"/>
              </w:rPr>
            </w:pPr>
            <w:r w:rsidRPr="007F2E75">
              <w:rPr>
                <w:sz w:val="18"/>
                <w:szCs w:val="18"/>
              </w:rPr>
              <w:t> </w:t>
            </w:r>
          </w:p>
        </w:tc>
        <w:tc>
          <w:tcPr>
            <w:tcW w:w="1275" w:type="dxa"/>
          </w:tcPr>
          <w:p w:rsidR="00F322E8" w:rsidRPr="007F2E75" w:rsidRDefault="00F322E8" w:rsidP="007F2E75">
            <w:pPr>
              <w:rPr>
                <w:sz w:val="18"/>
                <w:szCs w:val="18"/>
              </w:rPr>
            </w:pPr>
            <w:r w:rsidRPr="007F2E75">
              <w:rPr>
                <w:sz w:val="18"/>
                <w:szCs w:val="18"/>
              </w:rPr>
              <w:t> </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1962</w:t>
            </w:r>
          </w:p>
        </w:tc>
        <w:tc>
          <w:tcPr>
            <w:tcW w:w="1724" w:type="dxa"/>
          </w:tcPr>
          <w:p w:rsidR="00F322E8" w:rsidRPr="007F2E75" w:rsidRDefault="00F322E8" w:rsidP="007F2E75">
            <w:pPr>
              <w:rPr>
                <w:sz w:val="18"/>
                <w:szCs w:val="18"/>
              </w:rPr>
            </w:pPr>
            <w:r w:rsidRPr="007F2E75">
              <w:rPr>
                <w:sz w:val="18"/>
                <w:szCs w:val="18"/>
              </w:rPr>
              <w:t>1,850 pounds</w:t>
            </w:r>
          </w:p>
        </w:tc>
        <w:tc>
          <w:tcPr>
            <w:tcW w:w="2399" w:type="dxa"/>
          </w:tcPr>
          <w:p w:rsidR="00F322E8" w:rsidRPr="007F2E75" w:rsidRDefault="00F322E8" w:rsidP="007F2E75">
            <w:pPr>
              <w:rPr>
                <w:sz w:val="18"/>
                <w:szCs w:val="18"/>
              </w:rPr>
            </w:pPr>
            <w:r w:rsidRPr="007F2E75">
              <w:rPr>
                <w:sz w:val="18"/>
                <w:szCs w:val="18"/>
              </w:rPr>
              <w:t> </w:t>
            </w:r>
          </w:p>
        </w:tc>
        <w:tc>
          <w:tcPr>
            <w:tcW w:w="1275" w:type="dxa"/>
          </w:tcPr>
          <w:p w:rsidR="00F322E8" w:rsidRPr="007F2E75" w:rsidRDefault="00F322E8" w:rsidP="007F2E75">
            <w:pPr>
              <w:rPr>
                <w:sz w:val="18"/>
                <w:szCs w:val="18"/>
              </w:rPr>
            </w:pPr>
            <w:r w:rsidRPr="007F2E75">
              <w:rPr>
                <w:sz w:val="18"/>
                <w:szCs w:val="18"/>
              </w:rPr>
              <w:t> </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1967</w:t>
            </w:r>
          </w:p>
        </w:tc>
        <w:tc>
          <w:tcPr>
            <w:tcW w:w="1724" w:type="dxa"/>
          </w:tcPr>
          <w:p w:rsidR="00F322E8" w:rsidRPr="007F2E75" w:rsidRDefault="00F322E8" w:rsidP="007F2E75">
            <w:pPr>
              <w:rPr>
                <w:sz w:val="18"/>
                <w:szCs w:val="18"/>
              </w:rPr>
            </w:pPr>
            <w:r w:rsidRPr="007F2E75">
              <w:rPr>
                <w:sz w:val="18"/>
                <w:szCs w:val="18"/>
              </w:rPr>
              <w:t>$4,600</w:t>
            </w:r>
          </w:p>
        </w:tc>
        <w:tc>
          <w:tcPr>
            <w:tcW w:w="2399" w:type="dxa"/>
          </w:tcPr>
          <w:p w:rsidR="00F322E8" w:rsidRPr="007F2E75" w:rsidRDefault="00F322E8" w:rsidP="007F2E75">
            <w:pPr>
              <w:rPr>
                <w:sz w:val="18"/>
                <w:szCs w:val="18"/>
              </w:rPr>
            </w:pPr>
            <w:r w:rsidRPr="007F2E75">
              <w:rPr>
                <w:sz w:val="18"/>
                <w:szCs w:val="18"/>
              </w:rPr>
              <w:t> </w:t>
            </w:r>
          </w:p>
        </w:tc>
        <w:tc>
          <w:tcPr>
            <w:tcW w:w="1275" w:type="dxa"/>
          </w:tcPr>
          <w:p w:rsidR="00F322E8" w:rsidRPr="007F2E75" w:rsidRDefault="00F322E8" w:rsidP="007F2E75">
            <w:pPr>
              <w:rPr>
                <w:sz w:val="18"/>
                <w:szCs w:val="18"/>
              </w:rPr>
            </w:pPr>
            <w:r w:rsidRPr="007F2E75">
              <w:rPr>
                <w:sz w:val="18"/>
                <w:szCs w:val="18"/>
              </w:rPr>
              <w:t> </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1970</w:t>
            </w:r>
          </w:p>
        </w:tc>
        <w:tc>
          <w:tcPr>
            <w:tcW w:w="1724" w:type="dxa"/>
          </w:tcPr>
          <w:p w:rsidR="00F322E8" w:rsidRPr="007F2E75" w:rsidRDefault="00F322E8" w:rsidP="007F2E75">
            <w:pPr>
              <w:rPr>
                <w:sz w:val="18"/>
                <w:szCs w:val="18"/>
              </w:rPr>
            </w:pPr>
            <w:r w:rsidRPr="007F2E75">
              <w:rPr>
                <w:sz w:val="18"/>
                <w:szCs w:val="18"/>
              </w:rPr>
              <w:t>$7,200</w:t>
            </w:r>
          </w:p>
        </w:tc>
        <w:tc>
          <w:tcPr>
            <w:tcW w:w="2399" w:type="dxa"/>
          </w:tcPr>
          <w:p w:rsidR="00F322E8" w:rsidRPr="007F2E75" w:rsidRDefault="00F322E8" w:rsidP="007F2E75">
            <w:pPr>
              <w:rPr>
                <w:sz w:val="18"/>
                <w:szCs w:val="18"/>
              </w:rPr>
            </w:pPr>
            <w:r w:rsidRPr="007F2E75">
              <w:rPr>
                <w:sz w:val="18"/>
                <w:szCs w:val="18"/>
              </w:rPr>
              <w:t> </w:t>
            </w:r>
          </w:p>
        </w:tc>
        <w:tc>
          <w:tcPr>
            <w:tcW w:w="1275" w:type="dxa"/>
          </w:tcPr>
          <w:p w:rsidR="00F322E8" w:rsidRPr="007F2E75" w:rsidRDefault="00F322E8" w:rsidP="007F2E75">
            <w:pPr>
              <w:rPr>
                <w:sz w:val="18"/>
                <w:szCs w:val="18"/>
              </w:rPr>
            </w:pPr>
            <w:r w:rsidRPr="007F2E75">
              <w:rPr>
                <w:sz w:val="18"/>
                <w:szCs w:val="18"/>
              </w:rPr>
              <w:t> </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1973</w:t>
            </w:r>
          </w:p>
        </w:tc>
        <w:tc>
          <w:tcPr>
            <w:tcW w:w="1724" w:type="dxa"/>
          </w:tcPr>
          <w:p w:rsidR="00F322E8" w:rsidRPr="007F2E75" w:rsidRDefault="00F322E8" w:rsidP="007F2E75">
            <w:pPr>
              <w:rPr>
                <w:sz w:val="18"/>
                <w:szCs w:val="18"/>
              </w:rPr>
            </w:pPr>
            <w:r w:rsidRPr="007F2E75">
              <w:rPr>
                <w:sz w:val="18"/>
                <w:szCs w:val="18"/>
              </w:rPr>
              <w:t>$10,125</w:t>
            </w:r>
          </w:p>
        </w:tc>
        <w:tc>
          <w:tcPr>
            <w:tcW w:w="2399" w:type="dxa"/>
          </w:tcPr>
          <w:p w:rsidR="00F322E8" w:rsidRPr="007F2E75" w:rsidRDefault="00F322E8" w:rsidP="007F2E75">
            <w:pPr>
              <w:rPr>
                <w:sz w:val="18"/>
                <w:szCs w:val="18"/>
              </w:rPr>
            </w:pPr>
            <w:r w:rsidRPr="007F2E75">
              <w:rPr>
                <w:sz w:val="18"/>
                <w:szCs w:val="18"/>
              </w:rPr>
              <w:t> </w:t>
            </w:r>
          </w:p>
        </w:tc>
        <w:tc>
          <w:tcPr>
            <w:tcW w:w="1275" w:type="dxa"/>
          </w:tcPr>
          <w:p w:rsidR="00F322E8" w:rsidRPr="007F2E75" w:rsidRDefault="00F322E8" w:rsidP="007F2E75">
            <w:pPr>
              <w:rPr>
                <w:sz w:val="18"/>
                <w:szCs w:val="18"/>
              </w:rPr>
            </w:pPr>
            <w:r w:rsidRPr="007F2E75">
              <w:rPr>
                <w:sz w:val="18"/>
                <w:szCs w:val="18"/>
              </w:rPr>
              <w:t>40%</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1974</w:t>
            </w:r>
          </w:p>
        </w:tc>
        <w:tc>
          <w:tcPr>
            <w:tcW w:w="1724" w:type="dxa"/>
          </w:tcPr>
          <w:p w:rsidR="00F322E8" w:rsidRPr="007F2E75" w:rsidRDefault="00F322E8" w:rsidP="007F2E75">
            <w:pPr>
              <w:rPr>
                <w:sz w:val="18"/>
                <w:szCs w:val="18"/>
              </w:rPr>
            </w:pPr>
            <w:r w:rsidRPr="007F2E75">
              <w:rPr>
                <w:sz w:val="18"/>
                <w:szCs w:val="18"/>
              </w:rPr>
              <w:t>$12,671</w:t>
            </w:r>
          </w:p>
        </w:tc>
        <w:tc>
          <w:tcPr>
            <w:tcW w:w="2399" w:type="dxa"/>
          </w:tcPr>
          <w:p w:rsidR="00F322E8" w:rsidRPr="007F2E75" w:rsidRDefault="00F322E8" w:rsidP="007F2E75">
            <w:pPr>
              <w:rPr>
                <w:sz w:val="18"/>
                <w:szCs w:val="18"/>
              </w:rPr>
            </w:pPr>
            <w:r w:rsidRPr="007F2E75">
              <w:rPr>
                <w:sz w:val="18"/>
                <w:szCs w:val="18"/>
              </w:rPr>
              <w:t> </w:t>
            </w:r>
          </w:p>
        </w:tc>
        <w:tc>
          <w:tcPr>
            <w:tcW w:w="1275" w:type="dxa"/>
          </w:tcPr>
          <w:p w:rsidR="00F322E8" w:rsidRPr="007F2E75" w:rsidRDefault="00F322E8" w:rsidP="007F2E75">
            <w:pPr>
              <w:rPr>
                <w:sz w:val="18"/>
                <w:szCs w:val="18"/>
              </w:rPr>
            </w:pPr>
            <w:r w:rsidRPr="007F2E75">
              <w:rPr>
                <w:sz w:val="18"/>
                <w:szCs w:val="18"/>
              </w:rPr>
              <w:t>23%</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1975</w:t>
            </w:r>
          </w:p>
        </w:tc>
        <w:tc>
          <w:tcPr>
            <w:tcW w:w="1724" w:type="dxa"/>
          </w:tcPr>
          <w:p w:rsidR="00F322E8" w:rsidRPr="007F2E75" w:rsidRDefault="00F322E8" w:rsidP="007F2E75">
            <w:pPr>
              <w:rPr>
                <w:sz w:val="18"/>
                <w:szCs w:val="18"/>
              </w:rPr>
            </w:pPr>
            <w:r w:rsidRPr="007F2E75">
              <w:rPr>
                <w:sz w:val="18"/>
                <w:szCs w:val="18"/>
              </w:rPr>
              <w:t>$16,582</w:t>
            </w:r>
          </w:p>
        </w:tc>
        <w:tc>
          <w:tcPr>
            <w:tcW w:w="2399" w:type="dxa"/>
          </w:tcPr>
          <w:p w:rsidR="00F322E8" w:rsidRPr="007F2E75" w:rsidRDefault="00F322E8" w:rsidP="007F2E75">
            <w:pPr>
              <w:rPr>
                <w:sz w:val="18"/>
                <w:szCs w:val="18"/>
              </w:rPr>
            </w:pPr>
            <w:r w:rsidRPr="007F2E75">
              <w:rPr>
                <w:sz w:val="18"/>
                <w:szCs w:val="18"/>
              </w:rPr>
              <w:t> </w:t>
            </w:r>
          </w:p>
        </w:tc>
        <w:tc>
          <w:tcPr>
            <w:tcW w:w="1275" w:type="dxa"/>
          </w:tcPr>
          <w:p w:rsidR="00F322E8" w:rsidRPr="007F2E75" w:rsidRDefault="00F322E8" w:rsidP="007F2E75">
            <w:pPr>
              <w:rPr>
                <w:sz w:val="18"/>
                <w:szCs w:val="18"/>
              </w:rPr>
            </w:pPr>
            <w:r w:rsidRPr="007F2E75">
              <w:rPr>
                <w:sz w:val="18"/>
                <w:szCs w:val="18"/>
              </w:rPr>
              <w:t>30%</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1976</w:t>
            </w:r>
          </w:p>
        </w:tc>
        <w:tc>
          <w:tcPr>
            <w:tcW w:w="1724" w:type="dxa"/>
          </w:tcPr>
          <w:p w:rsidR="00F322E8" w:rsidRPr="007F2E75" w:rsidRDefault="00F322E8" w:rsidP="007F2E75">
            <w:pPr>
              <w:rPr>
                <w:sz w:val="18"/>
                <w:szCs w:val="18"/>
              </w:rPr>
            </w:pPr>
            <w:r w:rsidRPr="007F2E75">
              <w:rPr>
                <w:sz w:val="18"/>
                <w:szCs w:val="18"/>
              </w:rPr>
              <w:t>$18,975</w:t>
            </w:r>
          </w:p>
        </w:tc>
        <w:tc>
          <w:tcPr>
            <w:tcW w:w="2399" w:type="dxa"/>
          </w:tcPr>
          <w:p w:rsidR="00F322E8" w:rsidRPr="007F2E75" w:rsidRDefault="00F322E8" w:rsidP="007F2E75">
            <w:pPr>
              <w:rPr>
                <w:sz w:val="18"/>
                <w:szCs w:val="18"/>
              </w:rPr>
            </w:pPr>
            <w:r w:rsidRPr="007F2E75">
              <w:rPr>
                <w:sz w:val="18"/>
                <w:szCs w:val="18"/>
              </w:rPr>
              <w:t> </w:t>
            </w:r>
          </w:p>
        </w:tc>
        <w:tc>
          <w:tcPr>
            <w:tcW w:w="1275" w:type="dxa"/>
          </w:tcPr>
          <w:p w:rsidR="00F322E8" w:rsidRPr="007F2E75" w:rsidRDefault="00F322E8" w:rsidP="007F2E75">
            <w:pPr>
              <w:rPr>
                <w:sz w:val="18"/>
                <w:szCs w:val="18"/>
              </w:rPr>
            </w:pPr>
            <w:r w:rsidRPr="007F2E75">
              <w:rPr>
                <w:sz w:val="18"/>
                <w:szCs w:val="18"/>
              </w:rPr>
              <w:t>14.4%</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1977</w:t>
            </w:r>
          </w:p>
        </w:tc>
        <w:tc>
          <w:tcPr>
            <w:tcW w:w="1724" w:type="dxa"/>
          </w:tcPr>
          <w:p w:rsidR="00F322E8" w:rsidRPr="007F2E75" w:rsidRDefault="00F322E8" w:rsidP="007F2E75">
            <w:pPr>
              <w:rPr>
                <w:sz w:val="18"/>
                <w:szCs w:val="18"/>
              </w:rPr>
            </w:pPr>
            <w:r w:rsidRPr="007F2E75">
              <w:rPr>
                <w:sz w:val="18"/>
                <w:szCs w:val="18"/>
              </w:rPr>
              <w:t>$20,625</w:t>
            </w:r>
          </w:p>
        </w:tc>
        <w:tc>
          <w:tcPr>
            <w:tcW w:w="2399" w:type="dxa"/>
          </w:tcPr>
          <w:p w:rsidR="00F322E8" w:rsidRPr="007F2E75" w:rsidRDefault="00F322E8" w:rsidP="007F2E75">
            <w:pPr>
              <w:rPr>
                <w:sz w:val="18"/>
                <w:szCs w:val="18"/>
              </w:rPr>
            </w:pPr>
            <w:r w:rsidRPr="007F2E75">
              <w:rPr>
                <w:sz w:val="18"/>
                <w:szCs w:val="18"/>
              </w:rPr>
              <w:t> </w:t>
            </w:r>
          </w:p>
        </w:tc>
        <w:tc>
          <w:tcPr>
            <w:tcW w:w="1275" w:type="dxa"/>
          </w:tcPr>
          <w:p w:rsidR="00F322E8" w:rsidRPr="007F2E75" w:rsidRDefault="00F322E8" w:rsidP="007F2E75">
            <w:pPr>
              <w:rPr>
                <w:sz w:val="18"/>
                <w:szCs w:val="18"/>
              </w:rPr>
            </w:pPr>
            <w:r w:rsidRPr="007F2E75">
              <w:rPr>
                <w:sz w:val="18"/>
                <w:szCs w:val="18"/>
              </w:rPr>
              <w:t>8.6%</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1978</w:t>
            </w:r>
          </w:p>
        </w:tc>
        <w:tc>
          <w:tcPr>
            <w:tcW w:w="1724" w:type="dxa"/>
          </w:tcPr>
          <w:p w:rsidR="00F322E8" w:rsidRPr="007F2E75" w:rsidRDefault="00F322E8" w:rsidP="007F2E75">
            <w:pPr>
              <w:rPr>
                <w:sz w:val="18"/>
                <w:szCs w:val="18"/>
              </w:rPr>
            </w:pPr>
            <w:r w:rsidRPr="007F2E75">
              <w:rPr>
                <w:sz w:val="18"/>
                <w:szCs w:val="18"/>
              </w:rPr>
              <w:t>$22,464</w:t>
            </w:r>
          </w:p>
        </w:tc>
        <w:tc>
          <w:tcPr>
            <w:tcW w:w="2399" w:type="dxa"/>
          </w:tcPr>
          <w:p w:rsidR="00F322E8" w:rsidRPr="007F2E75" w:rsidRDefault="00F322E8" w:rsidP="007F2E75">
            <w:pPr>
              <w:rPr>
                <w:sz w:val="18"/>
                <w:szCs w:val="18"/>
              </w:rPr>
            </w:pPr>
            <w:r w:rsidRPr="007F2E75">
              <w:rPr>
                <w:sz w:val="18"/>
                <w:szCs w:val="18"/>
              </w:rPr>
              <w:t> </w:t>
            </w:r>
          </w:p>
        </w:tc>
        <w:tc>
          <w:tcPr>
            <w:tcW w:w="1275" w:type="dxa"/>
          </w:tcPr>
          <w:p w:rsidR="00F322E8" w:rsidRPr="007F2E75" w:rsidRDefault="00F322E8" w:rsidP="007F2E75">
            <w:pPr>
              <w:rPr>
                <w:sz w:val="18"/>
                <w:szCs w:val="18"/>
              </w:rPr>
            </w:pPr>
            <w:r w:rsidRPr="007F2E75">
              <w:rPr>
                <w:sz w:val="18"/>
                <w:szCs w:val="18"/>
              </w:rPr>
              <w:t>8.9%</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1979</w:t>
            </w:r>
          </w:p>
        </w:tc>
        <w:tc>
          <w:tcPr>
            <w:tcW w:w="1724" w:type="dxa"/>
          </w:tcPr>
          <w:p w:rsidR="00F322E8" w:rsidRPr="007F2E75" w:rsidRDefault="00F322E8" w:rsidP="007F2E75">
            <w:pPr>
              <w:rPr>
                <w:sz w:val="18"/>
                <w:szCs w:val="18"/>
              </w:rPr>
            </w:pPr>
            <w:r w:rsidRPr="007F2E75">
              <w:rPr>
                <w:sz w:val="18"/>
                <w:szCs w:val="18"/>
              </w:rPr>
              <w:t>$24,106</w:t>
            </w:r>
          </w:p>
        </w:tc>
        <w:tc>
          <w:tcPr>
            <w:tcW w:w="2399" w:type="dxa"/>
          </w:tcPr>
          <w:p w:rsidR="00F322E8" w:rsidRPr="007F2E75" w:rsidRDefault="00F322E8" w:rsidP="007F2E75">
            <w:pPr>
              <w:rPr>
                <w:sz w:val="18"/>
                <w:szCs w:val="18"/>
              </w:rPr>
            </w:pPr>
            <w:r w:rsidRPr="007F2E75">
              <w:rPr>
                <w:sz w:val="18"/>
                <w:szCs w:val="18"/>
              </w:rPr>
              <w:t> </w:t>
            </w:r>
          </w:p>
        </w:tc>
        <w:tc>
          <w:tcPr>
            <w:tcW w:w="1275" w:type="dxa"/>
          </w:tcPr>
          <w:p w:rsidR="00F322E8" w:rsidRPr="007F2E75" w:rsidRDefault="00F322E8" w:rsidP="007F2E75">
            <w:pPr>
              <w:rPr>
                <w:sz w:val="18"/>
                <w:szCs w:val="18"/>
              </w:rPr>
            </w:pPr>
            <w:r w:rsidRPr="007F2E75">
              <w:rPr>
                <w:sz w:val="18"/>
                <w:szCs w:val="18"/>
              </w:rPr>
              <w:t>7.3%</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1980</w:t>
            </w:r>
          </w:p>
        </w:tc>
        <w:tc>
          <w:tcPr>
            <w:tcW w:w="1724" w:type="dxa"/>
          </w:tcPr>
          <w:p w:rsidR="00F322E8" w:rsidRPr="007F2E75" w:rsidRDefault="00F322E8" w:rsidP="007F2E75">
            <w:pPr>
              <w:rPr>
                <w:sz w:val="18"/>
                <w:szCs w:val="18"/>
              </w:rPr>
            </w:pPr>
            <w:r w:rsidRPr="007F2E75">
              <w:rPr>
                <w:sz w:val="18"/>
                <w:szCs w:val="18"/>
              </w:rPr>
              <w:t>$25,949</w:t>
            </w:r>
          </w:p>
        </w:tc>
        <w:tc>
          <w:tcPr>
            <w:tcW w:w="2399" w:type="dxa"/>
          </w:tcPr>
          <w:p w:rsidR="00F322E8" w:rsidRPr="007F2E75" w:rsidRDefault="00F322E8" w:rsidP="007F2E75">
            <w:pPr>
              <w:rPr>
                <w:sz w:val="18"/>
                <w:szCs w:val="18"/>
              </w:rPr>
            </w:pPr>
            <w:r w:rsidRPr="007F2E75">
              <w:rPr>
                <w:sz w:val="18"/>
                <w:szCs w:val="18"/>
              </w:rPr>
              <w:t> </w:t>
            </w:r>
          </w:p>
        </w:tc>
        <w:tc>
          <w:tcPr>
            <w:tcW w:w="1275" w:type="dxa"/>
          </w:tcPr>
          <w:p w:rsidR="00F322E8" w:rsidRPr="007F2E75" w:rsidRDefault="00F322E8" w:rsidP="007F2E75">
            <w:pPr>
              <w:rPr>
                <w:sz w:val="18"/>
                <w:szCs w:val="18"/>
              </w:rPr>
            </w:pPr>
            <w:r w:rsidRPr="007F2E75">
              <w:rPr>
                <w:sz w:val="18"/>
                <w:szCs w:val="18"/>
              </w:rPr>
              <w:t>7.65%</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1981</w:t>
            </w:r>
          </w:p>
        </w:tc>
        <w:tc>
          <w:tcPr>
            <w:tcW w:w="1724" w:type="dxa"/>
          </w:tcPr>
          <w:p w:rsidR="00F322E8" w:rsidRPr="007F2E75" w:rsidRDefault="00F322E8" w:rsidP="007F2E75">
            <w:pPr>
              <w:rPr>
                <w:sz w:val="18"/>
                <w:szCs w:val="18"/>
              </w:rPr>
            </w:pPr>
            <w:r w:rsidRPr="007F2E75">
              <w:rPr>
                <w:sz w:val="18"/>
                <w:szCs w:val="18"/>
              </w:rPr>
              <w:t>$28,621</w:t>
            </w:r>
          </w:p>
        </w:tc>
        <w:tc>
          <w:tcPr>
            <w:tcW w:w="2399" w:type="dxa"/>
          </w:tcPr>
          <w:p w:rsidR="00F322E8" w:rsidRPr="007F2E75" w:rsidRDefault="00F322E8" w:rsidP="007F2E75">
            <w:pPr>
              <w:rPr>
                <w:sz w:val="18"/>
                <w:szCs w:val="18"/>
              </w:rPr>
            </w:pPr>
            <w:r w:rsidRPr="007F2E75">
              <w:rPr>
                <w:sz w:val="18"/>
                <w:szCs w:val="18"/>
              </w:rPr>
              <w:t> </w:t>
            </w:r>
          </w:p>
        </w:tc>
        <w:tc>
          <w:tcPr>
            <w:tcW w:w="1275" w:type="dxa"/>
          </w:tcPr>
          <w:p w:rsidR="00F322E8" w:rsidRPr="007F2E75" w:rsidRDefault="00F322E8" w:rsidP="007F2E75">
            <w:pPr>
              <w:rPr>
                <w:sz w:val="18"/>
                <w:szCs w:val="18"/>
              </w:rPr>
            </w:pPr>
            <w:r w:rsidRPr="007F2E75">
              <w:rPr>
                <w:sz w:val="18"/>
                <w:szCs w:val="18"/>
              </w:rPr>
              <w:t>10.1%</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1982</w:t>
            </w:r>
          </w:p>
        </w:tc>
        <w:tc>
          <w:tcPr>
            <w:tcW w:w="1724" w:type="dxa"/>
          </w:tcPr>
          <w:p w:rsidR="00F322E8" w:rsidRPr="007F2E75" w:rsidRDefault="00F322E8" w:rsidP="007F2E75">
            <w:pPr>
              <w:rPr>
                <w:sz w:val="18"/>
                <w:szCs w:val="18"/>
              </w:rPr>
            </w:pPr>
          </w:p>
        </w:tc>
        <w:tc>
          <w:tcPr>
            <w:tcW w:w="2399" w:type="dxa"/>
          </w:tcPr>
          <w:p w:rsidR="00F322E8" w:rsidRPr="007F2E75" w:rsidRDefault="00F322E8" w:rsidP="007F2E75">
            <w:pPr>
              <w:rPr>
                <w:sz w:val="18"/>
                <w:szCs w:val="18"/>
              </w:rPr>
            </w:pPr>
            <w:r w:rsidRPr="007F2E75">
              <w:rPr>
                <w:sz w:val="18"/>
                <w:szCs w:val="18"/>
              </w:rPr>
              <w:t> </w:t>
            </w:r>
          </w:p>
        </w:tc>
        <w:tc>
          <w:tcPr>
            <w:tcW w:w="1275" w:type="dxa"/>
          </w:tcPr>
          <w:p w:rsidR="00F322E8" w:rsidRPr="007F2E75" w:rsidRDefault="00F322E8" w:rsidP="007F2E75">
            <w:pPr>
              <w:rPr>
                <w:sz w:val="18"/>
                <w:szCs w:val="18"/>
              </w:rPr>
            </w:pPr>
            <w:r w:rsidRPr="007F2E75">
              <w:rPr>
                <w:sz w:val="18"/>
                <w:szCs w:val="18"/>
              </w:rPr>
              <w:t> </w:t>
            </w:r>
          </w:p>
        </w:tc>
        <w:tc>
          <w:tcPr>
            <w:tcW w:w="2330" w:type="dxa"/>
          </w:tcPr>
          <w:p w:rsidR="00F322E8" w:rsidRPr="007F2E75" w:rsidRDefault="00F322E8" w:rsidP="007F2E75">
            <w:pPr>
              <w:rPr>
                <w:sz w:val="18"/>
                <w:szCs w:val="18"/>
              </w:rPr>
            </w:pPr>
            <w:r w:rsidRPr="007F2E75">
              <w:rPr>
                <w:sz w:val="18"/>
                <w:szCs w:val="18"/>
              </w:rPr>
              <w:t>(Frozen at 1981 level as government policy)</w:t>
            </w:r>
          </w:p>
        </w:tc>
      </w:tr>
      <w:tr w:rsidR="00F322E8" w:rsidRPr="007F2E75" w:rsidTr="00F322E8">
        <w:tc>
          <w:tcPr>
            <w:tcW w:w="1514" w:type="dxa"/>
          </w:tcPr>
          <w:p w:rsidR="00F322E8" w:rsidRPr="007F2E75" w:rsidRDefault="00F322E8" w:rsidP="007F2E75">
            <w:pPr>
              <w:rPr>
                <w:sz w:val="18"/>
                <w:szCs w:val="18"/>
              </w:rPr>
            </w:pPr>
            <w:r w:rsidRPr="007F2E75">
              <w:rPr>
                <w:sz w:val="18"/>
                <w:szCs w:val="18"/>
              </w:rPr>
              <w:t>1983</w:t>
            </w:r>
          </w:p>
        </w:tc>
        <w:tc>
          <w:tcPr>
            <w:tcW w:w="1724" w:type="dxa"/>
          </w:tcPr>
          <w:p w:rsidR="00F322E8" w:rsidRPr="007F2E75" w:rsidRDefault="00F322E8" w:rsidP="007F2E75">
            <w:pPr>
              <w:rPr>
                <w:sz w:val="18"/>
                <w:szCs w:val="18"/>
              </w:rPr>
            </w:pPr>
          </w:p>
        </w:tc>
        <w:tc>
          <w:tcPr>
            <w:tcW w:w="2399" w:type="dxa"/>
          </w:tcPr>
          <w:p w:rsidR="00F322E8" w:rsidRPr="007F2E75" w:rsidRDefault="00F322E8" w:rsidP="007F2E75">
            <w:pPr>
              <w:rPr>
                <w:sz w:val="18"/>
                <w:szCs w:val="18"/>
              </w:rPr>
            </w:pPr>
            <w:r w:rsidRPr="007F2E75">
              <w:rPr>
                <w:sz w:val="18"/>
                <w:szCs w:val="18"/>
              </w:rPr>
              <w:t> </w:t>
            </w:r>
          </w:p>
        </w:tc>
        <w:tc>
          <w:tcPr>
            <w:tcW w:w="1275" w:type="dxa"/>
          </w:tcPr>
          <w:p w:rsidR="00F322E8" w:rsidRPr="007F2E75" w:rsidRDefault="00F322E8" w:rsidP="007F2E75">
            <w:pPr>
              <w:rPr>
                <w:sz w:val="18"/>
                <w:szCs w:val="18"/>
              </w:rPr>
            </w:pPr>
            <w:r w:rsidRPr="007F2E75">
              <w:rPr>
                <w:sz w:val="18"/>
                <w:szCs w:val="18"/>
              </w:rPr>
              <w:t> </w:t>
            </w:r>
          </w:p>
        </w:tc>
        <w:tc>
          <w:tcPr>
            <w:tcW w:w="2330" w:type="dxa"/>
          </w:tcPr>
          <w:p w:rsidR="00F322E8" w:rsidRPr="007F2E75" w:rsidRDefault="00F322E8" w:rsidP="007F2E75">
            <w:pPr>
              <w:rPr>
                <w:sz w:val="18"/>
                <w:szCs w:val="18"/>
              </w:rPr>
            </w:pPr>
            <w:r w:rsidRPr="007F2E75">
              <w:rPr>
                <w:sz w:val="18"/>
                <w:szCs w:val="18"/>
              </w:rPr>
              <w:t>(Frozen at 1981 level as government policy)</w:t>
            </w:r>
          </w:p>
        </w:tc>
      </w:tr>
      <w:tr w:rsidR="00F322E8" w:rsidRPr="007F2E75" w:rsidTr="00F322E8">
        <w:tc>
          <w:tcPr>
            <w:tcW w:w="1514" w:type="dxa"/>
          </w:tcPr>
          <w:p w:rsidR="00F322E8" w:rsidRPr="007F2E75" w:rsidRDefault="00F322E8" w:rsidP="007F2E75">
            <w:pPr>
              <w:rPr>
                <w:sz w:val="18"/>
                <w:szCs w:val="18"/>
              </w:rPr>
            </w:pPr>
            <w:r w:rsidRPr="007F2E75">
              <w:rPr>
                <w:sz w:val="18"/>
                <w:szCs w:val="18"/>
              </w:rPr>
              <w:t>1984</w:t>
            </w:r>
          </w:p>
        </w:tc>
        <w:tc>
          <w:tcPr>
            <w:tcW w:w="1724" w:type="dxa"/>
          </w:tcPr>
          <w:p w:rsidR="00F322E8" w:rsidRPr="007F2E75" w:rsidRDefault="00F322E8" w:rsidP="007F2E75">
            <w:pPr>
              <w:rPr>
                <w:sz w:val="18"/>
                <w:szCs w:val="18"/>
              </w:rPr>
            </w:pPr>
            <w:r w:rsidRPr="007F2E75">
              <w:rPr>
                <w:sz w:val="18"/>
                <w:szCs w:val="18"/>
              </w:rPr>
              <w:t>$34,630</w:t>
            </w:r>
          </w:p>
        </w:tc>
        <w:tc>
          <w:tcPr>
            <w:tcW w:w="2399" w:type="dxa"/>
          </w:tcPr>
          <w:p w:rsidR="00F322E8" w:rsidRPr="007F2E75" w:rsidRDefault="00F322E8" w:rsidP="007F2E75">
            <w:pPr>
              <w:rPr>
                <w:sz w:val="18"/>
                <w:szCs w:val="18"/>
              </w:rPr>
            </w:pPr>
            <w:r w:rsidRPr="007F2E75">
              <w:rPr>
                <w:sz w:val="18"/>
                <w:szCs w:val="18"/>
              </w:rPr>
              <w:t> </w:t>
            </w:r>
          </w:p>
        </w:tc>
        <w:tc>
          <w:tcPr>
            <w:tcW w:w="1275" w:type="dxa"/>
          </w:tcPr>
          <w:p w:rsidR="00F322E8" w:rsidRPr="007F2E75" w:rsidRDefault="00F322E8" w:rsidP="007F2E75">
            <w:pPr>
              <w:rPr>
                <w:sz w:val="18"/>
                <w:szCs w:val="18"/>
              </w:rPr>
            </w:pPr>
            <w:r w:rsidRPr="007F2E75">
              <w:rPr>
                <w:sz w:val="18"/>
                <w:szCs w:val="18"/>
              </w:rPr>
              <w:t>21%</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16 April 1985</w:t>
            </w:r>
          </w:p>
        </w:tc>
        <w:tc>
          <w:tcPr>
            <w:tcW w:w="1724" w:type="dxa"/>
          </w:tcPr>
          <w:p w:rsidR="00F322E8" w:rsidRPr="007F2E75" w:rsidRDefault="00F322E8" w:rsidP="007F2E75">
            <w:pPr>
              <w:rPr>
                <w:sz w:val="18"/>
                <w:szCs w:val="18"/>
              </w:rPr>
            </w:pPr>
            <w:r w:rsidRPr="007F2E75">
              <w:rPr>
                <w:sz w:val="18"/>
                <w:szCs w:val="18"/>
              </w:rPr>
              <w:t>$35,530</w:t>
            </w:r>
          </w:p>
        </w:tc>
        <w:tc>
          <w:tcPr>
            <w:tcW w:w="2399" w:type="dxa"/>
          </w:tcPr>
          <w:p w:rsidR="00F322E8" w:rsidRPr="007F2E75" w:rsidRDefault="00F322E8" w:rsidP="007F2E75">
            <w:pPr>
              <w:rPr>
                <w:sz w:val="18"/>
                <w:szCs w:val="18"/>
              </w:rPr>
            </w:pPr>
            <w:r w:rsidRPr="007F2E75">
              <w:rPr>
                <w:sz w:val="18"/>
                <w:szCs w:val="18"/>
              </w:rPr>
              <w:t> </w:t>
            </w:r>
          </w:p>
        </w:tc>
        <w:tc>
          <w:tcPr>
            <w:tcW w:w="1275" w:type="dxa"/>
          </w:tcPr>
          <w:p w:rsidR="00F322E8" w:rsidRPr="007F2E75" w:rsidRDefault="00F322E8" w:rsidP="007F2E75">
            <w:pPr>
              <w:rPr>
                <w:sz w:val="18"/>
                <w:szCs w:val="18"/>
              </w:rPr>
            </w:pPr>
            <w:r w:rsidRPr="007F2E75">
              <w:rPr>
                <w:sz w:val="18"/>
                <w:szCs w:val="18"/>
              </w:rPr>
              <w:t>2.5%</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17 November 1985</w:t>
            </w:r>
          </w:p>
        </w:tc>
        <w:tc>
          <w:tcPr>
            <w:tcW w:w="1724" w:type="dxa"/>
          </w:tcPr>
          <w:p w:rsidR="00F322E8" w:rsidRPr="007F2E75" w:rsidRDefault="00F322E8" w:rsidP="007F2E75">
            <w:pPr>
              <w:rPr>
                <w:sz w:val="18"/>
                <w:szCs w:val="18"/>
              </w:rPr>
            </w:pPr>
            <w:r w:rsidRPr="007F2E75">
              <w:rPr>
                <w:sz w:val="18"/>
                <w:szCs w:val="18"/>
              </w:rPr>
              <w:t>$36,880</w:t>
            </w:r>
          </w:p>
        </w:tc>
        <w:tc>
          <w:tcPr>
            <w:tcW w:w="2399" w:type="dxa"/>
          </w:tcPr>
          <w:p w:rsidR="00F322E8" w:rsidRPr="007F2E75" w:rsidRDefault="00F322E8" w:rsidP="007F2E75">
            <w:pPr>
              <w:rPr>
                <w:sz w:val="18"/>
                <w:szCs w:val="18"/>
              </w:rPr>
            </w:pPr>
            <w:r w:rsidRPr="007F2E75">
              <w:rPr>
                <w:sz w:val="18"/>
                <w:szCs w:val="18"/>
              </w:rPr>
              <w:t> </w:t>
            </w:r>
          </w:p>
        </w:tc>
        <w:tc>
          <w:tcPr>
            <w:tcW w:w="1275" w:type="dxa"/>
          </w:tcPr>
          <w:p w:rsidR="00F322E8" w:rsidRPr="007F2E75" w:rsidRDefault="00F322E8" w:rsidP="007F2E75">
            <w:pPr>
              <w:rPr>
                <w:sz w:val="18"/>
                <w:szCs w:val="18"/>
              </w:rPr>
            </w:pPr>
            <w:r w:rsidRPr="007F2E75">
              <w:rPr>
                <w:sz w:val="18"/>
                <w:szCs w:val="18"/>
              </w:rPr>
              <w:t>3.8%</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lastRenderedPageBreak/>
              <w:t>10 September 1986</w:t>
            </w:r>
          </w:p>
        </w:tc>
        <w:tc>
          <w:tcPr>
            <w:tcW w:w="1724" w:type="dxa"/>
          </w:tcPr>
          <w:p w:rsidR="00F322E8" w:rsidRPr="007F2E75" w:rsidRDefault="00F322E8" w:rsidP="007F2E75">
            <w:pPr>
              <w:rPr>
                <w:sz w:val="18"/>
                <w:szCs w:val="18"/>
              </w:rPr>
            </w:pPr>
            <w:r w:rsidRPr="007F2E75">
              <w:rPr>
                <w:sz w:val="18"/>
                <w:szCs w:val="18"/>
              </w:rPr>
              <w:t>$37,782</w:t>
            </w:r>
          </w:p>
        </w:tc>
        <w:tc>
          <w:tcPr>
            <w:tcW w:w="2399" w:type="dxa"/>
          </w:tcPr>
          <w:p w:rsidR="00F322E8" w:rsidRPr="007F2E75" w:rsidRDefault="00F322E8" w:rsidP="007F2E75">
            <w:pPr>
              <w:rPr>
                <w:sz w:val="18"/>
                <w:szCs w:val="18"/>
              </w:rPr>
            </w:pPr>
            <w:r w:rsidRPr="007F2E75">
              <w:rPr>
                <w:sz w:val="18"/>
                <w:szCs w:val="18"/>
              </w:rPr>
              <w:t>Reduction of Salaries (Members of Parliament and Judges) Act</w:t>
            </w:r>
          </w:p>
        </w:tc>
        <w:tc>
          <w:tcPr>
            <w:tcW w:w="1275" w:type="dxa"/>
          </w:tcPr>
          <w:p w:rsidR="00F322E8" w:rsidRPr="007F2E75" w:rsidRDefault="00F322E8" w:rsidP="007F2E75">
            <w:pPr>
              <w:rPr>
                <w:sz w:val="18"/>
                <w:szCs w:val="18"/>
              </w:rPr>
            </w:pPr>
            <w:r w:rsidRPr="007F2E75">
              <w:rPr>
                <w:sz w:val="18"/>
                <w:szCs w:val="18"/>
              </w:rPr>
              <w:t>2.4%</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16 March 1987</w:t>
            </w:r>
          </w:p>
        </w:tc>
        <w:tc>
          <w:tcPr>
            <w:tcW w:w="1724" w:type="dxa"/>
          </w:tcPr>
          <w:p w:rsidR="00F322E8" w:rsidRPr="007F2E75" w:rsidRDefault="00F322E8" w:rsidP="007F2E75">
            <w:pPr>
              <w:rPr>
                <w:sz w:val="18"/>
                <w:szCs w:val="18"/>
              </w:rPr>
            </w:pPr>
            <w:r w:rsidRPr="007F2E75">
              <w:rPr>
                <w:sz w:val="18"/>
                <w:szCs w:val="18"/>
              </w:rPr>
              <w:t>$38,248</w:t>
            </w:r>
          </w:p>
        </w:tc>
        <w:tc>
          <w:tcPr>
            <w:tcW w:w="2399" w:type="dxa"/>
          </w:tcPr>
          <w:p w:rsidR="00F322E8" w:rsidRPr="007F2E75" w:rsidRDefault="00F322E8" w:rsidP="007F2E75">
            <w:pPr>
              <w:rPr>
                <w:sz w:val="18"/>
                <w:szCs w:val="18"/>
              </w:rPr>
            </w:pPr>
            <w:r w:rsidRPr="007F2E75">
              <w:rPr>
                <w:sz w:val="18"/>
                <w:szCs w:val="18"/>
              </w:rPr>
              <w:t>National Wage Case</w:t>
            </w:r>
          </w:p>
        </w:tc>
        <w:tc>
          <w:tcPr>
            <w:tcW w:w="1275" w:type="dxa"/>
          </w:tcPr>
          <w:p w:rsidR="00F322E8" w:rsidRPr="007F2E75" w:rsidRDefault="00F322E8" w:rsidP="007F2E75">
            <w:pPr>
              <w:rPr>
                <w:sz w:val="18"/>
                <w:szCs w:val="18"/>
              </w:rPr>
            </w:pPr>
            <w:r w:rsidRPr="007F2E75">
              <w:rPr>
                <w:sz w:val="18"/>
                <w:szCs w:val="18"/>
              </w:rPr>
              <w:t>$10 p.w.</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15 November 1987</w:t>
            </w:r>
          </w:p>
        </w:tc>
        <w:tc>
          <w:tcPr>
            <w:tcW w:w="1724" w:type="dxa"/>
          </w:tcPr>
          <w:p w:rsidR="00F322E8" w:rsidRPr="007F2E75" w:rsidRDefault="00F322E8" w:rsidP="007F2E75">
            <w:pPr>
              <w:rPr>
                <w:sz w:val="18"/>
                <w:szCs w:val="18"/>
              </w:rPr>
            </w:pPr>
            <w:r w:rsidRPr="007F2E75">
              <w:rPr>
                <w:sz w:val="18"/>
                <w:szCs w:val="18"/>
              </w:rPr>
              <w:t>$38,248</w:t>
            </w:r>
          </w:p>
        </w:tc>
        <w:tc>
          <w:tcPr>
            <w:tcW w:w="2399" w:type="dxa"/>
          </w:tcPr>
          <w:p w:rsidR="00F322E8" w:rsidRPr="007F2E75" w:rsidRDefault="00F322E8" w:rsidP="007F2E75">
            <w:pPr>
              <w:rPr>
                <w:sz w:val="18"/>
                <w:szCs w:val="18"/>
              </w:rPr>
            </w:pPr>
            <w:r w:rsidRPr="007F2E75">
              <w:rPr>
                <w:sz w:val="18"/>
                <w:szCs w:val="18"/>
              </w:rPr>
              <w:t>'Reinstated' by Statutory Rule 227/1987</w:t>
            </w:r>
          </w:p>
        </w:tc>
        <w:tc>
          <w:tcPr>
            <w:tcW w:w="1275" w:type="dxa"/>
          </w:tcPr>
          <w:p w:rsidR="00F322E8" w:rsidRPr="007F2E75" w:rsidRDefault="00F322E8" w:rsidP="007F2E75">
            <w:pPr>
              <w:rPr>
                <w:sz w:val="18"/>
                <w:szCs w:val="18"/>
              </w:rPr>
            </w:pPr>
            <w:r w:rsidRPr="007F2E75">
              <w:rPr>
                <w:sz w:val="18"/>
                <w:szCs w:val="18"/>
              </w:rPr>
              <w:t> </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16 February 1988</w:t>
            </w:r>
          </w:p>
        </w:tc>
        <w:tc>
          <w:tcPr>
            <w:tcW w:w="1724" w:type="dxa"/>
          </w:tcPr>
          <w:p w:rsidR="00F322E8" w:rsidRPr="007F2E75" w:rsidRDefault="00F322E8" w:rsidP="007F2E75">
            <w:pPr>
              <w:rPr>
                <w:sz w:val="18"/>
                <w:szCs w:val="18"/>
              </w:rPr>
            </w:pPr>
            <w:r w:rsidRPr="007F2E75">
              <w:rPr>
                <w:sz w:val="18"/>
                <w:szCs w:val="18"/>
              </w:rPr>
              <w:t>$38,560</w:t>
            </w:r>
          </w:p>
        </w:tc>
        <w:tc>
          <w:tcPr>
            <w:tcW w:w="2399" w:type="dxa"/>
          </w:tcPr>
          <w:p w:rsidR="00F322E8" w:rsidRPr="007F2E75" w:rsidRDefault="00F322E8" w:rsidP="007F2E75">
            <w:pPr>
              <w:rPr>
                <w:sz w:val="18"/>
                <w:szCs w:val="18"/>
              </w:rPr>
            </w:pPr>
            <w:r w:rsidRPr="007F2E75">
              <w:rPr>
                <w:sz w:val="18"/>
                <w:szCs w:val="18"/>
              </w:rPr>
              <w:t>National Wage Case (</w:t>
            </w:r>
            <w:r w:rsidRPr="007F2E75">
              <w:rPr>
                <w:i/>
                <w:iCs/>
                <w:sz w:val="18"/>
                <w:szCs w:val="18"/>
              </w:rPr>
              <w:t>Gazette</w:t>
            </w:r>
            <w:r w:rsidRPr="007F2E75">
              <w:rPr>
                <w:sz w:val="18"/>
                <w:szCs w:val="18"/>
              </w:rPr>
              <w:t> 13 April 1988)</w:t>
            </w:r>
          </w:p>
        </w:tc>
        <w:tc>
          <w:tcPr>
            <w:tcW w:w="1275" w:type="dxa"/>
          </w:tcPr>
          <w:p w:rsidR="00F322E8" w:rsidRPr="007F2E75" w:rsidRDefault="00F322E8" w:rsidP="007F2E75">
            <w:pPr>
              <w:rPr>
                <w:sz w:val="18"/>
                <w:szCs w:val="18"/>
              </w:rPr>
            </w:pPr>
            <w:r w:rsidRPr="007F2E75">
              <w:rPr>
                <w:sz w:val="18"/>
                <w:szCs w:val="18"/>
              </w:rPr>
              <w:t>$6 p.w.</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 April 1988</w:t>
            </w:r>
          </w:p>
        </w:tc>
        <w:tc>
          <w:tcPr>
            <w:tcW w:w="1724" w:type="dxa"/>
          </w:tcPr>
          <w:p w:rsidR="00F322E8" w:rsidRPr="007F2E75" w:rsidRDefault="00F322E8" w:rsidP="007F2E75">
            <w:pPr>
              <w:rPr>
                <w:sz w:val="18"/>
                <w:szCs w:val="18"/>
              </w:rPr>
            </w:pPr>
            <w:r w:rsidRPr="007F2E75">
              <w:rPr>
                <w:sz w:val="18"/>
                <w:szCs w:val="18"/>
              </w:rPr>
              <w:t>$40,102</w:t>
            </w:r>
          </w:p>
        </w:tc>
        <w:tc>
          <w:tcPr>
            <w:tcW w:w="2399" w:type="dxa"/>
          </w:tcPr>
          <w:p w:rsidR="00F322E8" w:rsidRPr="007F2E75" w:rsidRDefault="00F322E8" w:rsidP="007F2E75">
            <w:pPr>
              <w:rPr>
                <w:sz w:val="18"/>
                <w:szCs w:val="18"/>
              </w:rPr>
            </w:pPr>
            <w:r w:rsidRPr="007F2E75">
              <w:rPr>
                <w:sz w:val="18"/>
                <w:szCs w:val="18"/>
              </w:rPr>
              <w:t>(See Chronology)</w:t>
            </w:r>
          </w:p>
        </w:tc>
        <w:tc>
          <w:tcPr>
            <w:tcW w:w="1275" w:type="dxa"/>
          </w:tcPr>
          <w:p w:rsidR="00F322E8" w:rsidRPr="007F2E75" w:rsidRDefault="00F322E8" w:rsidP="007F2E75">
            <w:pPr>
              <w:rPr>
                <w:sz w:val="18"/>
                <w:szCs w:val="18"/>
              </w:rPr>
            </w:pPr>
            <w:r w:rsidRPr="007F2E75">
              <w:rPr>
                <w:sz w:val="18"/>
                <w:szCs w:val="18"/>
              </w:rPr>
              <w:t>4%</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15 September 1988</w:t>
            </w:r>
          </w:p>
        </w:tc>
        <w:tc>
          <w:tcPr>
            <w:tcW w:w="1724" w:type="dxa"/>
          </w:tcPr>
          <w:p w:rsidR="00F322E8" w:rsidRPr="007F2E75" w:rsidRDefault="00F322E8" w:rsidP="007F2E75">
            <w:pPr>
              <w:rPr>
                <w:sz w:val="18"/>
                <w:szCs w:val="18"/>
              </w:rPr>
            </w:pPr>
            <w:r w:rsidRPr="007F2E75">
              <w:rPr>
                <w:sz w:val="18"/>
                <w:szCs w:val="18"/>
              </w:rPr>
              <w:t>$41,305</w:t>
            </w:r>
          </w:p>
        </w:tc>
        <w:tc>
          <w:tcPr>
            <w:tcW w:w="2399" w:type="dxa"/>
          </w:tcPr>
          <w:p w:rsidR="00F322E8" w:rsidRPr="007F2E75" w:rsidRDefault="00F322E8" w:rsidP="007F2E75">
            <w:pPr>
              <w:rPr>
                <w:sz w:val="18"/>
                <w:szCs w:val="18"/>
              </w:rPr>
            </w:pPr>
            <w:r w:rsidRPr="007F2E75">
              <w:rPr>
                <w:sz w:val="18"/>
                <w:szCs w:val="18"/>
              </w:rPr>
              <w:t>National Wage Case (</w:t>
            </w:r>
            <w:r w:rsidRPr="007F2E75">
              <w:rPr>
                <w:i/>
                <w:iCs/>
                <w:sz w:val="18"/>
                <w:szCs w:val="18"/>
              </w:rPr>
              <w:t>Gazette</w:t>
            </w:r>
            <w:r w:rsidRPr="007F2E75">
              <w:rPr>
                <w:sz w:val="18"/>
                <w:szCs w:val="18"/>
              </w:rPr>
              <w:t> 12 October 1988)</w:t>
            </w:r>
          </w:p>
        </w:tc>
        <w:tc>
          <w:tcPr>
            <w:tcW w:w="1275" w:type="dxa"/>
          </w:tcPr>
          <w:p w:rsidR="00F322E8" w:rsidRPr="007F2E75" w:rsidRDefault="00F322E8" w:rsidP="007F2E75">
            <w:pPr>
              <w:rPr>
                <w:sz w:val="18"/>
                <w:szCs w:val="18"/>
              </w:rPr>
            </w:pPr>
            <w:r w:rsidRPr="007F2E75">
              <w:rPr>
                <w:sz w:val="18"/>
                <w:szCs w:val="18"/>
              </w:rPr>
              <w:t>3%</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 January 1989</w:t>
            </w:r>
          </w:p>
        </w:tc>
        <w:tc>
          <w:tcPr>
            <w:tcW w:w="1724" w:type="dxa"/>
          </w:tcPr>
          <w:p w:rsidR="00F322E8" w:rsidRPr="007F2E75" w:rsidRDefault="00F322E8" w:rsidP="007F2E75">
            <w:pPr>
              <w:rPr>
                <w:sz w:val="18"/>
                <w:szCs w:val="18"/>
              </w:rPr>
            </w:pPr>
            <w:r w:rsidRPr="007F2E75">
              <w:rPr>
                <w:sz w:val="18"/>
                <w:szCs w:val="18"/>
              </w:rPr>
              <w:t>$42,544</w:t>
            </w:r>
          </w:p>
        </w:tc>
        <w:tc>
          <w:tcPr>
            <w:tcW w:w="2399" w:type="dxa"/>
          </w:tcPr>
          <w:p w:rsidR="00F322E8" w:rsidRPr="007F2E75" w:rsidRDefault="00F322E8" w:rsidP="007F2E75">
            <w:pPr>
              <w:rPr>
                <w:sz w:val="18"/>
                <w:szCs w:val="18"/>
              </w:rPr>
            </w:pPr>
            <w:r w:rsidRPr="007F2E75">
              <w:rPr>
                <w:sz w:val="18"/>
                <w:szCs w:val="18"/>
              </w:rPr>
              <w:t>(</w:t>
            </w:r>
            <w:r w:rsidRPr="007F2E75">
              <w:rPr>
                <w:i/>
                <w:iCs/>
                <w:sz w:val="18"/>
                <w:szCs w:val="18"/>
              </w:rPr>
              <w:t>Gazette </w:t>
            </w:r>
            <w:r w:rsidRPr="007F2E75">
              <w:rPr>
                <w:sz w:val="18"/>
                <w:szCs w:val="18"/>
              </w:rPr>
              <w:t>31 May 1989)</w:t>
            </w:r>
          </w:p>
        </w:tc>
        <w:tc>
          <w:tcPr>
            <w:tcW w:w="1275" w:type="dxa"/>
          </w:tcPr>
          <w:p w:rsidR="00F322E8" w:rsidRPr="007F2E75" w:rsidRDefault="00F322E8" w:rsidP="007F2E75">
            <w:pPr>
              <w:rPr>
                <w:sz w:val="18"/>
                <w:szCs w:val="18"/>
              </w:rPr>
            </w:pPr>
            <w:r w:rsidRPr="007F2E75">
              <w:rPr>
                <w:sz w:val="18"/>
                <w:szCs w:val="18"/>
              </w:rPr>
              <w:t>-</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15 March 1989</w:t>
            </w:r>
          </w:p>
        </w:tc>
        <w:tc>
          <w:tcPr>
            <w:tcW w:w="1724" w:type="dxa"/>
          </w:tcPr>
          <w:p w:rsidR="00F322E8" w:rsidRPr="007F2E75" w:rsidRDefault="00F322E8" w:rsidP="007F2E75">
            <w:pPr>
              <w:rPr>
                <w:sz w:val="18"/>
                <w:szCs w:val="18"/>
              </w:rPr>
            </w:pPr>
            <w:r w:rsidRPr="007F2E75">
              <w:rPr>
                <w:sz w:val="18"/>
                <w:szCs w:val="18"/>
              </w:rPr>
              <w:t>$43,064</w:t>
            </w:r>
          </w:p>
        </w:tc>
        <w:tc>
          <w:tcPr>
            <w:tcW w:w="2399" w:type="dxa"/>
          </w:tcPr>
          <w:p w:rsidR="00F322E8" w:rsidRPr="007F2E75" w:rsidRDefault="00F322E8" w:rsidP="007F2E75">
            <w:pPr>
              <w:rPr>
                <w:sz w:val="18"/>
                <w:szCs w:val="18"/>
              </w:rPr>
            </w:pPr>
            <w:r w:rsidRPr="007F2E75">
              <w:rPr>
                <w:sz w:val="18"/>
                <w:szCs w:val="18"/>
              </w:rPr>
              <w:t>National Wage Case (</w:t>
            </w:r>
            <w:r w:rsidRPr="007F2E75">
              <w:rPr>
                <w:i/>
                <w:iCs/>
                <w:sz w:val="18"/>
                <w:szCs w:val="18"/>
              </w:rPr>
              <w:t>Gazette</w:t>
            </w:r>
            <w:r w:rsidRPr="007F2E75">
              <w:rPr>
                <w:sz w:val="18"/>
                <w:szCs w:val="18"/>
              </w:rPr>
              <w:t> 31 May 1989)</w:t>
            </w:r>
          </w:p>
        </w:tc>
        <w:tc>
          <w:tcPr>
            <w:tcW w:w="1275" w:type="dxa"/>
          </w:tcPr>
          <w:p w:rsidR="00F322E8" w:rsidRPr="007F2E75" w:rsidRDefault="00F322E8" w:rsidP="007F2E75">
            <w:pPr>
              <w:rPr>
                <w:sz w:val="18"/>
                <w:szCs w:val="18"/>
              </w:rPr>
            </w:pPr>
            <w:r w:rsidRPr="007F2E75">
              <w:rPr>
                <w:sz w:val="18"/>
                <w:szCs w:val="18"/>
              </w:rPr>
              <w:t>$10 p.w.</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23 November 1989</w:t>
            </w:r>
          </w:p>
        </w:tc>
        <w:tc>
          <w:tcPr>
            <w:tcW w:w="1724" w:type="dxa"/>
          </w:tcPr>
          <w:p w:rsidR="00F322E8" w:rsidRPr="007F2E75" w:rsidRDefault="00F322E8" w:rsidP="007F2E75">
            <w:pPr>
              <w:rPr>
                <w:sz w:val="18"/>
                <w:szCs w:val="18"/>
              </w:rPr>
            </w:pPr>
            <w:r w:rsidRPr="007F2E75">
              <w:rPr>
                <w:sz w:val="18"/>
                <w:szCs w:val="18"/>
              </w:rPr>
              <w:t>$44,356</w:t>
            </w:r>
          </w:p>
        </w:tc>
        <w:tc>
          <w:tcPr>
            <w:tcW w:w="2399" w:type="dxa"/>
          </w:tcPr>
          <w:p w:rsidR="00F322E8" w:rsidRPr="007F2E75" w:rsidRDefault="00F322E8" w:rsidP="007F2E75">
            <w:pPr>
              <w:rPr>
                <w:sz w:val="18"/>
                <w:szCs w:val="18"/>
              </w:rPr>
            </w:pPr>
            <w:r w:rsidRPr="007F2E75">
              <w:rPr>
                <w:sz w:val="18"/>
                <w:szCs w:val="18"/>
              </w:rPr>
              <w:t>(</w:t>
            </w:r>
            <w:r w:rsidRPr="007F2E75">
              <w:rPr>
                <w:i/>
                <w:iCs/>
                <w:sz w:val="18"/>
                <w:szCs w:val="18"/>
              </w:rPr>
              <w:t>Gazette</w:t>
            </w:r>
            <w:r w:rsidRPr="007F2E75">
              <w:rPr>
                <w:sz w:val="18"/>
                <w:szCs w:val="18"/>
              </w:rPr>
              <w:t> 6 December 1989)</w:t>
            </w:r>
          </w:p>
        </w:tc>
        <w:tc>
          <w:tcPr>
            <w:tcW w:w="1275" w:type="dxa"/>
          </w:tcPr>
          <w:p w:rsidR="00F322E8" w:rsidRPr="007F2E75" w:rsidRDefault="00F322E8" w:rsidP="007F2E75">
            <w:pPr>
              <w:rPr>
                <w:sz w:val="18"/>
                <w:szCs w:val="18"/>
              </w:rPr>
            </w:pPr>
            <w:r w:rsidRPr="007F2E75">
              <w:rPr>
                <w:sz w:val="18"/>
                <w:szCs w:val="18"/>
              </w:rPr>
              <w:t>3%</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19 July 1990</w:t>
            </w:r>
          </w:p>
        </w:tc>
        <w:tc>
          <w:tcPr>
            <w:tcW w:w="1724" w:type="dxa"/>
          </w:tcPr>
          <w:p w:rsidR="00F322E8" w:rsidRPr="007F2E75" w:rsidRDefault="00F322E8" w:rsidP="007F2E75">
            <w:pPr>
              <w:rPr>
                <w:sz w:val="18"/>
                <w:szCs w:val="18"/>
              </w:rPr>
            </w:pPr>
            <w:r w:rsidRPr="007F2E75">
              <w:rPr>
                <w:sz w:val="18"/>
                <w:szCs w:val="18"/>
              </w:rPr>
              <w:t>$45,687</w:t>
            </w:r>
          </w:p>
        </w:tc>
        <w:tc>
          <w:tcPr>
            <w:tcW w:w="2399" w:type="dxa"/>
          </w:tcPr>
          <w:p w:rsidR="00F322E8" w:rsidRPr="007F2E75" w:rsidRDefault="00F322E8" w:rsidP="007F2E75">
            <w:pPr>
              <w:rPr>
                <w:sz w:val="18"/>
                <w:szCs w:val="18"/>
              </w:rPr>
            </w:pPr>
            <w:r w:rsidRPr="007F2E75">
              <w:rPr>
                <w:sz w:val="18"/>
                <w:szCs w:val="18"/>
              </w:rPr>
              <w:t>(</w:t>
            </w:r>
            <w:r w:rsidRPr="007F2E75">
              <w:rPr>
                <w:i/>
                <w:iCs/>
                <w:sz w:val="18"/>
                <w:szCs w:val="18"/>
              </w:rPr>
              <w:t>Gazette</w:t>
            </w:r>
            <w:r w:rsidRPr="007F2E75">
              <w:rPr>
                <w:sz w:val="18"/>
                <w:szCs w:val="18"/>
              </w:rPr>
              <w:t> 29 August 1990)</w:t>
            </w:r>
          </w:p>
        </w:tc>
        <w:tc>
          <w:tcPr>
            <w:tcW w:w="1275" w:type="dxa"/>
          </w:tcPr>
          <w:p w:rsidR="00F322E8" w:rsidRPr="007F2E75" w:rsidRDefault="00F322E8" w:rsidP="007F2E75">
            <w:pPr>
              <w:rPr>
                <w:sz w:val="18"/>
                <w:szCs w:val="18"/>
              </w:rPr>
            </w:pPr>
            <w:r w:rsidRPr="007F2E75">
              <w:rPr>
                <w:sz w:val="18"/>
                <w:szCs w:val="18"/>
              </w:rPr>
              <w:t>3%</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16 August 1991</w:t>
            </w:r>
          </w:p>
        </w:tc>
        <w:tc>
          <w:tcPr>
            <w:tcW w:w="1724" w:type="dxa"/>
          </w:tcPr>
          <w:p w:rsidR="00F322E8" w:rsidRPr="007F2E75" w:rsidRDefault="00F322E8" w:rsidP="007F2E75">
            <w:pPr>
              <w:rPr>
                <w:sz w:val="18"/>
                <w:szCs w:val="18"/>
              </w:rPr>
            </w:pPr>
            <w:r w:rsidRPr="007F2E75">
              <w:rPr>
                <w:sz w:val="18"/>
                <w:szCs w:val="18"/>
              </w:rPr>
              <w:t>$46,829</w:t>
            </w:r>
          </w:p>
        </w:tc>
        <w:tc>
          <w:tcPr>
            <w:tcW w:w="2399" w:type="dxa"/>
          </w:tcPr>
          <w:p w:rsidR="00F322E8" w:rsidRPr="007F2E75" w:rsidRDefault="00F322E8" w:rsidP="007F2E75">
            <w:pPr>
              <w:rPr>
                <w:sz w:val="18"/>
                <w:szCs w:val="18"/>
              </w:rPr>
            </w:pPr>
            <w:r w:rsidRPr="007F2E75">
              <w:rPr>
                <w:sz w:val="18"/>
                <w:szCs w:val="18"/>
              </w:rPr>
              <w:t>(</w:t>
            </w:r>
            <w:r w:rsidRPr="007F2E75">
              <w:rPr>
                <w:i/>
                <w:iCs/>
                <w:sz w:val="18"/>
                <w:szCs w:val="18"/>
              </w:rPr>
              <w:t>Gazette</w:t>
            </w:r>
            <w:r w:rsidRPr="007F2E75">
              <w:rPr>
                <w:sz w:val="18"/>
                <w:szCs w:val="18"/>
              </w:rPr>
              <w:t> 2 October 1991)</w:t>
            </w:r>
          </w:p>
        </w:tc>
        <w:tc>
          <w:tcPr>
            <w:tcW w:w="1275" w:type="dxa"/>
          </w:tcPr>
          <w:p w:rsidR="00F322E8" w:rsidRPr="007F2E75" w:rsidRDefault="00F322E8" w:rsidP="007F2E75">
            <w:pPr>
              <w:rPr>
                <w:sz w:val="18"/>
                <w:szCs w:val="18"/>
              </w:rPr>
            </w:pPr>
            <w:r w:rsidRPr="007F2E75">
              <w:rPr>
                <w:sz w:val="18"/>
                <w:szCs w:val="18"/>
              </w:rPr>
              <w:t>2.5%</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 January 1994</w:t>
            </w:r>
          </w:p>
        </w:tc>
        <w:tc>
          <w:tcPr>
            <w:tcW w:w="1724" w:type="dxa"/>
          </w:tcPr>
          <w:p w:rsidR="00F322E8" w:rsidRPr="007F2E75" w:rsidRDefault="00F322E8" w:rsidP="007F2E75">
            <w:pPr>
              <w:rPr>
                <w:sz w:val="18"/>
                <w:szCs w:val="18"/>
              </w:rPr>
            </w:pPr>
            <w:r w:rsidRPr="007F2E75">
              <w:rPr>
                <w:sz w:val="18"/>
                <w:szCs w:val="18"/>
              </w:rPr>
              <w:t>$65,230</w:t>
            </w:r>
          </w:p>
        </w:tc>
        <w:tc>
          <w:tcPr>
            <w:tcW w:w="2399" w:type="dxa"/>
          </w:tcPr>
          <w:p w:rsidR="00F322E8" w:rsidRPr="007F2E75" w:rsidRDefault="00F322E8" w:rsidP="007F2E75">
            <w:pPr>
              <w:rPr>
                <w:sz w:val="18"/>
                <w:szCs w:val="18"/>
              </w:rPr>
            </w:pPr>
            <w:r w:rsidRPr="007F2E75">
              <w:rPr>
                <w:sz w:val="18"/>
                <w:szCs w:val="18"/>
              </w:rPr>
              <w:t>Parliamentary Salaries and Allowances Amendment Act 1993 (</w:t>
            </w:r>
            <w:r w:rsidRPr="007F2E75">
              <w:rPr>
                <w:i/>
                <w:iCs/>
                <w:sz w:val="18"/>
                <w:szCs w:val="18"/>
              </w:rPr>
              <w:t xml:space="preserve">Gazette </w:t>
            </w:r>
            <w:r w:rsidRPr="007F2E75">
              <w:rPr>
                <w:sz w:val="18"/>
                <w:szCs w:val="18"/>
              </w:rPr>
              <w:t>January 1994)</w:t>
            </w:r>
          </w:p>
        </w:tc>
        <w:tc>
          <w:tcPr>
            <w:tcW w:w="1275" w:type="dxa"/>
          </w:tcPr>
          <w:p w:rsidR="00F322E8" w:rsidRPr="007F2E75" w:rsidRDefault="00F322E8" w:rsidP="007F2E75">
            <w:pPr>
              <w:rPr>
                <w:sz w:val="18"/>
                <w:szCs w:val="18"/>
              </w:rPr>
            </w:pPr>
            <w:r w:rsidRPr="007F2E75">
              <w:rPr>
                <w:sz w:val="18"/>
                <w:szCs w:val="18"/>
              </w:rPr>
              <w:t>40%</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 July 1994</w:t>
            </w:r>
          </w:p>
        </w:tc>
        <w:tc>
          <w:tcPr>
            <w:tcW w:w="1724" w:type="dxa"/>
          </w:tcPr>
          <w:p w:rsidR="00F322E8" w:rsidRPr="007F2E75" w:rsidRDefault="00F322E8" w:rsidP="007F2E75">
            <w:pPr>
              <w:rPr>
                <w:sz w:val="18"/>
                <w:szCs w:val="18"/>
              </w:rPr>
            </w:pPr>
            <w:r w:rsidRPr="007F2E75">
              <w:rPr>
                <w:sz w:val="18"/>
                <w:szCs w:val="18"/>
              </w:rPr>
              <w:t>$66,208</w:t>
            </w:r>
          </w:p>
        </w:tc>
        <w:tc>
          <w:tcPr>
            <w:tcW w:w="2399" w:type="dxa"/>
          </w:tcPr>
          <w:p w:rsidR="00F322E8" w:rsidRPr="007F2E75" w:rsidRDefault="00F322E8" w:rsidP="007F2E75">
            <w:pPr>
              <w:rPr>
                <w:sz w:val="18"/>
                <w:szCs w:val="18"/>
              </w:rPr>
            </w:pPr>
            <w:r w:rsidRPr="007F2E75">
              <w:rPr>
                <w:sz w:val="18"/>
                <w:szCs w:val="18"/>
              </w:rPr>
              <w:t>(</w:t>
            </w:r>
            <w:r w:rsidRPr="007F2E75">
              <w:rPr>
                <w:i/>
                <w:iCs/>
                <w:sz w:val="18"/>
                <w:szCs w:val="18"/>
              </w:rPr>
              <w:t>Gazette</w:t>
            </w:r>
            <w:r w:rsidRPr="007F2E75">
              <w:rPr>
                <w:sz w:val="18"/>
                <w:szCs w:val="18"/>
              </w:rPr>
              <w:t> 29 June 1994)</w:t>
            </w:r>
          </w:p>
        </w:tc>
        <w:tc>
          <w:tcPr>
            <w:tcW w:w="1275" w:type="dxa"/>
          </w:tcPr>
          <w:p w:rsidR="00F322E8" w:rsidRPr="007F2E75" w:rsidRDefault="00F322E8" w:rsidP="007F2E75">
            <w:pPr>
              <w:rPr>
                <w:sz w:val="18"/>
                <w:szCs w:val="18"/>
              </w:rPr>
            </w:pPr>
            <w:r w:rsidRPr="007F2E75">
              <w:rPr>
                <w:sz w:val="18"/>
                <w:szCs w:val="18"/>
              </w:rPr>
              <w:t>1.5%</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30 June 1995</w:t>
            </w:r>
          </w:p>
        </w:tc>
        <w:tc>
          <w:tcPr>
            <w:tcW w:w="1724" w:type="dxa"/>
          </w:tcPr>
          <w:p w:rsidR="00F322E8" w:rsidRPr="007F2E75" w:rsidRDefault="00F322E8" w:rsidP="007F2E75">
            <w:pPr>
              <w:rPr>
                <w:sz w:val="18"/>
                <w:szCs w:val="18"/>
              </w:rPr>
            </w:pPr>
            <w:r w:rsidRPr="007F2E75">
              <w:rPr>
                <w:sz w:val="18"/>
                <w:szCs w:val="18"/>
              </w:rPr>
              <w:t>$67,519</w:t>
            </w:r>
          </w:p>
        </w:tc>
        <w:tc>
          <w:tcPr>
            <w:tcW w:w="2399" w:type="dxa"/>
          </w:tcPr>
          <w:p w:rsidR="00F322E8" w:rsidRPr="007F2E75" w:rsidRDefault="00F322E8" w:rsidP="007F2E75">
            <w:pPr>
              <w:rPr>
                <w:sz w:val="18"/>
                <w:szCs w:val="18"/>
              </w:rPr>
            </w:pPr>
            <w:r w:rsidRPr="007F2E75">
              <w:rPr>
                <w:sz w:val="18"/>
                <w:szCs w:val="18"/>
              </w:rPr>
              <w:t>(</w:t>
            </w:r>
            <w:r w:rsidRPr="007F2E75">
              <w:rPr>
                <w:i/>
                <w:iCs/>
                <w:sz w:val="18"/>
                <w:szCs w:val="18"/>
              </w:rPr>
              <w:t>Gazette</w:t>
            </w:r>
            <w:r w:rsidRPr="007F2E75">
              <w:rPr>
                <w:sz w:val="18"/>
                <w:szCs w:val="18"/>
              </w:rPr>
              <w:t> 2 August 1995)</w:t>
            </w:r>
          </w:p>
        </w:tc>
        <w:tc>
          <w:tcPr>
            <w:tcW w:w="1275" w:type="dxa"/>
          </w:tcPr>
          <w:p w:rsidR="00F322E8" w:rsidRPr="007F2E75" w:rsidRDefault="00F322E8" w:rsidP="007F2E75">
            <w:pPr>
              <w:rPr>
                <w:sz w:val="18"/>
                <w:szCs w:val="18"/>
              </w:rPr>
            </w:pPr>
            <w:r w:rsidRPr="007F2E75">
              <w:rPr>
                <w:sz w:val="18"/>
                <w:szCs w:val="18"/>
              </w:rPr>
              <w:t>2%</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1996</w:t>
            </w:r>
          </w:p>
        </w:tc>
        <w:tc>
          <w:tcPr>
            <w:tcW w:w="1724" w:type="dxa"/>
          </w:tcPr>
          <w:p w:rsidR="00F322E8" w:rsidRPr="007F2E75" w:rsidRDefault="00F322E8" w:rsidP="007F2E75">
            <w:pPr>
              <w:rPr>
                <w:sz w:val="18"/>
                <w:szCs w:val="18"/>
              </w:rPr>
            </w:pPr>
            <w:r w:rsidRPr="007F2E75">
              <w:rPr>
                <w:sz w:val="18"/>
                <w:szCs w:val="18"/>
              </w:rPr>
              <w:t>$67,519</w:t>
            </w:r>
          </w:p>
        </w:tc>
        <w:tc>
          <w:tcPr>
            <w:tcW w:w="2399" w:type="dxa"/>
          </w:tcPr>
          <w:p w:rsidR="00F322E8" w:rsidRPr="007F2E75" w:rsidRDefault="00F322E8" w:rsidP="007F2E75">
            <w:pPr>
              <w:rPr>
                <w:sz w:val="18"/>
                <w:szCs w:val="18"/>
              </w:rPr>
            </w:pPr>
            <w:r w:rsidRPr="007F2E75">
              <w:rPr>
                <w:sz w:val="18"/>
                <w:szCs w:val="18"/>
              </w:rPr>
              <w:t>(See Chronology)</w:t>
            </w:r>
          </w:p>
        </w:tc>
        <w:tc>
          <w:tcPr>
            <w:tcW w:w="1275" w:type="dxa"/>
          </w:tcPr>
          <w:p w:rsidR="00F322E8" w:rsidRPr="007F2E75" w:rsidRDefault="00F322E8" w:rsidP="007F2E75">
            <w:pPr>
              <w:rPr>
                <w:sz w:val="18"/>
                <w:szCs w:val="18"/>
              </w:rPr>
            </w:pPr>
            <w:r w:rsidRPr="007F2E75">
              <w:rPr>
                <w:sz w:val="18"/>
                <w:szCs w:val="18"/>
              </w:rPr>
              <w:t>-</w:t>
            </w:r>
          </w:p>
        </w:tc>
        <w:tc>
          <w:tcPr>
            <w:tcW w:w="2330" w:type="dxa"/>
          </w:tcPr>
          <w:p w:rsidR="00F322E8" w:rsidRPr="007F2E75" w:rsidRDefault="00F322E8" w:rsidP="007F2E75">
            <w:pPr>
              <w:rPr>
                <w:sz w:val="18"/>
                <w:szCs w:val="18"/>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15 May 1997</w:t>
            </w:r>
          </w:p>
        </w:tc>
        <w:tc>
          <w:tcPr>
            <w:tcW w:w="1724" w:type="dxa"/>
          </w:tcPr>
          <w:p w:rsidR="00F322E8" w:rsidRPr="007F2E75" w:rsidRDefault="00F322E8" w:rsidP="007F2E75">
            <w:pPr>
              <w:rPr>
                <w:sz w:val="18"/>
                <w:szCs w:val="18"/>
              </w:rPr>
            </w:pPr>
            <w:r w:rsidRPr="007F2E75">
              <w:rPr>
                <w:sz w:val="18"/>
                <w:szCs w:val="18"/>
              </w:rPr>
              <w:t>$68,372</w:t>
            </w:r>
          </w:p>
        </w:tc>
        <w:tc>
          <w:tcPr>
            <w:tcW w:w="2399" w:type="dxa"/>
          </w:tcPr>
          <w:p w:rsidR="00F322E8" w:rsidRPr="007F2E75" w:rsidRDefault="00F322E8" w:rsidP="007F2E75">
            <w:pPr>
              <w:rPr>
                <w:sz w:val="18"/>
                <w:szCs w:val="18"/>
              </w:rPr>
            </w:pPr>
            <w:r w:rsidRPr="007F2E75">
              <w:rPr>
                <w:sz w:val="18"/>
                <w:szCs w:val="18"/>
              </w:rPr>
              <w:t>(</w:t>
            </w:r>
            <w:r w:rsidRPr="007F2E75">
              <w:rPr>
                <w:i/>
                <w:iCs/>
                <w:sz w:val="18"/>
                <w:szCs w:val="18"/>
              </w:rPr>
              <w:t>Gazette</w:t>
            </w:r>
            <w:r w:rsidRPr="007F2E75">
              <w:rPr>
                <w:sz w:val="18"/>
                <w:szCs w:val="18"/>
              </w:rPr>
              <w:t> 15 May 1997)</w:t>
            </w:r>
          </w:p>
        </w:tc>
        <w:tc>
          <w:tcPr>
            <w:tcW w:w="1275" w:type="dxa"/>
          </w:tcPr>
          <w:p w:rsidR="00F322E8" w:rsidRPr="007F2E75" w:rsidRDefault="00F322E8" w:rsidP="007F2E75">
            <w:pPr>
              <w:rPr>
                <w:sz w:val="18"/>
                <w:szCs w:val="18"/>
              </w:rPr>
            </w:pPr>
            <w:r w:rsidRPr="007F2E75">
              <w:rPr>
                <w:sz w:val="18"/>
                <w:szCs w:val="18"/>
              </w:rPr>
              <w:t>1.26%</w:t>
            </w:r>
          </w:p>
        </w:tc>
        <w:tc>
          <w:tcPr>
            <w:tcW w:w="2330" w:type="dxa"/>
          </w:tcPr>
          <w:p w:rsidR="00F322E8" w:rsidRPr="007F2E75" w:rsidRDefault="00F322E8" w:rsidP="007F2E75">
            <w:pPr>
              <w:rPr>
                <w:sz w:val="18"/>
                <w:szCs w:val="18"/>
                <w:lang w:val="en-US"/>
              </w:rPr>
            </w:pPr>
            <w:r w:rsidRPr="007F2E75">
              <w:rPr>
                <w:sz w:val="18"/>
                <w:szCs w:val="18"/>
                <w:lang w:val="en-US"/>
              </w:rPr>
              <w:t>1997 Report sets basic salary at 85.19% of Commonwealth basic salary</w:t>
            </w:r>
          </w:p>
          <w:p w:rsidR="00F322E8" w:rsidRPr="007F2E75" w:rsidRDefault="00F322E8" w:rsidP="007F2E75">
            <w:pPr>
              <w:rPr>
                <w:sz w:val="18"/>
                <w:szCs w:val="18"/>
                <w:lang w:val="en-US"/>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 July 1997</w:t>
            </w:r>
          </w:p>
        </w:tc>
        <w:tc>
          <w:tcPr>
            <w:tcW w:w="1724" w:type="dxa"/>
          </w:tcPr>
          <w:p w:rsidR="00F322E8" w:rsidRPr="007F2E75" w:rsidRDefault="00F322E8" w:rsidP="007F2E75">
            <w:pPr>
              <w:rPr>
                <w:sz w:val="18"/>
                <w:szCs w:val="18"/>
              </w:rPr>
            </w:pPr>
            <w:r w:rsidRPr="007F2E75">
              <w:rPr>
                <w:sz w:val="18"/>
                <w:szCs w:val="18"/>
              </w:rPr>
              <w:t>$69, 733</w:t>
            </w:r>
          </w:p>
        </w:tc>
        <w:tc>
          <w:tcPr>
            <w:tcW w:w="2399" w:type="dxa"/>
          </w:tcPr>
          <w:p w:rsidR="00F322E8" w:rsidRPr="007F2E75" w:rsidRDefault="00F322E8" w:rsidP="007F2E75">
            <w:pPr>
              <w:rPr>
                <w:sz w:val="18"/>
                <w:szCs w:val="18"/>
              </w:rPr>
            </w:pPr>
            <w:r w:rsidRPr="007F2E75">
              <w:rPr>
                <w:sz w:val="18"/>
                <w:szCs w:val="18"/>
              </w:rPr>
              <w:t>(</w:t>
            </w:r>
            <w:r w:rsidRPr="007F2E75">
              <w:rPr>
                <w:i/>
                <w:iCs/>
                <w:sz w:val="18"/>
                <w:szCs w:val="18"/>
              </w:rPr>
              <w:t>Gazette</w:t>
            </w:r>
            <w:r w:rsidRPr="007F2E75">
              <w:rPr>
                <w:sz w:val="18"/>
                <w:szCs w:val="18"/>
              </w:rPr>
              <w:t> 1 July 1997)</w:t>
            </w:r>
          </w:p>
        </w:tc>
        <w:tc>
          <w:tcPr>
            <w:tcW w:w="1275" w:type="dxa"/>
          </w:tcPr>
          <w:p w:rsidR="00F322E8" w:rsidRPr="007F2E75" w:rsidRDefault="00F322E8" w:rsidP="007F2E75">
            <w:pPr>
              <w:rPr>
                <w:sz w:val="18"/>
                <w:szCs w:val="18"/>
              </w:rPr>
            </w:pPr>
            <w:r w:rsidRPr="007F2E75">
              <w:rPr>
                <w:sz w:val="18"/>
                <w:szCs w:val="18"/>
              </w:rPr>
              <w:t>-</w:t>
            </w:r>
          </w:p>
        </w:tc>
        <w:tc>
          <w:tcPr>
            <w:tcW w:w="2330" w:type="dxa"/>
          </w:tcPr>
          <w:p w:rsidR="00F322E8" w:rsidRPr="007F2E75" w:rsidRDefault="00F322E8" w:rsidP="007F2E75">
            <w:pPr>
              <w:rPr>
                <w:sz w:val="18"/>
                <w:szCs w:val="18"/>
                <w:lang w:val="en-US"/>
              </w:rPr>
            </w:pPr>
            <w:r w:rsidRPr="007F2E75">
              <w:rPr>
                <w:sz w:val="18"/>
                <w:szCs w:val="18"/>
                <w:lang w:val="en-US"/>
              </w:rPr>
              <w:t>Commonwealth nexus</w:t>
            </w:r>
          </w:p>
        </w:tc>
      </w:tr>
      <w:tr w:rsidR="00F322E8" w:rsidRPr="007F2E75" w:rsidTr="00F322E8">
        <w:tc>
          <w:tcPr>
            <w:tcW w:w="1514" w:type="dxa"/>
          </w:tcPr>
          <w:p w:rsidR="00F322E8" w:rsidRPr="007F2E75" w:rsidRDefault="00F322E8" w:rsidP="007F2E75">
            <w:pPr>
              <w:rPr>
                <w:sz w:val="18"/>
                <w:szCs w:val="18"/>
              </w:rPr>
            </w:pPr>
            <w:r w:rsidRPr="007F2E75">
              <w:rPr>
                <w:sz w:val="18"/>
                <w:szCs w:val="18"/>
              </w:rPr>
              <w:t>1 July 2000</w:t>
            </w:r>
          </w:p>
        </w:tc>
        <w:tc>
          <w:tcPr>
            <w:tcW w:w="1724" w:type="dxa"/>
          </w:tcPr>
          <w:p w:rsidR="00F322E8" w:rsidRPr="007F2E75" w:rsidRDefault="00F322E8" w:rsidP="003015CF">
            <w:pPr>
              <w:rPr>
                <w:sz w:val="18"/>
                <w:szCs w:val="18"/>
              </w:rPr>
            </w:pPr>
            <w:r w:rsidRPr="007F2E75">
              <w:rPr>
                <w:sz w:val="18"/>
                <w:szCs w:val="18"/>
              </w:rPr>
              <w:t>$72</w:t>
            </w:r>
            <w:r w:rsidR="003015CF">
              <w:rPr>
                <w:sz w:val="18"/>
                <w:szCs w:val="18"/>
              </w:rPr>
              <w:t>,</w:t>
            </w:r>
            <w:r w:rsidRPr="007F2E75">
              <w:rPr>
                <w:sz w:val="18"/>
                <w:szCs w:val="18"/>
              </w:rPr>
              <w:t>837</w:t>
            </w:r>
          </w:p>
        </w:tc>
        <w:tc>
          <w:tcPr>
            <w:tcW w:w="2399" w:type="dxa"/>
          </w:tcPr>
          <w:p w:rsidR="00F322E8" w:rsidRPr="007F2E75" w:rsidRDefault="00F322E8" w:rsidP="007F2E75">
            <w:pPr>
              <w:rPr>
                <w:sz w:val="18"/>
                <w:szCs w:val="18"/>
              </w:rPr>
            </w:pPr>
            <w:r w:rsidRPr="007F2E75">
              <w:rPr>
                <w:sz w:val="18"/>
                <w:szCs w:val="18"/>
              </w:rPr>
              <w:t>(</w:t>
            </w:r>
            <w:r w:rsidRPr="007F2E75">
              <w:rPr>
                <w:i/>
                <w:iCs/>
                <w:sz w:val="18"/>
                <w:szCs w:val="18"/>
              </w:rPr>
              <w:t>Gazette</w:t>
            </w:r>
            <w:r w:rsidRPr="007F2E75">
              <w:rPr>
                <w:sz w:val="18"/>
                <w:szCs w:val="18"/>
              </w:rPr>
              <w:t> 12 July 2000)</w:t>
            </w:r>
          </w:p>
        </w:tc>
        <w:tc>
          <w:tcPr>
            <w:tcW w:w="1275" w:type="dxa"/>
          </w:tcPr>
          <w:p w:rsidR="00F322E8" w:rsidRPr="007F2E75" w:rsidRDefault="00F322E8" w:rsidP="007F2E75">
            <w:pPr>
              <w:rPr>
                <w:sz w:val="18"/>
                <w:szCs w:val="18"/>
              </w:rPr>
            </w:pPr>
            <w:r w:rsidRPr="007F2E75">
              <w:rPr>
                <w:sz w:val="18"/>
                <w:szCs w:val="18"/>
              </w:rPr>
              <w:t>4.45%</w:t>
            </w:r>
          </w:p>
        </w:tc>
        <w:tc>
          <w:tcPr>
            <w:tcW w:w="2330" w:type="dxa"/>
          </w:tcPr>
          <w:p w:rsidR="00F322E8" w:rsidRPr="007F2E75" w:rsidRDefault="00F322E8" w:rsidP="007F2E75">
            <w:pPr>
              <w:rPr>
                <w:sz w:val="18"/>
                <w:szCs w:val="18"/>
                <w:lang w:val="en-US"/>
              </w:rPr>
            </w:pPr>
            <w:r w:rsidRPr="007F2E75">
              <w:rPr>
                <w:sz w:val="18"/>
                <w:szCs w:val="18"/>
                <w:lang w:val="en-US"/>
              </w:rPr>
              <w:t>5% increase in Commonwealth rate</w:t>
            </w:r>
          </w:p>
        </w:tc>
      </w:tr>
      <w:tr w:rsidR="00F322E8" w:rsidRPr="007F2E75" w:rsidTr="00F322E8">
        <w:tc>
          <w:tcPr>
            <w:tcW w:w="1514" w:type="dxa"/>
          </w:tcPr>
          <w:p w:rsidR="00F322E8" w:rsidRPr="007F2E75" w:rsidRDefault="00F322E8" w:rsidP="007F2E75">
            <w:pPr>
              <w:rPr>
                <w:sz w:val="18"/>
                <w:szCs w:val="18"/>
              </w:rPr>
            </w:pPr>
            <w:r w:rsidRPr="007F2E75">
              <w:rPr>
                <w:sz w:val="18"/>
                <w:szCs w:val="18"/>
              </w:rPr>
              <w:t>1 July 2001</w:t>
            </w:r>
          </w:p>
        </w:tc>
        <w:tc>
          <w:tcPr>
            <w:tcW w:w="1724" w:type="dxa"/>
          </w:tcPr>
          <w:p w:rsidR="00F322E8" w:rsidRPr="007F2E75" w:rsidRDefault="00F322E8" w:rsidP="007F2E75">
            <w:pPr>
              <w:rPr>
                <w:sz w:val="18"/>
                <w:szCs w:val="18"/>
              </w:rPr>
            </w:pPr>
            <w:r w:rsidRPr="007F2E75">
              <w:rPr>
                <w:sz w:val="18"/>
                <w:szCs w:val="18"/>
              </w:rPr>
              <w:t>$78,375</w:t>
            </w:r>
          </w:p>
        </w:tc>
        <w:tc>
          <w:tcPr>
            <w:tcW w:w="2399" w:type="dxa"/>
          </w:tcPr>
          <w:p w:rsidR="00F322E8" w:rsidRPr="007F2E75" w:rsidRDefault="00F322E8" w:rsidP="007F2E75">
            <w:pPr>
              <w:rPr>
                <w:sz w:val="18"/>
                <w:szCs w:val="18"/>
              </w:rPr>
            </w:pPr>
            <w:r w:rsidRPr="007F2E75">
              <w:rPr>
                <w:sz w:val="18"/>
                <w:szCs w:val="18"/>
              </w:rPr>
              <w:t>(</w:t>
            </w:r>
            <w:r w:rsidRPr="003015CF">
              <w:rPr>
                <w:i/>
                <w:sz w:val="18"/>
                <w:szCs w:val="18"/>
              </w:rPr>
              <w:t>Gazette</w:t>
            </w:r>
            <w:r w:rsidRPr="007F2E75">
              <w:rPr>
                <w:sz w:val="18"/>
                <w:szCs w:val="18"/>
              </w:rPr>
              <w:t xml:space="preserve"> 11 July 2001)</w:t>
            </w:r>
          </w:p>
        </w:tc>
        <w:tc>
          <w:tcPr>
            <w:tcW w:w="1275" w:type="dxa"/>
          </w:tcPr>
          <w:p w:rsidR="00F322E8" w:rsidRPr="007F2E75" w:rsidRDefault="00F322E8" w:rsidP="007F2E75">
            <w:pPr>
              <w:rPr>
                <w:sz w:val="18"/>
                <w:szCs w:val="18"/>
              </w:rPr>
            </w:pPr>
            <w:r w:rsidRPr="007F2E75">
              <w:rPr>
                <w:sz w:val="18"/>
                <w:szCs w:val="18"/>
              </w:rPr>
              <w:t>7.6%</w:t>
            </w:r>
          </w:p>
        </w:tc>
        <w:tc>
          <w:tcPr>
            <w:tcW w:w="2330" w:type="dxa"/>
          </w:tcPr>
          <w:p w:rsidR="00F322E8" w:rsidRPr="007F2E75" w:rsidRDefault="00F322E8" w:rsidP="007F2E75">
            <w:pPr>
              <w:rPr>
                <w:sz w:val="18"/>
                <w:szCs w:val="18"/>
                <w:lang w:val="en-US"/>
              </w:rPr>
            </w:pPr>
            <w:r w:rsidRPr="007F2E75">
              <w:rPr>
                <w:sz w:val="18"/>
                <w:szCs w:val="18"/>
                <w:lang w:val="en-US"/>
              </w:rPr>
              <w:t>Commonwealth nexus</w:t>
            </w:r>
          </w:p>
        </w:tc>
      </w:tr>
      <w:tr w:rsidR="00F322E8" w:rsidRPr="007F2E75" w:rsidTr="00F322E8">
        <w:tc>
          <w:tcPr>
            <w:tcW w:w="1514" w:type="dxa"/>
          </w:tcPr>
          <w:p w:rsidR="00F322E8" w:rsidRPr="007F2E75" w:rsidRDefault="00F322E8" w:rsidP="007F2E75">
            <w:pPr>
              <w:rPr>
                <w:sz w:val="18"/>
                <w:szCs w:val="18"/>
              </w:rPr>
            </w:pPr>
            <w:r w:rsidRPr="007F2E75">
              <w:rPr>
                <w:sz w:val="18"/>
                <w:szCs w:val="18"/>
              </w:rPr>
              <w:lastRenderedPageBreak/>
              <w:t>1 July 2002</w:t>
            </w:r>
          </w:p>
        </w:tc>
        <w:tc>
          <w:tcPr>
            <w:tcW w:w="1724" w:type="dxa"/>
          </w:tcPr>
          <w:p w:rsidR="00F322E8" w:rsidRPr="007F2E75" w:rsidRDefault="00F322E8" w:rsidP="007F2E75">
            <w:pPr>
              <w:rPr>
                <w:sz w:val="18"/>
                <w:szCs w:val="18"/>
              </w:rPr>
            </w:pPr>
            <w:r w:rsidRPr="007F2E75">
              <w:rPr>
                <w:sz w:val="18"/>
                <w:szCs w:val="18"/>
              </w:rPr>
              <w:t>$81,442</w:t>
            </w:r>
          </w:p>
        </w:tc>
        <w:tc>
          <w:tcPr>
            <w:tcW w:w="2399" w:type="dxa"/>
          </w:tcPr>
          <w:p w:rsidR="00F322E8" w:rsidRPr="007F2E75" w:rsidRDefault="00F322E8" w:rsidP="007F2E75">
            <w:pPr>
              <w:rPr>
                <w:sz w:val="18"/>
                <w:szCs w:val="18"/>
              </w:rPr>
            </w:pPr>
            <w:r w:rsidRPr="007F2E75">
              <w:rPr>
                <w:sz w:val="18"/>
                <w:szCs w:val="18"/>
              </w:rPr>
              <w:t>(</w:t>
            </w:r>
            <w:r w:rsidRPr="003015CF">
              <w:rPr>
                <w:i/>
                <w:sz w:val="18"/>
                <w:szCs w:val="18"/>
              </w:rPr>
              <w:t>Gazette</w:t>
            </w:r>
            <w:r w:rsidRPr="007F2E75">
              <w:rPr>
                <w:sz w:val="18"/>
                <w:szCs w:val="18"/>
              </w:rPr>
              <w:t xml:space="preserve"> 1 July 2002)</w:t>
            </w:r>
          </w:p>
        </w:tc>
        <w:tc>
          <w:tcPr>
            <w:tcW w:w="1275" w:type="dxa"/>
          </w:tcPr>
          <w:p w:rsidR="00F322E8" w:rsidRPr="007F2E75" w:rsidRDefault="00F322E8" w:rsidP="007F2E75">
            <w:pPr>
              <w:rPr>
                <w:sz w:val="18"/>
                <w:szCs w:val="18"/>
              </w:rPr>
            </w:pPr>
            <w:r w:rsidRPr="007F2E75">
              <w:rPr>
                <w:sz w:val="18"/>
                <w:szCs w:val="18"/>
              </w:rPr>
              <w:t>3.9%</w:t>
            </w:r>
          </w:p>
        </w:tc>
        <w:tc>
          <w:tcPr>
            <w:tcW w:w="2330" w:type="dxa"/>
          </w:tcPr>
          <w:p w:rsidR="00F322E8" w:rsidRPr="007F2E75" w:rsidRDefault="00F322E8" w:rsidP="007F2E75">
            <w:pPr>
              <w:rPr>
                <w:sz w:val="18"/>
                <w:szCs w:val="18"/>
                <w:lang w:val="en-US"/>
              </w:rPr>
            </w:pPr>
            <w:r w:rsidRPr="007F2E75">
              <w:rPr>
                <w:sz w:val="18"/>
                <w:szCs w:val="18"/>
                <w:lang w:val="en-US"/>
              </w:rPr>
              <w:t>Commonwealth nexus</w:t>
            </w:r>
          </w:p>
        </w:tc>
      </w:tr>
      <w:tr w:rsidR="00F322E8" w:rsidRPr="007F2E75" w:rsidTr="00F322E8">
        <w:tc>
          <w:tcPr>
            <w:tcW w:w="1514" w:type="dxa"/>
          </w:tcPr>
          <w:p w:rsidR="00F322E8" w:rsidRPr="007F2E75" w:rsidRDefault="00F322E8" w:rsidP="007F2E75">
            <w:pPr>
              <w:rPr>
                <w:sz w:val="18"/>
                <w:szCs w:val="18"/>
              </w:rPr>
            </w:pPr>
            <w:r w:rsidRPr="007F2E75">
              <w:rPr>
                <w:sz w:val="18"/>
                <w:szCs w:val="18"/>
              </w:rPr>
              <w:t>1 July 2003</w:t>
            </w:r>
          </w:p>
        </w:tc>
        <w:tc>
          <w:tcPr>
            <w:tcW w:w="1724" w:type="dxa"/>
          </w:tcPr>
          <w:p w:rsidR="00F322E8" w:rsidRPr="007F2E75" w:rsidRDefault="00F322E8" w:rsidP="007F2E75">
            <w:pPr>
              <w:rPr>
                <w:sz w:val="18"/>
                <w:szCs w:val="18"/>
              </w:rPr>
            </w:pPr>
            <w:r w:rsidRPr="007F2E75">
              <w:rPr>
                <w:sz w:val="18"/>
                <w:szCs w:val="18"/>
              </w:rPr>
              <w:t>$84,168</w:t>
            </w:r>
          </w:p>
        </w:tc>
        <w:tc>
          <w:tcPr>
            <w:tcW w:w="2399" w:type="dxa"/>
          </w:tcPr>
          <w:p w:rsidR="00F322E8" w:rsidRPr="007F2E75" w:rsidRDefault="00F322E8" w:rsidP="007F2E75">
            <w:pPr>
              <w:rPr>
                <w:sz w:val="18"/>
                <w:szCs w:val="18"/>
              </w:rPr>
            </w:pPr>
            <w:r w:rsidRPr="007F2E75">
              <w:rPr>
                <w:sz w:val="18"/>
                <w:szCs w:val="18"/>
              </w:rPr>
              <w:t>(</w:t>
            </w:r>
            <w:r w:rsidRPr="003015CF">
              <w:rPr>
                <w:i/>
                <w:sz w:val="18"/>
                <w:szCs w:val="18"/>
              </w:rPr>
              <w:t>Gazette</w:t>
            </w:r>
            <w:r w:rsidRPr="007F2E75">
              <w:rPr>
                <w:sz w:val="18"/>
                <w:szCs w:val="18"/>
              </w:rPr>
              <w:t xml:space="preserve"> 1 July 2003)</w:t>
            </w:r>
          </w:p>
        </w:tc>
        <w:tc>
          <w:tcPr>
            <w:tcW w:w="1275" w:type="dxa"/>
          </w:tcPr>
          <w:p w:rsidR="00F322E8" w:rsidRPr="007F2E75" w:rsidRDefault="00F322E8" w:rsidP="007F2E75">
            <w:pPr>
              <w:rPr>
                <w:sz w:val="18"/>
                <w:szCs w:val="18"/>
              </w:rPr>
            </w:pPr>
            <w:r w:rsidRPr="007F2E75">
              <w:rPr>
                <w:sz w:val="18"/>
                <w:szCs w:val="18"/>
              </w:rPr>
              <w:t>3.3%</w:t>
            </w:r>
          </w:p>
        </w:tc>
        <w:tc>
          <w:tcPr>
            <w:tcW w:w="2330" w:type="dxa"/>
          </w:tcPr>
          <w:p w:rsidR="00F322E8" w:rsidRPr="007F2E75" w:rsidRDefault="00F322E8" w:rsidP="007F2E75">
            <w:pPr>
              <w:rPr>
                <w:sz w:val="18"/>
                <w:szCs w:val="18"/>
                <w:lang w:val="en-US"/>
              </w:rPr>
            </w:pPr>
            <w:r w:rsidRPr="007F2E75">
              <w:rPr>
                <w:sz w:val="18"/>
                <w:szCs w:val="18"/>
                <w:lang w:val="en-US"/>
              </w:rPr>
              <w:t>Commonwealth nexus</w:t>
            </w:r>
          </w:p>
        </w:tc>
      </w:tr>
      <w:tr w:rsidR="00F322E8" w:rsidRPr="007F2E75" w:rsidTr="00F322E8">
        <w:tc>
          <w:tcPr>
            <w:tcW w:w="1514" w:type="dxa"/>
          </w:tcPr>
          <w:p w:rsidR="00F322E8" w:rsidRPr="007F2E75" w:rsidRDefault="00F322E8" w:rsidP="007F2E75">
            <w:pPr>
              <w:rPr>
                <w:sz w:val="18"/>
                <w:szCs w:val="18"/>
              </w:rPr>
            </w:pPr>
            <w:r w:rsidRPr="007F2E75">
              <w:rPr>
                <w:sz w:val="18"/>
                <w:szCs w:val="18"/>
              </w:rPr>
              <w:t>1 July 2004</w:t>
            </w:r>
          </w:p>
        </w:tc>
        <w:tc>
          <w:tcPr>
            <w:tcW w:w="1724" w:type="dxa"/>
          </w:tcPr>
          <w:p w:rsidR="00F322E8" w:rsidRPr="007F2E75" w:rsidRDefault="00F322E8" w:rsidP="007F2E75">
            <w:pPr>
              <w:rPr>
                <w:sz w:val="18"/>
                <w:szCs w:val="18"/>
              </w:rPr>
            </w:pPr>
            <w:r w:rsidRPr="007F2E75">
              <w:rPr>
                <w:sz w:val="18"/>
                <w:szCs w:val="18"/>
              </w:rPr>
              <w:t>$87,541</w:t>
            </w:r>
          </w:p>
        </w:tc>
        <w:tc>
          <w:tcPr>
            <w:tcW w:w="2399" w:type="dxa"/>
          </w:tcPr>
          <w:p w:rsidR="00F322E8" w:rsidRPr="007F2E75" w:rsidRDefault="00F322E8" w:rsidP="007F2E75">
            <w:pPr>
              <w:rPr>
                <w:sz w:val="18"/>
                <w:szCs w:val="18"/>
              </w:rPr>
            </w:pPr>
            <w:r w:rsidRPr="007F2E75">
              <w:rPr>
                <w:sz w:val="18"/>
                <w:szCs w:val="18"/>
              </w:rPr>
              <w:t>(</w:t>
            </w:r>
            <w:r w:rsidRPr="003015CF">
              <w:rPr>
                <w:i/>
                <w:sz w:val="18"/>
                <w:szCs w:val="18"/>
              </w:rPr>
              <w:t>Gazette</w:t>
            </w:r>
            <w:r w:rsidRPr="007F2E75">
              <w:rPr>
                <w:sz w:val="18"/>
                <w:szCs w:val="18"/>
              </w:rPr>
              <w:t xml:space="preserve"> 1 July 2004)</w:t>
            </w:r>
          </w:p>
        </w:tc>
        <w:tc>
          <w:tcPr>
            <w:tcW w:w="1275" w:type="dxa"/>
          </w:tcPr>
          <w:p w:rsidR="00F322E8" w:rsidRPr="007F2E75" w:rsidRDefault="00F322E8" w:rsidP="007F2E75">
            <w:pPr>
              <w:rPr>
                <w:sz w:val="18"/>
                <w:szCs w:val="18"/>
              </w:rPr>
            </w:pPr>
            <w:r w:rsidRPr="007F2E75">
              <w:rPr>
                <w:sz w:val="18"/>
                <w:szCs w:val="18"/>
              </w:rPr>
              <w:t>4%</w:t>
            </w:r>
          </w:p>
        </w:tc>
        <w:tc>
          <w:tcPr>
            <w:tcW w:w="2330" w:type="dxa"/>
          </w:tcPr>
          <w:p w:rsidR="00F322E8" w:rsidRPr="007F2E75" w:rsidRDefault="00F322E8" w:rsidP="007F2E75">
            <w:pPr>
              <w:rPr>
                <w:sz w:val="18"/>
                <w:szCs w:val="18"/>
                <w:lang w:val="en-US"/>
              </w:rPr>
            </w:pPr>
            <w:r w:rsidRPr="007F2E75">
              <w:rPr>
                <w:sz w:val="18"/>
                <w:szCs w:val="18"/>
                <w:lang w:val="en-US"/>
              </w:rPr>
              <w:t>Commonwealth nexus</w:t>
            </w:r>
          </w:p>
        </w:tc>
      </w:tr>
      <w:tr w:rsidR="00F322E8" w:rsidRPr="007F2E75" w:rsidTr="00F322E8">
        <w:tc>
          <w:tcPr>
            <w:tcW w:w="1514" w:type="dxa"/>
          </w:tcPr>
          <w:p w:rsidR="00F322E8" w:rsidRPr="007F2E75" w:rsidRDefault="00F322E8" w:rsidP="007F2E75">
            <w:pPr>
              <w:rPr>
                <w:sz w:val="18"/>
                <w:szCs w:val="18"/>
              </w:rPr>
            </w:pPr>
            <w:r w:rsidRPr="007F2E75">
              <w:rPr>
                <w:sz w:val="18"/>
                <w:szCs w:val="18"/>
              </w:rPr>
              <w:t>1 July 2005</w:t>
            </w:r>
          </w:p>
        </w:tc>
        <w:tc>
          <w:tcPr>
            <w:tcW w:w="1724" w:type="dxa"/>
          </w:tcPr>
          <w:p w:rsidR="00F322E8" w:rsidRPr="007F2E75" w:rsidRDefault="00F322E8" w:rsidP="007F2E75">
            <w:pPr>
              <w:rPr>
                <w:sz w:val="18"/>
                <w:szCs w:val="18"/>
              </w:rPr>
            </w:pPr>
            <w:r w:rsidRPr="007F2E75">
              <w:rPr>
                <w:sz w:val="18"/>
                <w:szCs w:val="18"/>
              </w:rPr>
              <w:t>$90,957</w:t>
            </w:r>
          </w:p>
        </w:tc>
        <w:tc>
          <w:tcPr>
            <w:tcW w:w="2399" w:type="dxa"/>
          </w:tcPr>
          <w:p w:rsidR="00F322E8" w:rsidRPr="007F2E75" w:rsidRDefault="00F322E8" w:rsidP="007F2E75">
            <w:pPr>
              <w:rPr>
                <w:sz w:val="18"/>
                <w:szCs w:val="18"/>
              </w:rPr>
            </w:pPr>
            <w:r w:rsidRPr="007F2E75">
              <w:rPr>
                <w:sz w:val="18"/>
                <w:szCs w:val="18"/>
              </w:rPr>
              <w:t>(</w:t>
            </w:r>
            <w:r w:rsidRPr="003015CF">
              <w:rPr>
                <w:i/>
                <w:sz w:val="18"/>
                <w:szCs w:val="18"/>
              </w:rPr>
              <w:t>Gazette</w:t>
            </w:r>
            <w:r w:rsidRPr="007F2E75">
              <w:rPr>
                <w:sz w:val="18"/>
                <w:szCs w:val="18"/>
              </w:rPr>
              <w:t xml:space="preserve"> 6 July 2005)</w:t>
            </w:r>
          </w:p>
        </w:tc>
        <w:tc>
          <w:tcPr>
            <w:tcW w:w="1275" w:type="dxa"/>
          </w:tcPr>
          <w:p w:rsidR="00F322E8" w:rsidRPr="007F2E75" w:rsidRDefault="00F322E8" w:rsidP="007F2E75">
            <w:pPr>
              <w:rPr>
                <w:sz w:val="18"/>
                <w:szCs w:val="18"/>
              </w:rPr>
            </w:pPr>
            <w:r w:rsidRPr="007F2E75">
              <w:rPr>
                <w:sz w:val="18"/>
                <w:szCs w:val="18"/>
              </w:rPr>
              <w:t>4%</w:t>
            </w:r>
          </w:p>
        </w:tc>
        <w:tc>
          <w:tcPr>
            <w:tcW w:w="2330" w:type="dxa"/>
          </w:tcPr>
          <w:p w:rsidR="00F322E8" w:rsidRPr="007F2E75" w:rsidRDefault="00F322E8" w:rsidP="007F2E75">
            <w:pPr>
              <w:rPr>
                <w:sz w:val="18"/>
                <w:szCs w:val="18"/>
                <w:lang w:val="en-US"/>
              </w:rPr>
            </w:pPr>
            <w:r w:rsidRPr="007F2E75">
              <w:rPr>
                <w:sz w:val="18"/>
                <w:szCs w:val="18"/>
                <w:lang w:val="en-US"/>
              </w:rPr>
              <w:t>Commonwealth nexus</w:t>
            </w:r>
          </w:p>
        </w:tc>
      </w:tr>
      <w:tr w:rsidR="00F322E8" w:rsidRPr="007F2E75" w:rsidTr="00F322E8">
        <w:tc>
          <w:tcPr>
            <w:tcW w:w="1514" w:type="dxa"/>
          </w:tcPr>
          <w:p w:rsidR="00F322E8" w:rsidRPr="007F2E75" w:rsidRDefault="00F322E8" w:rsidP="007F2E75">
            <w:pPr>
              <w:rPr>
                <w:sz w:val="18"/>
                <w:szCs w:val="18"/>
              </w:rPr>
            </w:pPr>
            <w:r w:rsidRPr="007F2E75">
              <w:rPr>
                <w:sz w:val="18"/>
                <w:szCs w:val="18"/>
              </w:rPr>
              <w:t>1 July 2006</w:t>
            </w:r>
          </w:p>
        </w:tc>
        <w:tc>
          <w:tcPr>
            <w:tcW w:w="1724" w:type="dxa"/>
          </w:tcPr>
          <w:p w:rsidR="00F322E8" w:rsidRPr="007F2E75" w:rsidRDefault="00F322E8" w:rsidP="007F2E75">
            <w:pPr>
              <w:rPr>
                <w:sz w:val="18"/>
                <w:szCs w:val="18"/>
              </w:rPr>
            </w:pPr>
            <w:r w:rsidRPr="007F2E75">
              <w:rPr>
                <w:sz w:val="18"/>
                <w:szCs w:val="18"/>
              </w:rPr>
              <w:t>$94,689</w:t>
            </w:r>
          </w:p>
        </w:tc>
        <w:tc>
          <w:tcPr>
            <w:tcW w:w="2399" w:type="dxa"/>
          </w:tcPr>
          <w:p w:rsidR="00F322E8" w:rsidRPr="007F2E75" w:rsidRDefault="00F322E8" w:rsidP="007F2E75">
            <w:pPr>
              <w:rPr>
                <w:sz w:val="18"/>
                <w:szCs w:val="18"/>
              </w:rPr>
            </w:pPr>
            <w:r w:rsidRPr="007F2E75">
              <w:rPr>
                <w:sz w:val="18"/>
                <w:szCs w:val="18"/>
              </w:rPr>
              <w:t>(</w:t>
            </w:r>
            <w:r w:rsidRPr="003015CF">
              <w:rPr>
                <w:i/>
                <w:sz w:val="18"/>
                <w:szCs w:val="18"/>
              </w:rPr>
              <w:t>Gazette</w:t>
            </w:r>
            <w:r w:rsidRPr="007F2E75">
              <w:rPr>
                <w:sz w:val="18"/>
                <w:szCs w:val="18"/>
              </w:rPr>
              <w:t xml:space="preserve"> 5 July 2006)</w:t>
            </w:r>
          </w:p>
        </w:tc>
        <w:tc>
          <w:tcPr>
            <w:tcW w:w="1275" w:type="dxa"/>
          </w:tcPr>
          <w:p w:rsidR="00F322E8" w:rsidRPr="007F2E75" w:rsidRDefault="00F322E8" w:rsidP="007F2E75">
            <w:pPr>
              <w:rPr>
                <w:sz w:val="18"/>
                <w:szCs w:val="18"/>
              </w:rPr>
            </w:pPr>
            <w:r w:rsidRPr="007F2E75">
              <w:rPr>
                <w:sz w:val="18"/>
                <w:szCs w:val="18"/>
              </w:rPr>
              <w:t>4%</w:t>
            </w:r>
          </w:p>
        </w:tc>
        <w:tc>
          <w:tcPr>
            <w:tcW w:w="2330" w:type="dxa"/>
          </w:tcPr>
          <w:p w:rsidR="00F322E8" w:rsidRPr="007F2E75" w:rsidRDefault="00F322E8" w:rsidP="007F2E75">
            <w:pPr>
              <w:rPr>
                <w:sz w:val="18"/>
                <w:szCs w:val="18"/>
                <w:lang w:val="en-US"/>
              </w:rPr>
            </w:pPr>
            <w:r w:rsidRPr="007F2E75">
              <w:rPr>
                <w:sz w:val="18"/>
                <w:szCs w:val="18"/>
                <w:lang w:val="en-US"/>
              </w:rPr>
              <w:t>Commonwealth nexus</w:t>
            </w:r>
          </w:p>
        </w:tc>
      </w:tr>
      <w:tr w:rsidR="00F322E8" w:rsidRPr="007F2E75" w:rsidTr="00F322E8">
        <w:tc>
          <w:tcPr>
            <w:tcW w:w="1514" w:type="dxa"/>
          </w:tcPr>
          <w:p w:rsidR="00F322E8" w:rsidRPr="007F2E75" w:rsidRDefault="00F322E8" w:rsidP="007F2E75">
            <w:pPr>
              <w:rPr>
                <w:sz w:val="18"/>
                <w:szCs w:val="18"/>
              </w:rPr>
            </w:pPr>
            <w:r w:rsidRPr="007F2E75">
              <w:rPr>
                <w:sz w:val="18"/>
                <w:szCs w:val="18"/>
              </w:rPr>
              <w:t>1 July 2007</w:t>
            </w:r>
          </w:p>
        </w:tc>
        <w:tc>
          <w:tcPr>
            <w:tcW w:w="1724" w:type="dxa"/>
          </w:tcPr>
          <w:p w:rsidR="00F322E8" w:rsidRPr="007F2E75" w:rsidRDefault="00F322E8" w:rsidP="007F2E75">
            <w:pPr>
              <w:rPr>
                <w:sz w:val="18"/>
                <w:szCs w:val="18"/>
              </w:rPr>
            </w:pPr>
            <w:r w:rsidRPr="007F2E75">
              <w:rPr>
                <w:sz w:val="18"/>
                <w:szCs w:val="18"/>
              </w:rPr>
              <w:t>$101,334</w:t>
            </w:r>
          </w:p>
        </w:tc>
        <w:tc>
          <w:tcPr>
            <w:tcW w:w="2399" w:type="dxa"/>
          </w:tcPr>
          <w:p w:rsidR="00F322E8" w:rsidRPr="007F2E75" w:rsidRDefault="00F322E8" w:rsidP="007F2E75">
            <w:pPr>
              <w:rPr>
                <w:sz w:val="18"/>
                <w:szCs w:val="18"/>
              </w:rPr>
            </w:pPr>
            <w:r w:rsidRPr="007F2E75">
              <w:rPr>
                <w:sz w:val="18"/>
                <w:szCs w:val="18"/>
              </w:rPr>
              <w:t>(</w:t>
            </w:r>
            <w:r w:rsidRPr="003015CF">
              <w:rPr>
                <w:i/>
                <w:sz w:val="18"/>
                <w:szCs w:val="18"/>
              </w:rPr>
              <w:t>Gazette</w:t>
            </w:r>
            <w:r w:rsidRPr="007F2E75">
              <w:rPr>
                <w:sz w:val="18"/>
                <w:szCs w:val="18"/>
              </w:rPr>
              <w:t xml:space="preserve"> 1 July 2007)</w:t>
            </w:r>
          </w:p>
        </w:tc>
        <w:tc>
          <w:tcPr>
            <w:tcW w:w="1275" w:type="dxa"/>
          </w:tcPr>
          <w:p w:rsidR="00F322E8" w:rsidRPr="007F2E75" w:rsidRDefault="00F322E8" w:rsidP="007F2E75">
            <w:pPr>
              <w:rPr>
                <w:sz w:val="18"/>
                <w:szCs w:val="18"/>
              </w:rPr>
            </w:pPr>
            <w:r w:rsidRPr="007F2E75">
              <w:rPr>
                <w:sz w:val="18"/>
                <w:szCs w:val="18"/>
              </w:rPr>
              <w:t>7%</w:t>
            </w:r>
          </w:p>
        </w:tc>
        <w:tc>
          <w:tcPr>
            <w:tcW w:w="2330" w:type="dxa"/>
          </w:tcPr>
          <w:p w:rsidR="00F322E8" w:rsidRPr="007F2E75" w:rsidRDefault="00F322E8" w:rsidP="007F2E75">
            <w:pPr>
              <w:rPr>
                <w:sz w:val="18"/>
                <w:szCs w:val="18"/>
                <w:lang w:val="en-US"/>
              </w:rPr>
            </w:pPr>
            <w:r w:rsidRPr="007F2E75">
              <w:rPr>
                <w:sz w:val="18"/>
                <w:szCs w:val="18"/>
                <w:lang w:val="en-US"/>
              </w:rPr>
              <w:t>Commonwealth nexus</w:t>
            </w:r>
          </w:p>
        </w:tc>
      </w:tr>
      <w:tr w:rsidR="00F322E8" w:rsidRPr="007F2E75" w:rsidTr="00F322E8">
        <w:tc>
          <w:tcPr>
            <w:tcW w:w="1514" w:type="dxa"/>
          </w:tcPr>
          <w:p w:rsidR="00F322E8" w:rsidRPr="007F2E75" w:rsidRDefault="00F322E8" w:rsidP="007F2E75">
            <w:pPr>
              <w:rPr>
                <w:sz w:val="18"/>
                <w:szCs w:val="18"/>
              </w:rPr>
            </w:pPr>
            <w:r w:rsidRPr="007F2E75">
              <w:rPr>
                <w:sz w:val="18"/>
                <w:szCs w:val="18"/>
              </w:rPr>
              <w:t>1 July 2008</w:t>
            </w:r>
          </w:p>
        </w:tc>
        <w:tc>
          <w:tcPr>
            <w:tcW w:w="1724" w:type="dxa"/>
          </w:tcPr>
          <w:p w:rsidR="00F322E8" w:rsidRPr="007F2E75" w:rsidRDefault="00F322E8" w:rsidP="007F2E75">
            <w:pPr>
              <w:rPr>
                <w:sz w:val="18"/>
                <w:szCs w:val="18"/>
              </w:rPr>
            </w:pPr>
            <w:r w:rsidRPr="007F2E75">
              <w:rPr>
                <w:sz w:val="18"/>
                <w:szCs w:val="18"/>
              </w:rPr>
              <w:t>$108,242</w:t>
            </w:r>
          </w:p>
        </w:tc>
        <w:tc>
          <w:tcPr>
            <w:tcW w:w="2399" w:type="dxa"/>
          </w:tcPr>
          <w:p w:rsidR="00F322E8" w:rsidRPr="007F2E75" w:rsidRDefault="00F322E8" w:rsidP="007F2E75">
            <w:pPr>
              <w:rPr>
                <w:sz w:val="18"/>
                <w:szCs w:val="18"/>
              </w:rPr>
            </w:pPr>
            <w:r w:rsidRPr="007F2E75">
              <w:rPr>
                <w:sz w:val="18"/>
                <w:szCs w:val="18"/>
              </w:rPr>
              <w:t>(</w:t>
            </w:r>
            <w:r w:rsidRPr="003015CF">
              <w:rPr>
                <w:i/>
                <w:sz w:val="18"/>
                <w:szCs w:val="18"/>
              </w:rPr>
              <w:t>Gazette</w:t>
            </w:r>
            <w:r w:rsidRPr="007F2E75">
              <w:rPr>
                <w:sz w:val="18"/>
                <w:szCs w:val="18"/>
              </w:rPr>
              <w:t xml:space="preserve"> 1 July 2008)</w:t>
            </w:r>
          </w:p>
        </w:tc>
        <w:tc>
          <w:tcPr>
            <w:tcW w:w="1275" w:type="dxa"/>
          </w:tcPr>
          <w:p w:rsidR="00F322E8" w:rsidRPr="007F2E75" w:rsidRDefault="00F322E8" w:rsidP="007F2E75">
            <w:pPr>
              <w:rPr>
                <w:sz w:val="18"/>
                <w:szCs w:val="18"/>
              </w:rPr>
            </w:pPr>
            <w:r w:rsidRPr="007F2E75">
              <w:rPr>
                <w:sz w:val="18"/>
                <w:szCs w:val="18"/>
              </w:rPr>
              <w:t>6%</w:t>
            </w:r>
          </w:p>
        </w:tc>
        <w:tc>
          <w:tcPr>
            <w:tcW w:w="2330" w:type="dxa"/>
          </w:tcPr>
          <w:p w:rsidR="00F322E8" w:rsidRPr="007F2E75" w:rsidRDefault="00F322E8" w:rsidP="007F2E75">
            <w:pPr>
              <w:rPr>
                <w:sz w:val="18"/>
                <w:szCs w:val="18"/>
                <w:lang w:val="en-US"/>
              </w:rPr>
            </w:pPr>
            <w:r w:rsidRPr="007F2E75">
              <w:rPr>
                <w:sz w:val="18"/>
                <w:szCs w:val="18"/>
                <w:lang w:val="en-US"/>
              </w:rPr>
              <w:t>Commonwealth nexus</w:t>
            </w:r>
          </w:p>
        </w:tc>
      </w:tr>
      <w:tr w:rsidR="00F322E8" w:rsidRPr="007F2E75" w:rsidTr="00F322E8">
        <w:tc>
          <w:tcPr>
            <w:tcW w:w="1514" w:type="dxa"/>
          </w:tcPr>
          <w:p w:rsidR="00F322E8" w:rsidRPr="007F2E75" w:rsidRDefault="00F322E8" w:rsidP="007F2E75">
            <w:pPr>
              <w:rPr>
                <w:sz w:val="18"/>
                <w:szCs w:val="18"/>
              </w:rPr>
            </w:pPr>
            <w:r w:rsidRPr="007F2E75">
              <w:rPr>
                <w:sz w:val="18"/>
                <w:szCs w:val="18"/>
              </w:rPr>
              <w:t>1 July 2009</w:t>
            </w:r>
          </w:p>
        </w:tc>
        <w:tc>
          <w:tcPr>
            <w:tcW w:w="1724" w:type="dxa"/>
          </w:tcPr>
          <w:p w:rsidR="00F322E8" w:rsidRPr="007F2E75" w:rsidRDefault="00F322E8" w:rsidP="007F2E75">
            <w:pPr>
              <w:rPr>
                <w:sz w:val="18"/>
                <w:szCs w:val="18"/>
              </w:rPr>
            </w:pPr>
            <w:r w:rsidRPr="007F2E75">
              <w:rPr>
                <w:sz w:val="18"/>
                <w:szCs w:val="18"/>
              </w:rPr>
              <w:t>$108,242</w:t>
            </w:r>
          </w:p>
        </w:tc>
        <w:tc>
          <w:tcPr>
            <w:tcW w:w="2399" w:type="dxa"/>
          </w:tcPr>
          <w:p w:rsidR="00F322E8" w:rsidRPr="007F2E75" w:rsidRDefault="00F322E8" w:rsidP="007F2E75">
            <w:pPr>
              <w:rPr>
                <w:sz w:val="18"/>
                <w:szCs w:val="18"/>
              </w:rPr>
            </w:pPr>
            <w:r w:rsidRPr="007F2E75">
              <w:rPr>
                <w:sz w:val="18"/>
                <w:szCs w:val="18"/>
              </w:rPr>
              <w:t>(</w:t>
            </w:r>
            <w:r w:rsidRPr="003015CF">
              <w:rPr>
                <w:i/>
                <w:sz w:val="18"/>
                <w:szCs w:val="18"/>
              </w:rPr>
              <w:t>Gazette</w:t>
            </w:r>
            <w:r w:rsidRPr="007F2E75">
              <w:rPr>
                <w:sz w:val="18"/>
                <w:szCs w:val="18"/>
              </w:rPr>
              <w:t xml:space="preserve"> 1 July 2009)</w:t>
            </w:r>
          </w:p>
        </w:tc>
        <w:tc>
          <w:tcPr>
            <w:tcW w:w="1275" w:type="dxa"/>
          </w:tcPr>
          <w:p w:rsidR="00F322E8" w:rsidRPr="007F2E75" w:rsidRDefault="00F322E8" w:rsidP="007F2E75">
            <w:pPr>
              <w:rPr>
                <w:sz w:val="18"/>
                <w:szCs w:val="18"/>
              </w:rPr>
            </w:pPr>
            <w:r w:rsidRPr="007F2E75">
              <w:rPr>
                <w:sz w:val="18"/>
                <w:szCs w:val="18"/>
              </w:rPr>
              <w:t>-</w:t>
            </w:r>
          </w:p>
        </w:tc>
        <w:tc>
          <w:tcPr>
            <w:tcW w:w="2330" w:type="dxa"/>
          </w:tcPr>
          <w:p w:rsidR="00F322E8" w:rsidRPr="007F2E75" w:rsidRDefault="00F322E8" w:rsidP="007F2E75">
            <w:pPr>
              <w:rPr>
                <w:sz w:val="18"/>
                <w:szCs w:val="18"/>
                <w:lang w:val="en-US"/>
              </w:rPr>
            </w:pPr>
          </w:p>
        </w:tc>
      </w:tr>
      <w:tr w:rsidR="00F322E8" w:rsidRPr="007F2E75" w:rsidTr="00F322E8">
        <w:tc>
          <w:tcPr>
            <w:tcW w:w="1514" w:type="dxa"/>
          </w:tcPr>
          <w:p w:rsidR="00F322E8" w:rsidRPr="007F2E75" w:rsidRDefault="00F322E8" w:rsidP="007F2E75">
            <w:pPr>
              <w:rPr>
                <w:sz w:val="18"/>
                <w:szCs w:val="18"/>
              </w:rPr>
            </w:pPr>
            <w:r w:rsidRPr="007F2E75">
              <w:rPr>
                <w:sz w:val="18"/>
                <w:szCs w:val="18"/>
              </w:rPr>
              <w:t>1 July 2010</w:t>
            </w:r>
          </w:p>
        </w:tc>
        <w:tc>
          <w:tcPr>
            <w:tcW w:w="1724" w:type="dxa"/>
          </w:tcPr>
          <w:p w:rsidR="00F322E8" w:rsidRPr="007F2E75" w:rsidRDefault="00F322E8" w:rsidP="007F2E75">
            <w:pPr>
              <w:rPr>
                <w:sz w:val="18"/>
                <w:szCs w:val="18"/>
              </w:rPr>
            </w:pPr>
            <w:r w:rsidRPr="007F2E75">
              <w:rPr>
                <w:sz w:val="18"/>
                <w:szCs w:val="18"/>
              </w:rPr>
              <w:t>$111,633</w:t>
            </w:r>
          </w:p>
        </w:tc>
        <w:tc>
          <w:tcPr>
            <w:tcW w:w="2399" w:type="dxa"/>
          </w:tcPr>
          <w:p w:rsidR="00F322E8" w:rsidRPr="007F2E75" w:rsidRDefault="00F322E8" w:rsidP="007F2E75">
            <w:pPr>
              <w:rPr>
                <w:sz w:val="18"/>
                <w:szCs w:val="18"/>
              </w:rPr>
            </w:pPr>
            <w:r w:rsidRPr="007F2E75">
              <w:rPr>
                <w:sz w:val="18"/>
                <w:szCs w:val="18"/>
              </w:rPr>
              <w:t>(</w:t>
            </w:r>
            <w:r w:rsidRPr="003015CF">
              <w:rPr>
                <w:i/>
                <w:sz w:val="18"/>
                <w:szCs w:val="18"/>
              </w:rPr>
              <w:t>Gazette</w:t>
            </w:r>
            <w:r w:rsidRPr="007F2E75">
              <w:rPr>
                <w:sz w:val="18"/>
                <w:szCs w:val="18"/>
              </w:rPr>
              <w:t xml:space="preserve"> 7 July 2010)</w:t>
            </w:r>
          </w:p>
        </w:tc>
        <w:tc>
          <w:tcPr>
            <w:tcW w:w="1275" w:type="dxa"/>
          </w:tcPr>
          <w:p w:rsidR="00F322E8" w:rsidRPr="007F2E75" w:rsidRDefault="00F322E8" w:rsidP="007F2E75">
            <w:pPr>
              <w:rPr>
                <w:sz w:val="18"/>
                <w:szCs w:val="18"/>
              </w:rPr>
            </w:pPr>
            <w:r w:rsidRPr="007F2E75">
              <w:rPr>
                <w:sz w:val="18"/>
                <w:szCs w:val="18"/>
              </w:rPr>
              <w:t>3%</w:t>
            </w:r>
          </w:p>
        </w:tc>
        <w:tc>
          <w:tcPr>
            <w:tcW w:w="2330" w:type="dxa"/>
          </w:tcPr>
          <w:p w:rsidR="00F322E8" w:rsidRPr="007F2E75" w:rsidRDefault="00F322E8" w:rsidP="007F2E75">
            <w:pPr>
              <w:rPr>
                <w:sz w:val="18"/>
                <w:szCs w:val="18"/>
                <w:lang w:val="en-US"/>
              </w:rPr>
            </w:pPr>
            <w:r w:rsidRPr="007F2E75">
              <w:rPr>
                <w:sz w:val="18"/>
                <w:szCs w:val="18"/>
                <w:lang w:val="en-US"/>
              </w:rPr>
              <w:t>Commonwealth nexus</w:t>
            </w:r>
          </w:p>
        </w:tc>
      </w:tr>
      <w:tr w:rsidR="00F322E8" w:rsidRPr="007F2E75" w:rsidTr="00F322E8">
        <w:tc>
          <w:tcPr>
            <w:tcW w:w="1514" w:type="dxa"/>
          </w:tcPr>
          <w:p w:rsidR="00F322E8" w:rsidRPr="007F2E75" w:rsidRDefault="00F322E8" w:rsidP="007F2E75">
            <w:pPr>
              <w:rPr>
                <w:sz w:val="18"/>
                <w:szCs w:val="18"/>
              </w:rPr>
            </w:pPr>
            <w:r w:rsidRPr="007F2E75">
              <w:rPr>
                <w:sz w:val="18"/>
                <w:szCs w:val="18"/>
              </w:rPr>
              <w:t>1 July 2011</w:t>
            </w:r>
          </w:p>
        </w:tc>
        <w:tc>
          <w:tcPr>
            <w:tcW w:w="1724" w:type="dxa"/>
          </w:tcPr>
          <w:p w:rsidR="00F322E8" w:rsidRPr="007F2E75" w:rsidRDefault="00F322E8" w:rsidP="007F2E75">
            <w:pPr>
              <w:rPr>
                <w:sz w:val="18"/>
                <w:szCs w:val="18"/>
              </w:rPr>
            </w:pPr>
            <w:r w:rsidRPr="007F2E75">
              <w:rPr>
                <w:sz w:val="18"/>
                <w:szCs w:val="18"/>
              </w:rPr>
              <w:t>$113,866</w:t>
            </w:r>
          </w:p>
        </w:tc>
        <w:tc>
          <w:tcPr>
            <w:tcW w:w="2399" w:type="dxa"/>
          </w:tcPr>
          <w:p w:rsidR="00F322E8" w:rsidRPr="007F2E75" w:rsidRDefault="00F322E8" w:rsidP="007F2E75">
            <w:pPr>
              <w:rPr>
                <w:sz w:val="18"/>
                <w:szCs w:val="18"/>
              </w:rPr>
            </w:pPr>
            <w:r w:rsidRPr="007F2E75">
              <w:rPr>
                <w:sz w:val="18"/>
                <w:szCs w:val="18"/>
              </w:rPr>
              <w:t>(</w:t>
            </w:r>
            <w:r w:rsidRPr="003015CF">
              <w:rPr>
                <w:i/>
                <w:sz w:val="18"/>
                <w:szCs w:val="18"/>
              </w:rPr>
              <w:t>Gazette</w:t>
            </w:r>
            <w:r w:rsidRPr="007F2E75">
              <w:rPr>
                <w:sz w:val="18"/>
                <w:szCs w:val="18"/>
              </w:rPr>
              <w:t xml:space="preserve"> 14 July 2011)</w:t>
            </w:r>
          </w:p>
        </w:tc>
        <w:tc>
          <w:tcPr>
            <w:tcW w:w="1275" w:type="dxa"/>
          </w:tcPr>
          <w:p w:rsidR="00F322E8" w:rsidRPr="007F2E75" w:rsidRDefault="00F322E8" w:rsidP="007F2E75">
            <w:pPr>
              <w:rPr>
                <w:sz w:val="18"/>
                <w:szCs w:val="18"/>
              </w:rPr>
            </w:pPr>
            <w:r w:rsidRPr="007F2E75">
              <w:rPr>
                <w:sz w:val="18"/>
                <w:szCs w:val="18"/>
              </w:rPr>
              <w:t>2%</w:t>
            </w:r>
          </w:p>
        </w:tc>
        <w:tc>
          <w:tcPr>
            <w:tcW w:w="2330" w:type="dxa"/>
          </w:tcPr>
          <w:p w:rsidR="00F322E8" w:rsidRPr="007F2E75" w:rsidRDefault="00F322E8" w:rsidP="007F2E75">
            <w:pPr>
              <w:rPr>
                <w:sz w:val="18"/>
                <w:szCs w:val="18"/>
                <w:lang w:val="en-US"/>
              </w:rPr>
            </w:pPr>
            <w:r w:rsidRPr="007F2E75">
              <w:rPr>
                <w:sz w:val="18"/>
                <w:szCs w:val="18"/>
                <w:lang w:val="en-US"/>
              </w:rPr>
              <w:t>Linkage with Commonwealth broken after Remuneration Tribunal awards 31% increase. 2% consistent with State wages policy</w:t>
            </w:r>
          </w:p>
        </w:tc>
      </w:tr>
      <w:tr w:rsidR="00F322E8" w:rsidRPr="007F2E75" w:rsidTr="00F322E8">
        <w:tc>
          <w:tcPr>
            <w:tcW w:w="1514" w:type="dxa"/>
          </w:tcPr>
          <w:p w:rsidR="00F322E8" w:rsidRPr="007F2E75" w:rsidRDefault="00F322E8" w:rsidP="007F2E75">
            <w:pPr>
              <w:rPr>
                <w:sz w:val="18"/>
                <w:szCs w:val="18"/>
              </w:rPr>
            </w:pPr>
            <w:r w:rsidRPr="007F2E75">
              <w:rPr>
                <w:sz w:val="18"/>
                <w:szCs w:val="18"/>
              </w:rPr>
              <w:t>1 July 2012</w:t>
            </w:r>
          </w:p>
        </w:tc>
        <w:tc>
          <w:tcPr>
            <w:tcW w:w="1724" w:type="dxa"/>
          </w:tcPr>
          <w:p w:rsidR="00F322E8" w:rsidRPr="007F2E75" w:rsidRDefault="00F322E8" w:rsidP="007F2E75">
            <w:pPr>
              <w:rPr>
                <w:sz w:val="18"/>
                <w:szCs w:val="18"/>
              </w:rPr>
            </w:pPr>
            <w:r w:rsidRPr="007F2E75">
              <w:rPr>
                <w:sz w:val="18"/>
                <w:szCs w:val="18"/>
              </w:rPr>
              <w:t>$116,143</w:t>
            </w:r>
          </w:p>
        </w:tc>
        <w:tc>
          <w:tcPr>
            <w:tcW w:w="2399" w:type="dxa"/>
          </w:tcPr>
          <w:p w:rsidR="00F322E8" w:rsidRPr="007F2E75" w:rsidRDefault="00F322E8" w:rsidP="007F2E75">
            <w:pPr>
              <w:rPr>
                <w:sz w:val="18"/>
                <w:szCs w:val="18"/>
              </w:rPr>
            </w:pPr>
            <w:r w:rsidRPr="007F2E75">
              <w:rPr>
                <w:sz w:val="18"/>
                <w:szCs w:val="18"/>
              </w:rPr>
              <w:t>(</w:t>
            </w:r>
            <w:r w:rsidRPr="003015CF">
              <w:rPr>
                <w:i/>
                <w:sz w:val="18"/>
                <w:szCs w:val="18"/>
              </w:rPr>
              <w:t>Gazette</w:t>
            </w:r>
            <w:r w:rsidRPr="007F2E75">
              <w:rPr>
                <w:sz w:val="18"/>
                <w:szCs w:val="18"/>
              </w:rPr>
              <w:t xml:space="preserve"> 4 July 2012)</w:t>
            </w:r>
          </w:p>
        </w:tc>
        <w:tc>
          <w:tcPr>
            <w:tcW w:w="1275" w:type="dxa"/>
          </w:tcPr>
          <w:p w:rsidR="00F322E8" w:rsidRPr="007F2E75" w:rsidRDefault="00F322E8" w:rsidP="007F2E75">
            <w:pPr>
              <w:rPr>
                <w:sz w:val="18"/>
                <w:szCs w:val="18"/>
              </w:rPr>
            </w:pPr>
            <w:r w:rsidRPr="007F2E75">
              <w:rPr>
                <w:sz w:val="18"/>
                <w:szCs w:val="18"/>
              </w:rPr>
              <w:t>2%</w:t>
            </w:r>
          </w:p>
        </w:tc>
        <w:tc>
          <w:tcPr>
            <w:tcW w:w="2330" w:type="dxa"/>
          </w:tcPr>
          <w:p w:rsidR="00F322E8" w:rsidRPr="007F2E75" w:rsidRDefault="00F322E8" w:rsidP="007F2E75">
            <w:pPr>
              <w:rPr>
                <w:sz w:val="18"/>
                <w:szCs w:val="18"/>
                <w:lang w:val="en-US"/>
              </w:rPr>
            </w:pPr>
            <w:r w:rsidRPr="007F2E75">
              <w:rPr>
                <w:sz w:val="18"/>
                <w:szCs w:val="18"/>
                <w:lang w:val="en-US"/>
              </w:rPr>
              <w:t>2012 Act reflecting State wages policy</w:t>
            </w:r>
          </w:p>
        </w:tc>
      </w:tr>
      <w:tr w:rsidR="00F322E8" w:rsidRPr="007F2E75" w:rsidTr="00F322E8">
        <w:tc>
          <w:tcPr>
            <w:tcW w:w="1514" w:type="dxa"/>
          </w:tcPr>
          <w:p w:rsidR="00F322E8" w:rsidRPr="007F2E75" w:rsidRDefault="00F322E8" w:rsidP="007F2E75">
            <w:pPr>
              <w:rPr>
                <w:sz w:val="18"/>
                <w:szCs w:val="18"/>
              </w:rPr>
            </w:pPr>
            <w:r w:rsidRPr="007F2E75">
              <w:rPr>
                <w:sz w:val="18"/>
                <w:szCs w:val="18"/>
              </w:rPr>
              <w:t>1 July 2013</w:t>
            </w:r>
          </w:p>
        </w:tc>
        <w:tc>
          <w:tcPr>
            <w:tcW w:w="1724" w:type="dxa"/>
          </w:tcPr>
          <w:p w:rsidR="00F322E8" w:rsidRPr="007F2E75" w:rsidRDefault="00F322E8" w:rsidP="007F2E75">
            <w:pPr>
              <w:rPr>
                <w:sz w:val="18"/>
                <w:szCs w:val="18"/>
              </w:rPr>
            </w:pPr>
            <w:r w:rsidRPr="007F2E75">
              <w:rPr>
                <w:sz w:val="18"/>
                <w:szCs w:val="18"/>
              </w:rPr>
              <w:t>$118,466</w:t>
            </w:r>
          </w:p>
        </w:tc>
        <w:tc>
          <w:tcPr>
            <w:tcW w:w="2399" w:type="dxa"/>
          </w:tcPr>
          <w:p w:rsidR="00F322E8" w:rsidRPr="007F2E75" w:rsidRDefault="00F322E8" w:rsidP="007F2E75">
            <w:pPr>
              <w:rPr>
                <w:sz w:val="18"/>
                <w:szCs w:val="18"/>
              </w:rPr>
            </w:pPr>
            <w:r w:rsidRPr="007F2E75">
              <w:rPr>
                <w:sz w:val="18"/>
                <w:szCs w:val="18"/>
              </w:rPr>
              <w:t>(</w:t>
            </w:r>
            <w:r w:rsidRPr="003015CF">
              <w:rPr>
                <w:i/>
                <w:sz w:val="18"/>
                <w:szCs w:val="18"/>
              </w:rPr>
              <w:t>Gazette</w:t>
            </w:r>
            <w:r w:rsidRPr="007F2E75">
              <w:rPr>
                <w:sz w:val="18"/>
                <w:szCs w:val="18"/>
              </w:rPr>
              <w:t xml:space="preserve"> 3 July 2013)</w:t>
            </w:r>
          </w:p>
        </w:tc>
        <w:tc>
          <w:tcPr>
            <w:tcW w:w="1275" w:type="dxa"/>
          </w:tcPr>
          <w:p w:rsidR="00F322E8" w:rsidRPr="007F2E75" w:rsidRDefault="00F322E8" w:rsidP="007F2E75">
            <w:pPr>
              <w:rPr>
                <w:sz w:val="18"/>
                <w:szCs w:val="18"/>
              </w:rPr>
            </w:pPr>
            <w:r w:rsidRPr="007F2E75">
              <w:rPr>
                <w:sz w:val="18"/>
                <w:szCs w:val="18"/>
              </w:rPr>
              <w:t>2%</w:t>
            </w:r>
          </w:p>
        </w:tc>
        <w:tc>
          <w:tcPr>
            <w:tcW w:w="2330" w:type="dxa"/>
          </w:tcPr>
          <w:p w:rsidR="00F322E8" w:rsidRPr="007F2E75" w:rsidRDefault="00F322E8" w:rsidP="007F2E75">
            <w:pPr>
              <w:rPr>
                <w:sz w:val="18"/>
                <w:szCs w:val="18"/>
                <w:lang w:val="en-US"/>
              </w:rPr>
            </w:pPr>
            <w:r w:rsidRPr="007F2E75">
              <w:rPr>
                <w:sz w:val="18"/>
                <w:szCs w:val="18"/>
                <w:lang w:val="en-US"/>
              </w:rPr>
              <w:t>2012 Act reflecting State wages policy</w:t>
            </w:r>
          </w:p>
        </w:tc>
      </w:tr>
      <w:tr w:rsidR="00F322E8" w:rsidRPr="007F2E75" w:rsidTr="00F322E8">
        <w:tc>
          <w:tcPr>
            <w:tcW w:w="1514" w:type="dxa"/>
          </w:tcPr>
          <w:p w:rsidR="00F322E8" w:rsidRPr="007F2E75" w:rsidRDefault="00F322E8" w:rsidP="007F2E75">
            <w:pPr>
              <w:rPr>
                <w:sz w:val="18"/>
                <w:szCs w:val="18"/>
                <w:lang w:val="en-US"/>
              </w:rPr>
            </w:pPr>
            <w:r w:rsidRPr="007F2E75">
              <w:rPr>
                <w:sz w:val="18"/>
                <w:szCs w:val="18"/>
                <w:lang w:val="en-US"/>
              </w:rPr>
              <w:t>1 July 2014</w:t>
            </w:r>
          </w:p>
        </w:tc>
        <w:tc>
          <w:tcPr>
            <w:tcW w:w="1724" w:type="dxa"/>
          </w:tcPr>
          <w:p w:rsidR="00F322E8" w:rsidRPr="007F2E75" w:rsidRDefault="00F322E8" w:rsidP="007F2E75">
            <w:pPr>
              <w:rPr>
                <w:sz w:val="18"/>
                <w:szCs w:val="18"/>
                <w:lang w:val="en-US"/>
              </w:rPr>
            </w:pPr>
            <w:r w:rsidRPr="007F2E75">
              <w:rPr>
                <w:sz w:val="18"/>
                <w:szCs w:val="18"/>
                <w:lang w:val="en-US"/>
              </w:rPr>
              <w:t>$118,466</w:t>
            </w:r>
          </w:p>
        </w:tc>
        <w:tc>
          <w:tcPr>
            <w:tcW w:w="2399" w:type="dxa"/>
          </w:tcPr>
          <w:p w:rsidR="00F322E8" w:rsidRPr="007F2E75" w:rsidRDefault="00F322E8" w:rsidP="007F2E75">
            <w:pPr>
              <w:rPr>
                <w:sz w:val="18"/>
                <w:szCs w:val="18"/>
                <w:lang w:val="en-US"/>
              </w:rPr>
            </w:pPr>
          </w:p>
        </w:tc>
        <w:tc>
          <w:tcPr>
            <w:tcW w:w="1275" w:type="dxa"/>
          </w:tcPr>
          <w:p w:rsidR="00F322E8" w:rsidRPr="007F2E75" w:rsidRDefault="00F322E8" w:rsidP="007F2E75">
            <w:pPr>
              <w:rPr>
                <w:sz w:val="18"/>
                <w:szCs w:val="18"/>
                <w:lang w:val="en-US"/>
              </w:rPr>
            </w:pPr>
          </w:p>
        </w:tc>
        <w:tc>
          <w:tcPr>
            <w:tcW w:w="2330" w:type="dxa"/>
          </w:tcPr>
          <w:p w:rsidR="00F322E8" w:rsidRPr="007F2E75" w:rsidRDefault="00F322E8" w:rsidP="007F2E75">
            <w:pPr>
              <w:rPr>
                <w:sz w:val="18"/>
                <w:szCs w:val="18"/>
                <w:lang w:val="en-US"/>
              </w:rPr>
            </w:pPr>
          </w:p>
        </w:tc>
      </w:tr>
      <w:tr w:rsidR="00F322E8" w:rsidRPr="007F2E75" w:rsidTr="00F322E8">
        <w:tc>
          <w:tcPr>
            <w:tcW w:w="1514" w:type="dxa"/>
          </w:tcPr>
          <w:p w:rsidR="00F322E8" w:rsidRPr="007F2E75" w:rsidRDefault="00F322E8" w:rsidP="007F2E75">
            <w:pPr>
              <w:rPr>
                <w:sz w:val="18"/>
                <w:szCs w:val="18"/>
                <w:lang w:val="en-US"/>
              </w:rPr>
            </w:pPr>
            <w:r w:rsidRPr="007F2E75">
              <w:rPr>
                <w:sz w:val="18"/>
                <w:szCs w:val="18"/>
                <w:lang w:val="en-US"/>
              </w:rPr>
              <w:t>1 July 2015</w:t>
            </w:r>
          </w:p>
        </w:tc>
        <w:tc>
          <w:tcPr>
            <w:tcW w:w="1724" w:type="dxa"/>
          </w:tcPr>
          <w:p w:rsidR="00F322E8" w:rsidRPr="007F2E75" w:rsidRDefault="00F322E8" w:rsidP="007F2E75">
            <w:pPr>
              <w:rPr>
                <w:sz w:val="18"/>
                <w:szCs w:val="18"/>
                <w:lang w:val="en-US"/>
              </w:rPr>
            </w:pPr>
            <w:r w:rsidRPr="007F2E75">
              <w:rPr>
                <w:sz w:val="18"/>
                <w:szCs w:val="18"/>
                <w:lang w:val="en-US"/>
              </w:rPr>
              <w:t>$120,835</w:t>
            </w:r>
          </w:p>
        </w:tc>
        <w:tc>
          <w:tcPr>
            <w:tcW w:w="2399" w:type="dxa"/>
          </w:tcPr>
          <w:p w:rsidR="00F322E8" w:rsidRPr="007F2E75" w:rsidRDefault="00F322E8" w:rsidP="007F2E75">
            <w:pPr>
              <w:rPr>
                <w:sz w:val="18"/>
                <w:szCs w:val="18"/>
                <w:lang w:val="en-US"/>
              </w:rPr>
            </w:pPr>
            <w:r w:rsidRPr="007F2E75">
              <w:rPr>
                <w:sz w:val="18"/>
                <w:szCs w:val="18"/>
                <w:lang w:val="en-US"/>
              </w:rPr>
              <w:t xml:space="preserve">2012 Act as amended by the 2015 Act reflecting State wages policy </w:t>
            </w:r>
          </w:p>
        </w:tc>
        <w:tc>
          <w:tcPr>
            <w:tcW w:w="1275" w:type="dxa"/>
          </w:tcPr>
          <w:p w:rsidR="00F322E8" w:rsidRPr="007F2E75" w:rsidRDefault="00F322E8" w:rsidP="007F2E75">
            <w:pPr>
              <w:rPr>
                <w:sz w:val="18"/>
                <w:szCs w:val="18"/>
                <w:lang w:val="en-US"/>
              </w:rPr>
            </w:pPr>
            <w:r w:rsidRPr="007F2E75">
              <w:rPr>
                <w:sz w:val="18"/>
                <w:szCs w:val="18"/>
                <w:lang w:val="en-US"/>
              </w:rPr>
              <w:t>2%</w:t>
            </w:r>
          </w:p>
        </w:tc>
        <w:tc>
          <w:tcPr>
            <w:tcW w:w="2330" w:type="dxa"/>
          </w:tcPr>
          <w:p w:rsidR="00F322E8" w:rsidRPr="007F2E75" w:rsidRDefault="00F322E8" w:rsidP="007F2E75">
            <w:pPr>
              <w:rPr>
                <w:sz w:val="18"/>
                <w:szCs w:val="18"/>
                <w:lang w:val="en-US"/>
              </w:rPr>
            </w:pPr>
          </w:p>
        </w:tc>
      </w:tr>
    </w:tbl>
    <w:p w:rsidR="00E823F5" w:rsidRPr="007F2E75" w:rsidRDefault="00E823F5" w:rsidP="007F2E75">
      <w:pPr>
        <w:rPr>
          <w:sz w:val="18"/>
          <w:szCs w:val="18"/>
          <w:lang w:val="en-US"/>
        </w:rPr>
      </w:pPr>
    </w:p>
    <w:p w:rsidR="007F2E75" w:rsidRDefault="007F2E75" w:rsidP="00D95A63">
      <w:pPr>
        <w:spacing w:after="120"/>
        <w:rPr>
          <w:szCs w:val="20"/>
          <w:lang w:val="en-US"/>
        </w:rPr>
      </w:pPr>
    </w:p>
    <w:p w:rsidR="007F2E75" w:rsidRDefault="007F2E75" w:rsidP="00D95A63">
      <w:pPr>
        <w:spacing w:after="120"/>
        <w:rPr>
          <w:szCs w:val="20"/>
          <w:lang w:val="en-US"/>
        </w:rPr>
        <w:sectPr w:rsidR="007F2E75">
          <w:pgSz w:w="11906" w:h="16838"/>
          <w:pgMar w:top="1440" w:right="1440" w:bottom="1440" w:left="1440" w:header="708" w:footer="708" w:gutter="0"/>
          <w:cols w:space="708"/>
          <w:docGrid w:linePitch="360"/>
        </w:sectPr>
      </w:pPr>
    </w:p>
    <w:p w:rsidR="00953027" w:rsidRPr="0080603F" w:rsidRDefault="00EE46FD" w:rsidP="00F700FC">
      <w:pPr>
        <w:pStyle w:val="Heading1"/>
      </w:pPr>
      <w:bookmarkStart w:id="108" w:name="_Toc443486973"/>
      <w:r>
        <w:lastRenderedPageBreak/>
        <w:t>Appendix</w:t>
      </w:r>
      <w:r w:rsidR="00E823F5" w:rsidRPr="0080603F">
        <w:t xml:space="preserve"> 3 </w:t>
      </w:r>
      <w:r w:rsidR="00DB2D49">
        <w:t xml:space="preserve">– </w:t>
      </w:r>
      <w:r w:rsidR="00FA52C9">
        <w:t xml:space="preserve">The </w:t>
      </w:r>
      <w:r w:rsidR="00DB2D49">
        <w:t xml:space="preserve">Role of </w:t>
      </w:r>
      <w:r w:rsidR="006D5495">
        <w:t>an MP</w:t>
      </w:r>
      <w:r w:rsidR="00DB2D49">
        <w:t xml:space="preserve"> (extracts f</w:t>
      </w:r>
      <w:r w:rsidR="003B41B5">
        <w:t>ro</w:t>
      </w:r>
      <w:r w:rsidR="00DB2D49">
        <w:t>m previous documents)</w:t>
      </w:r>
      <w:bookmarkEnd w:id="108"/>
    </w:p>
    <w:p w:rsidR="008B77A9" w:rsidRPr="003015CF" w:rsidRDefault="0052437D" w:rsidP="00CC5844">
      <w:pPr>
        <w:pStyle w:val="Heading2"/>
      </w:pPr>
      <w:bookmarkStart w:id="109" w:name="_Toc443486974"/>
      <w:r>
        <w:t>1</w:t>
      </w:r>
      <w:r>
        <w:tab/>
      </w:r>
      <w:r w:rsidRPr="0052437D">
        <w:rPr>
          <w:lang w:val="en-AU"/>
        </w:rPr>
        <w:t>Extract from 2013 Issues Paper – section 8</w:t>
      </w:r>
      <w:bookmarkEnd w:id="109"/>
    </w:p>
    <w:p w:rsidR="008B77A9" w:rsidRPr="0052437D" w:rsidRDefault="008B77A9" w:rsidP="008B77A9">
      <w:pPr>
        <w:spacing w:after="120"/>
        <w:ind w:right="79"/>
        <w:jc w:val="both"/>
        <w:rPr>
          <w:rFonts w:eastAsia="Arial" w:cs="Arial"/>
          <w:sz w:val="18"/>
          <w:szCs w:val="18"/>
        </w:rPr>
      </w:pPr>
      <w:r w:rsidRPr="0052437D">
        <w:rPr>
          <w:rFonts w:eastAsia="Arial" w:cs="Arial"/>
          <w:sz w:val="18"/>
          <w:szCs w:val="18"/>
        </w:rPr>
        <w:t>Parliamentarians</w:t>
      </w:r>
      <w:r w:rsidRPr="0052437D">
        <w:rPr>
          <w:rFonts w:eastAsia="Arial" w:cs="Arial"/>
          <w:spacing w:val="50"/>
          <w:sz w:val="18"/>
          <w:szCs w:val="18"/>
        </w:rPr>
        <w:t xml:space="preserve"> </w:t>
      </w:r>
      <w:r w:rsidRPr="0052437D">
        <w:rPr>
          <w:rFonts w:eastAsia="Arial" w:cs="Arial"/>
          <w:sz w:val="18"/>
          <w:szCs w:val="18"/>
        </w:rPr>
        <w:t>are not</w:t>
      </w:r>
      <w:r w:rsidRPr="0052437D">
        <w:rPr>
          <w:rFonts w:eastAsia="Arial" w:cs="Arial"/>
          <w:spacing w:val="29"/>
          <w:sz w:val="18"/>
          <w:szCs w:val="18"/>
        </w:rPr>
        <w:t xml:space="preserve"> </w:t>
      </w:r>
      <w:r w:rsidRPr="0052437D">
        <w:rPr>
          <w:rFonts w:eastAsia="Arial" w:cs="Arial"/>
          <w:sz w:val="18"/>
          <w:szCs w:val="18"/>
        </w:rPr>
        <w:t>employees</w:t>
      </w:r>
      <w:r w:rsidRPr="0052437D">
        <w:rPr>
          <w:rFonts w:eastAsia="Arial" w:cs="Arial"/>
          <w:spacing w:val="53"/>
          <w:sz w:val="18"/>
          <w:szCs w:val="18"/>
        </w:rPr>
        <w:t xml:space="preserve"> </w:t>
      </w:r>
      <w:r w:rsidRPr="0052437D">
        <w:rPr>
          <w:rFonts w:eastAsia="Arial" w:cs="Arial"/>
          <w:sz w:val="18"/>
          <w:szCs w:val="18"/>
        </w:rPr>
        <w:t>and hence comparisons with the</w:t>
      </w:r>
      <w:r w:rsidRPr="0052437D">
        <w:rPr>
          <w:rFonts w:eastAsia="Arial" w:cs="Arial"/>
          <w:spacing w:val="32"/>
          <w:sz w:val="18"/>
          <w:szCs w:val="18"/>
        </w:rPr>
        <w:t xml:space="preserve"> </w:t>
      </w:r>
      <w:r w:rsidRPr="0052437D">
        <w:rPr>
          <w:rFonts w:eastAsia="Arial" w:cs="Arial"/>
          <w:sz w:val="18"/>
          <w:szCs w:val="18"/>
        </w:rPr>
        <w:t>wider workforce</w:t>
      </w:r>
      <w:r w:rsidRPr="0052437D">
        <w:rPr>
          <w:rFonts w:eastAsia="Arial" w:cs="Arial"/>
          <w:spacing w:val="13"/>
          <w:sz w:val="18"/>
          <w:szCs w:val="18"/>
        </w:rPr>
        <w:t xml:space="preserve"> </w:t>
      </w:r>
      <w:r w:rsidRPr="0052437D">
        <w:rPr>
          <w:rFonts w:eastAsia="Arial" w:cs="Arial"/>
          <w:sz w:val="18"/>
          <w:szCs w:val="18"/>
        </w:rPr>
        <w:t>must</w:t>
      </w:r>
      <w:r w:rsidRPr="0052437D">
        <w:rPr>
          <w:rFonts w:eastAsia="Arial" w:cs="Arial"/>
          <w:spacing w:val="48"/>
          <w:sz w:val="18"/>
          <w:szCs w:val="18"/>
        </w:rPr>
        <w:t xml:space="preserve"> </w:t>
      </w:r>
      <w:r w:rsidRPr="0052437D">
        <w:rPr>
          <w:rFonts w:eastAsia="Arial" w:cs="Arial"/>
          <w:sz w:val="18"/>
          <w:szCs w:val="18"/>
        </w:rPr>
        <w:t>be</w:t>
      </w:r>
      <w:r w:rsidRPr="0052437D">
        <w:rPr>
          <w:rFonts w:eastAsia="Arial" w:cs="Arial"/>
          <w:spacing w:val="15"/>
          <w:sz w:val="18"/>
          <w:szCs w:val="18"/>
        </w:rPr>
        <w:t xml:space="preserve"> </w:t>
      </w:r>
      <w:r w:rsidRPr="0052437D">
        <w:rPr>
          <w:rFonts w:eastAsia="Arial" w:cs="Arial"/>
          <w:sz w:val="18"/>
          <w:szCs w:val="18"/>
        </w:rPr>
        <w:t>placed in</w:t>
      </w:r>
      <w:r w:rsidRPr="0052437D">
        <w:rPr>
          <w:rFonts w:eastAsia="Arial" w:cs="Arial"/>
          <w:spacing w:val="26"/>
          <w:sz w:val="18"/>
          <w:szCs w:val="18"/>
        </w:rPr>
        <w:t xml:space="preserve"> </w:t>
      </w:r>
      <w:r w:rsidRPr="0052437D">
        <w:rPr>
          <w:rFonts w:eastAsia="Arial" w:cs="Arial"/>
          <w:sz w:val="18"/>
          <w:szCs w:val="18"/>
        </w:rPr>
        <w:t>proper</w:t>
      </w:r>
      <w:r w:rsidRPr="0052437D">
        <w:rPr>
          <w:rFonts w:eastAsia="Arial" w:cs="Arial"/>
          <w:spacing w:val="9"/>
          <w:sz w:val="18"/>
          <w:szCs w:val="18"/>
        </w:rPr>
        <w:t xml:space="preserve"> </w:t>
      </w:r>
      <w:r w:rsidRPr="0052437D">
        <w:rPr>
          <w:rFonts w:eastAsia="Arial" w:cs="Arial"/>
          <w:sz w:val="18"/>
          <w:szCs w:val="18"/>
        </w:rPr>
        <w:t xml:space="preserve">perspective. </w:t>
      </w:r>
      <w:r w:rsidRPr="0052437D">
        <w:rPr>
          <w:rFonts w:eastAsia="Arial" w:cs="Arial"/>
          <w:spacing w:val="44"/>
          <w:sz w:val="18"/>
          <w:szCs w:val="18"/>
        </w:rPr>
        <w:t xml:space="preserve"> </w:t>
      </w:r>
      <w:r w:rsidRPr="0052437D">
        <w:rPr>
          <w:rFonts w:eastAsia="Arial" w:cs="Arial"/>
          <w:sz w:val="18"/>
          <w:szCs w:val="18"/>
        </w:rPr>
        <w:t>There are</w:t>
      </w:r>
      <w:r w:rsidRPr="0052437D">
        <w:rPr>
          <w:rFonts w:eastAsia="Arial" w:cs="Arial"/>
          <w:spacing w:val="36"/>
          <w:sz w:val="18"/>
          <w:szCs w:val="18"/>
        </w:rPr>
        <w:t xml:space="preserve"> </w:t>
      </w:r>
      <w:r w:rsidRPr="0052437D">
        <w:rPr>
          <w:rFonts w:eastAsia="Arial" w:cs="Arial"/>
          <w:sz w:val="18"/>
          <w:szCs w:val="18"/>
        </w:rPr>
        <w:t>not designated hours</w:t>
      </w:r>
      <w:r w:rsidRPr="0052437D">
        <w:rPr>
          <w:rFonts w:eastAsia="Arial" w:cs="Arial"/>
          <w:spacing w:val="58"/>
          <w:sz w:val="18"/>
          <w:szCs w:val="18"/>
        </w:rPr>
        <w:t xml:space="preserve"> </w:t>
      </w:r>
      <w:r w:rsidRPr="0052437D">
        <w:rPr>
          <w:rFonts w:eastAsia="Arial" w:cs="Arial"/>
          <w:sz w:val="18"/>
          <w:szCs w:val="18"/>
        </w:rPr>
        <w:t>of</w:t>
      </w:r>
      <w:r w:rsidRPr="0052437D">
        <w:rPr>
          <w:rFonts w:eastAsia="Arial" w:cs="Arial"/>
          <w:spacing w:val="43"/>
          <w:sz w:val="18"/>
          <w:szCs w:val="18"/>
        </w:rPr>
        <w:t xml:space="preserve"> </w:t>
      </w:r>
      <w:r w:rsidRPr="0052437D">
        <w:rPr>
          <w:rFonts w:eastAsia="Arial" w:cs="Arial"/>
          <w:sz w:val="18"/>
          <w:szCs w:val="18"/>
        </w:rPr>
        <w:t>work.</w:t>
      </w:r>
      <w:r w:rsidRPr="0052437D">
        <w:rPr>
          <w:rFonts w:eastAsia="Arial" w:cs="Arial"/>
          <w:spacing w:val="58"/>
          <w:sz w:val="18"/>
          <w:szCs w:val="18"/>
        </w:rPr>
        <w:t xml:space="preserve"> </w:t>
      </w:r>
      <w:r w:rsidRPr="0052437D">
        <w:rPr>
          <w:rFonts w:eastAsia="Arial" w:cs="Arial"/>
          <w:sz w:val="18"/>
          <w:szCs w:val="18"/>
        </w:rPr>
        <w:t>Normal</w:t>
      </w:r>
      <w:r w:rsidRPr="0052437D">
        <w:rPr>
          <w:rFonts w:eastAsia="Arial" w:cs="Arial"/>
          <w:spacing w:val="48"/>
          <w:sz w:val="18"/>
          <w:szCs w:val="18"/>
        </w:rPr>
        <w:t xml:space="preserve"> </w:t>
      </w:r>
      <w:r w:rsidRPr="0052437D">
        <w:rPr>
          <w:rFonts w:eastAsia="Arial" w:cs="Arial"/>
          <w:sz w:val="18"/>
          <w:szCs w:val="18"/>
        </w:rPr>
        <w:t>workforce entitlements</w:t>
      </w:r>
      <w:r w:rsidRPr="0052437D">
        <w:rPr>
          <w:rFonts w:eastAsia="Arial" w:cs="Arial"/>
          <w:spacing w:val="11"/>
          <w:sz w:val="18"/>
          <w:szCs w:val="18"/>
        </w:rPr>
        <w:t xml:space="preserve"> </w:t>
      </w:r>
      <w:r w:rsidRPr="0052437D">
        <w:rPr>
          <w:rFonts w:eastAsia="Arial" w:cs="Arial"/>
          <w:sz w:val="18"/>
          <w:szCs w:val="18"/>
        </w:rPr>
        <w:t>such</w:t>
      </w:r>
      <w:r w:rsidRPr="0052437D">
        <w:rPr>
          <w:rFonts w:eastAsia="Arial" w:cs="Arial"/>
          <w:spacing w:val="20"/>
          <w:sz w:val="18"/>
          <w:szCs w:val="18"/>
        </w:rPr>
        <w:t xml:space="preserve"> </w:t>
      </w:r>
      <w:r w:rsidRPr="0052437D">
        <w:rPr>
          <w:rFonts w:eastAsia="Arial" w:cs="Arial"/>
          <w:sz w:val="18"/>
          <w:szCs w:val="18"/>
        </w:rPr>
        <w:t>as</w:t>
      </w:r>
      <w:r w:rsidRPr="0052437D">
        <w:rPr>
          <w:rFonts w:eastAsia="Arial" w:cs="Arial"/>
          <w:spacing w:val="18"/>
          <w:sz w:val="18"/>
          <w:szCs w:val="18"/>
        </w:rPr>
        <w:t xml:space="preserve"> </w:t>
      </w:r>
      <w:r w:rsidRPr="0052437D">
        <w:rPr>
          <w:rFonts w:eastAsia="Arial" w:cs="Arial"/>
          <w:sz w:val="18"/>
          <w:szCs w:val="18"/>
        </w:rPr>
        <w:t>annual</w:t>
      </w:r>
      <w:r w:rsidRPr="0052437D">
        <w:rPr>
          <w:rFonts w:eastAsia="Arial" w:cs="Arial"/>
          <w:spacing w:val="48"/>
          <w:sz w:val="18"/>
          <w:szCs w:val="18"/>
        </w:rPr>
        <w:t xml:space="preserve"> </w:t>
      </w:r>
      <w:r w:rsidRPr="0052437D">
        <w:rPr>
          <w:rFonts w:eastAsia="Arial" w:cs="Arial"/>
          <w:sz w:val="18"/>
          <w:szCs w:val="18"/>
        </w:rPr>
        <w:t>and</w:t>
      </w:r>
      <w:r w:rsidRPr="0052437D">
        <w:rPr>
          <w:rFonts w:eastAsia="Arial" w:cs="Arial"/>
          <w:spacing w:val="28"/>
          <w:sz w:val="18"/>
          <w:szCs w:val="18"/>
        </w:rPr>
        <w:t xml:space="preserve"> </w:t>
      </w:r>
      <w:r w:rsidRPr="0052437D">
        <w:rPr>
          <w:rFonts w:eastAsia="Arial" w:cs="Arial"/>
          <w:sz w:val="18"/>
          <w:szCs w:val="18"/>
        </w:rPr>
        <w:t>long</w:t>
      </w:r>
      <w:r w:rsidRPr="0052437D">
        <w:rPr>
          <w:rFonts w:eastAsia="Arial" w:cs="Arial"/>
          <w:spacing w:val="50"/>
          <w:sz w:val="18"/>
          <w:szCs w:val="18"/>
        </w:rPr>
        <w:t xml:space="preserve"> </w:t>
      </w:r>
      <w:r w:rsidRPr="0052437D">
        <w:rPr>
          <w:rFonts w:eastAsia="Arial" w:cs="Arial"/>
          <w:sz w:val="18"/>
          <w:szCs w:val="18"/>
        </w:rPr>
        <w:t>service leave do not accrue so</w:t>
      </w:r>
      <w:r w:rsidRPr="0052437D">
        <w:rPr>
          <w:rFonts w:eastAsia="Arial" w:cs="Arial"/>
          <w:spacing w:val="49"/>
          <w:sz w:val="18"/>
          <w:szCs w:val="18"/>
        </w:rPr>
        <w:t xml:space="preserve"> </w:t>
      </w:r>
      <w:r w:rsidRPr="0052437D">
        <w:rPr>
          <w:rFonts w:eastAsia="Arial" w:cs="Arial"/>
          <w:sz w:val="18"/>
          <w:szCs w:val="18"/>
        </w:rPr>
        <w:t>as</w:t>
      </w:r>
      <w:r w:rsidRPr="0052437D">
        <w:rPr>
          <w:rFonts w:eastAsia="Arial" w:cs="Arial"/>
          <w:spacing w:val="54"/>
          <w:sz w:val="18"/>
          <w:szCs w:val="18"/>
        </w:rPr>
        <w:t xml:space="preserve"> </w:t>
      </w:r>
      <w:r w:rsidRPr="0052437D">
        <w:rPr>
          <w:rFonts w:eastAsia="Arial" w:cs="Arial"/>
          <w:sz w:val="18"/>
          <w:szCs w:val="18"/>
        </w:rPr>
        <w:t>to</w:t>
      </w:r>
      <w:r w:rsidRPr="0052437D">
        <w:rPr>
          <w:rFonts w:eastAsia="Arial" w:cs="Arial"/>
          <w:spacing w:val="21"/>
          <w:sz w:val="18"/>
          <w:szCs w:val="18"/>
        </w:rPr>
        <w:t xml:space="preserve"> </w:t>
      </w:r>
      <w:r w:rsidRPr="0052437D">
        <w:rPr>
          <w:rFonts w:eastAsia="Arial" w:cs="Arial"/>
          <w:sz w:val="18"/>
          <w:szCs w:val="18"/>
        </w:rPr>
        <w:t>be available on</w:t>
      </w:r>
      <w:r w:rsidRPr="0052437D">
        <w:rPr>
          <w:rFonts w:eastAsia="Arial" w:cs="Arial"/>
          <w:spacing w:val="57"/>
          <w:sz w:val="18"/>
          <w:szCs w:val="18"/>
        </w:rPr>
        <w:t xml:space="preserve"> </w:t>
      </w:r>
      <w:r w:rsidRPr="0052437D">
        <w:rPr>
          <w:rFonts w:eastAsia="Arial" w:cs="Arial"/>
          <w:sz w:val="18"/>
          <w:szCs w:val="18"/>
        </w:rPr>
        <w:t>termination.  We</w:t>
      </w:r>
      <w:r w:rsidRPr="0052437D">
        <w:rPr>
          <w:rFonts w:eastAsia="Arial" w:cs="Arial"/>
          <w:spacing w:val="35"/>
          <w:sz w:val="18"/>
          <w:szCs w:val="18"/>
        </w:rPr>
        <w:t xml:space="preserve"> </w:t>
      </w:r>
      <w:r w:rsidRPr="0052437D">
        <w:rPr>
          <w:rFonts w:eastAsia="Arial" w:cs="Arial"/>
          <w:sz w:val="18"/>
          <w:szCs w:val="18"/>
        </w:rPr>
        <w:t>do however understand</w:t>
      </w:r>
      <w:r w:rsidRPr="0052437D">
        <w:rPr>
          <w:rFonts w:eastAsia="Arial" w:cs="Arial"/>
          <w:spacing w:val="28"/>
          <w:sz w:val="18"/>
          <w:szCs w:val="18"/>
        </w:rPr>
        <w:t xml:space="preserve"> </w:t>
      </w:r>
      <w:r w:rsidRPr="0052437D">
        <w:rPr>
          <w:rFonts w:eastAsia="Arial" w:cs="Arial"/>
          <w:sz w:val="18"/>
          <w:szCs w:val="18"/>
        </w:rPr>
        <w:t>that</w:t>
      </w:r>
      <w:r w:rsidRPr="0052437D">
        <w:rPr>
          <w:rFonts w:eastAsia="Arial" w:cs="Arial"/>
          <w:spacing w:val="40"/>
          <w:sz w:val="18"/>
          <w:szCs w:val="18"/>
        </w:rPr>
        <w:t xml:space="preserve"> </w:t>
      </w:r>
      <w:r w:rsidRPr="0052437D">
        <w:rPr>
          <w:rFonts w:eastAsia="Arial" w:cs="Arial"/>
          <w:sz w:val="18"/>
          <w:szCs w:val="18"/>
        </w:rPr>
        <w:t>MPs</w:t>
      </w:r>
      <w:r w:rsidRPr="0052437D">
        <w:rPr>
          <w:rFonts w:eastAsia="Arial" w:cs="Arial"/>
          <w:spacing w:val="4"/>
          <w:sz w:val="18"/>
          <w:szCs w:val="18"/>
        </w:rPr>
        <w:t xml:space="preserve"> </w:t>
      </w:r>
      <w:r w:rsidRPr="0052437D">
        <w:rPr>
          <w:rFonts w:eastAsia="Arial" w:cs="Arial"/>
          <w:sz w:val="18"/>
          <w:szCs w:val="18"/>
        </w:rPr>
        <w:t>may</w:t>
      </w:r>
      <w:r w:rsidRPr="0052437D">
        <w:rPr>
          <w:rFonts w:eastAsia="Arial" w:cs="Arial"/>
          <w:spacing w:val="11"/>
          <w:sz w:val="18"/>
          <w:szCs w:val="18"/>
        </w:rPr>
        <w:t xml:space="preserve"> </w:t>
      </w:r>
      <w:r w:rsidRPr="0052437D">
        <w:rPr>
          <w:rFonts w:eastAsia="Arial" w:cs="Arial"/>
          <w:sz w:val="18"/>
          <w:szCs w:val="18"/>
        </w:rPr>
        <w:t>take</w:t>
      </w:r>
      <w:r w:rsidRPr="0052437D">
        <w:rPr>
          <w:rFonts w:eastAsia="Arial" w:cs="Arial"/>
          <w:spacing w:val="30"/>
          <w:sz w:val="18"/>
          <w:szCs w:val="18"/>
        </w:rPr>
        <w:t xml:space="preserve"> </w:t>
      </w:r>
      <w:r w:rsidRPr="0052437D">
        <w:rPr>
          <w:rFonts w:eastAsia="Arial" w:cs="Arial"/>
          <w:sz w:val="18"/>
          <w:szCs w:val="18"/>
        </w:rPr>
        <w:t>leave</w:t>
      </w:r>
      <w:r w:rsidRPr="0052437D">
        <w:rPr>
          <w:rFonts w:eastAsia="Arial" w:cs="Arial"/>
          <w:spacing w:val="5"/>
          <w:sz w:val="18"/>
          <w:szCs w:val="18"/>
        </w:rPr>
        <w:t xml:space="preserve"> </w:t>
      </w:r>
      <w:r w:rsidRPr="0052437D">
        <w:rPr>
          <w:rFonts w:eastAsia="Arial" w:cs="Arial"/>
          <w:sz w:val="18"/>
          <w:szCs w:val="18"/>
        </w:rPr>
        <w:t>during</w:t>
      </w:r>
      <w:r w:rsidRPr="0052437D">
        <w:rPr>
          <w:rFonts w:eastAsia="Arial" w:cs="Arial"/>
          <w:spacing w:val="32"/>
          <w:sz w:val="18"/>
          <w:szCs w:val="18"/>
        </w:rPr>
        <w:t xml:space="preserve"> </w:t>
      </w:r>
      <w:r w:rsidRPr="0052437D">
        <w:rPr>
          <w:rFonts w:eastAsia="Arial" w:cs="Arial"/>
          <w:sz w:val="18"/>
          <w:szCs w:val="18"/>
        </w:rPr>
        <w:t>the</w:t>
      </w:r>
      <w:r w:rsidRPr="0052437D">
        <w:rPr>
          <w:rFonts w:eastAsia="Arial" w:cs="Arial"/>
          <w:spacing w:val="18"/>
          <w:sz w:val="18"/>
          <w:szCs w:val="18"/>
        </w:rPr>
        <w:t xml:space="preserve"> </w:t>
      </w:r>
      <w:r w:rsidRPr="0052437D">
        <w:rPr>
          <w:rFonts w:eastAsia="Arial" w:cs="Arial"/>
          <w:sz w:val="18"/>
          <w:szCs w:val="18"/>
        </w:rPr>
        <w:t>parliamentary term as opportunity</w:t>
      </w:r>
      <w:r w:rsidRPr="0052437D">
        <w:rPr>
          <w:rFonts w:eastAsia="Arial" w:cs="Arial"/>
          <w:spacing w:val="26"/>
          <w:sz w:val="18"/>
          <w:szCs w:val="18"/>
        </w:rPr>
        <w:t xml:space="preserve"> </w:t>
      </w:r>
      <w:r w:rsidRPr="0052437D">
        <w:rPr>
          <w:rFonts w:eastAsia="Arial" w:cs="Arial"/>
          <w:sz w:val="18"/>
          <w:szCs w:val="18"/>
        </w:rPr>
        <w:t>offers. Similarly,</w:t>
      </w:r>
      <w:r w:rsidRPr="0052437D">
        <w:rPr>
          <w:rFonts w:eastAsia="Arial" w:cs="Arial"/>
          <w:spacing w:val="-15"/>
          <w:sz w:val="18"/>
          <w:szCs w:val="18"/>
        </w:rPr>
        <w:t xml:space="preserve"> </w:t>
      </w:r>
      <w:r w:rsidRPr="0052437D">
        <w:rPr>
          <w:rFonts w:eastAsia="Arial" w:cs="Arial"/>
          <w:sz w:val="18"/>
          <w:szCs w:val="18"/>
        </w:rPr>
        <w:t>there is</w:t>
      </w:r>
      <w:r w:rsidRPr="0052437D">
        <w:rPr>
          <w:rFonts w:eastAsia="Arial" w:cs="Arial"/>
          <w:spacing w:val="38"/>
          <w:sz w:val="18"/>
          <w:szCs w:val="18"/>
        </w:rPr>
        <w:t xml:space="preserve"> </w:t>
      </w:r>
      <w:r w:rsidRPr="0052437D">
        <w:rPr>
          <w:rFonts w:eastAsia="Arial" w:cs="Arial"/>
          <w:sz w:val="18"/>
          <w:szCs w:val="18"/>
        </w:rPr>
        <w:t>no</w:t>
      </w:r>
      <w:r w:rsidRPr="0052437D">
        <w:rPr>
          <w:rFonts w:eastAsia="Arial" w:cs="Arial"/>
          <w:spacing w:val="37"/>
          <w:sz w:val="18"/>
          <w:szCs w:val="18"/>
        </w:rPr>
        <w:t xml:space="preserve"> </w:t>
      </w:r>
      <w:r w:rsidRPr="0052437D">
        <w:rPr>
          <w:rFonts w:eastAsia="Arial" w:cs="Arial"/>
          <w:sz w:val="18"/>
          <w:szCs w:val="18"/>
        </w:rPr>
        <w:t>equivalent</w:t>
      </w:r>
      <w:r w:rsidRPr="0052437D">
        <w:rPr>
          <w:rFonts w:eastAsia="Arial" w:cs="Arial"/>
          <w:spacing w:val="29"/>
          <w:sz w:val="18"/>
          <w:szCs w:val="18"/>
        </w:rPr>
        <w:t xml:space="preserve"> </w:t>
      </w:r>
      <w:r w:rsidRPr="0052437D">
        <w:rPr>
          <w:rFonts w:eastAsia="Arial" w:cs="Arial"/>
          <w:sz w:val="18"/>
          <w:szCs w:val="18"/>
        </w:rPr>
        <w:t>of</w:t>
      </w:r>
      <w:r w:rsidRPr="0052437D">
        <w:rPr>
          <w:rFonts w:eastAsia="Arial" w:cs="Arial"/>
          <w:spacing w:val="37"/>
          <w:sz w:val="18"/>
          <w:szCs w:val="18"/>
        </w:rPr>
        <w:t xml:space="preserve"> </w:t>
      </w:r>
      <w:r w:rsidRPr="0052437D">
        <w:rPr>
          <w:rFonts w:eastAsia="Arial" w:cs="Arial"/>
          <w:sz w:val="18"/>
          <w:szCs w:val="18"/>
        </w:rPr>
        <w:t>a</w:t>
      </w:r>
      <w:r w:rsidRPr="0052437D">
        <w:rPr>
          <w:rFonts w:eastAsia="Arial" w:cs="Arial"/>
          <w:spacing w:val="27"/>
          <w:sz w:val="18"/>
          <w:szCs w:val="18"/>
        </w:rPr>
        <w:t xml:space="preserve"> </w:t>
      </w:r>
      <w:r w:rsidRPr="0052437D">
        <w:rPr>
          <w:rFonts w:eastAsia="Arial" w:cs="Arial"/>
          <w:sz w:val="18"/>
          <w:szCs w:val="18"/>
        </w:rPr>
        <w:t>redundancy payment in</w:t>
      </w:r>
      <w:r w:rsidRPr="0052437D">
        <w:rPr>
          <w:rFonts w:eastAsia="Arial" w:cs="Arial"/>
          <w:spacing w:val="43"/>
          <w:sz w:val="18"/>
          <w:szCs w:val="18"/>
        </w:rPr>
        <w:t xml:space="preserve"> </w:t>
      </w:r>
      <w:r w:rsidRPr="0052437D">
        <w:rPr>
          <w:rFonts w:eastAsia="Arial" w:cs="Arial"/>
          <w:sz w:val="18"/>
          <w:szCs w:val="18"/>
        </w:rPr>
        <w:t>the</w:t>
      </w:r>
      <w:r w:rsidRPr="0052437D">
        <w:rPr>
          <w:rFonts w:eastAsia="Arial" w:cs="Arial"/>
          <w:spacing w:val="50"/>
          <w:sz w:val="18"/>
          <w:szCs w:val="18"/>
        </w:rPr>
        <w:t xml:space="preserve"> </w:t>
      </w:r>
      <w:r w:rsidRPr="0052437D">
        <w:rPr>
          <w:rFonts w:eastAsia="Arial" w:cs="Arial"/>
          <w:sz w:val="18"/>
          <w:szCs w:val="18"/>
        </w:rPr>
        <w:t>event that an</w:t>
      </w:r>
      <w:r w:rsidRPr="0052437D">
        <w:rPr>
          <w:rFonts w:eastAsia="Arial" w:cs="Arial"/>
          <w:spacing w:val="31"/>
          <w:sz w:val="18"/>
          <w:szCs w:val="18"/>
        </w:rPr>
        <w:t xml:space="preserve"> </w:t>
      </w:r>
      <w:r w:rsidRPr="0052437D">
        <w:rPr>
          <w:rFonts w:eastAsia="Arial" w:cs="Arial"/>
          <w:sz w:val="18"/>
          <w:szCs w:val="18"/>
        </w:rPr>
        <w:t>MP</w:t>
      </w:r>
      <w:r w:rsidRPr="0052437D">
        <w:rPr>
          <w:rFonts w:eastAsia="Arial" w:cs="Arial"/>
          <w:spacing w:val="-7"/>
          <w:sz w:val="18"/>
          <w:szCs w:val="18"/>
        </w:rPr>
        <w:t xml:space="preserve"> </w:t>
      </w:r>
      <w:r w:rsidRPr="0052437D">
        <w:rPr>
          <w:rFonts w:eastAsia="Arial" w:cs="Arial"/>
          <w:sz w:val="18"/>
          <w:szCs w:val="18"/>
        </w:rPr>
        <w:t>loses</w:t>
      </w:r>
      <w:r w:rsidRPr="0052437D">
        <w:rPr>
          <w:rFonts w:eastAsia="Arial" w:cs="Arial"/>
          <w:spacing w:val="28"/>
          <w:sz w:val="18"/>
          <w:szCs w:val="18"/>
        </w:rPr>
        <w:t xml:space="preserve"> </w:t>
      </w:r>
      <w:r w:rsidRPr="0052437D">
        <w:rPr>
          <w:rFonts w:eastAsia="Arial" w:cs="Arial"/>
          <w:sz w:val="18"/>
          <w:szCs w:val="18"/>
        </w:rPr>
        <w:t>party</w:t>
      </w:r>
      <w:r w:rsidRPr="0052437D">
        <w:rPr>
          <w:rFonts w:eastAsia="Arial" w:cs="Arial"/>
          <w:spacing w:val="21"/>
          <w:sz w:val="18"/>
          <w:szCs w:val="18"/>
        </w:rPr>
        <w:t xml:space="preserve"> </w:t>
      </w:r>
      <w:r w:rsidRPr="0052437D">
        <w:rPr>
          <w:rFonts w:eastAsia="Arial" w:cs="Arial"/>
          <w:sz w:val="18"/>
          <w:szCs w:val="18"/>
        </w:rPr>
        <w:t>endorsement</w:t>
      </w:r>
      <w:r w:rsidRPr="0052437D">
        <w:rPr>
          <w:rFonts w:eastAsia="Arial" w:cs="Arial"/>
          <w:spacing w:val="19"/>
          <w:sz w:val="18"/>
          <w:szCs w:val="18"/>
        </w:rPr>
        <w:t xml:space="preserve"> </w:t>
      </w:r>
      <w:r w:rsidRPr="0052437D">
        <w:rPr>
          <w:rFonts w:eastAsia="Arial" w:cs="Arial"/>
          <w:sz w:val="18"/>
          <w:szCs w:val="18"/>
        </w:rPr>
        <w:t>and/or fails</w:t>
      </w:r>
      <w:r w:rsidRPr="0052437D">
        <w:rPr>
          <w:rFonts w:eastAsia="Arial" w:cs="Arial"/>
          <w:spacing w:val="52"/>
          <w:sz w:val="18"/>
          <w:szCs w:val="18"/>
        </w:rPr>
        <w:t xml:space="preserve"> </w:t>
      </w:r>
      <w:r w:rsidRPr="0052437D">
        <w:rPr>
          <w:rFonts w:eastAsia="Arial" w:cs="Arial"/>
          <w:sz w:val="18"/>
          <w:szCs w:val="18"/>
        </w:rPr>
        <w:t>to</w:t>
      </w:r>
      <w:r w:rsidRPr="0052437D">
        <w:rPr>
          <w:rFonts w:eastAsia="Arial" w:cs="Arial"/>
          <w:spacing w:val="45"/>
          <w:sz w:val="18"/>
          <w:szCs w:val="18"/>
        </w:rPr>
        <w:t xml:space="preserve"> </w:t>
      </w:r>
      <w:r w:rsidRPr="0052437D">
        <w:rPr>
          <w:rFonts w:eastAsia="Arial" w:cs="Arial"/>
          <w:sz w:val="18"/>
          <w:szCs w:val="18"/>
        </w:rPr>
        <w:t>be</w:t>
      </w:r>
      <w:r w:rsidRPr="0052437D">
        <w:rPr>
          <w:rFonts w:eastAsia="Arial" w:cs="Arial"/>
          <w:spacing w:val="19"/>
          <w:sz w:val="18"/>
          <w:szCs w:val="18"/>
        </w:rPr>
        <w:t xml:space="preserve"> </w:t>
      </w:r>
      <w:r w:rsidRPr="0052437D">
        <w:rPr>
          <w:rFonts w:eastAsia="Arial" w:cs="Arial"/>
          <w:sz w:val="18"/>
          <w:szCs w:val="18"/>
        </w:rPr>
        <w:t>re-elected. Note: Federal MPs</w:t>
      </w:r>
      <w:r w:rsidRPr="0052437D">
        <w:rPr>
          <w:rFonts w:eastAsia="Arial" w:cs="Arial"/>
          <w:spacing w:val="27"/>
          <w:sz w:val="18"/>
          <w:szCs w:val="18"/>
        </w:rPr>
        <w:t xml:space="preserve"> </w:t>
      </w:r>
      <w:r w:rsidRPr="0052437D">
        <w:rPr>
          <w:rFonts w:eastAsia="Arial" w:cs="Arial"/>
          <w:sz w:val="18"/>
          <w:szCs w:val="18"/>
        </w:rPr>
        <w:t>are</w:t>
      </w:r>
      <w:r w:rsidRPr="0052437D">
        <w:rPr>
          <w:rFonts w:eastAsia="Arial" w:cs="Arial"/>
          <w:spacing w:val="25"/>
          <w:sz w:val="18"/>
          <w:szCs w:val="18"/>
        </w:rPr>
        <w:t xml:space="preserve"> </w:t>
      </w:r>
      <w:r w:rsidRPr="0052437D">
        <w:rPr>
          <w:rFonts w:eastAsia="Arial" w:cs="Arial"/>
          <w:sz w:val="18"/>
          <w:szCs w:val="18"/>
        </w:rPr>
        <w:t>entitled</w:t>
      </w:r>
      <w:r w:rsidRPr="0052437D">
        <w:rPr>
          <w:rFonts w:eastAsia="Arial" w:cs="Arial"/>
          <w:spacing w:val="63"/>
          <w:sz w:val="18"/>
          <w:szCs w:val="18"/>
        </w:rPr>
        <w:t xml:space="preserve"> </w:t>
      </w:r>
      <w:r w:rsidRPr="0052437D">
        <w:rPr>
          <w:rFonts w:eastAsia="Arial" w:cs="Arial"/>
          <w:sz w:val="18"/>
          <w:szCs w:val="18"/>
        </w:rPr>
        <w:t>to</w:t>
      </w:r>
      <w:r w:rsidRPr="0052437D">
        <w:rPr>
          <w:rFonts w:eastAsia="Arial" w:cs="Arial"/>
          <w:spacing w:val="31"/>
          <w:sz w:val="18"/>
          <w:szCs w:val="18"/>
        </w:rPr>
        <w:t xml:space="preserve"> </w:t>
      </w:r>
      <w:r w:rsidRPr="0052437D">
        <w:rPr>
          <w:rFonts w:eastAsia="Arial" w:cs="Arial"/>
          <w:sz w:val="18"/>
          <w:szCs w:val="18"/>
        </w:rPr>
        <w:t xml:space="preserve">a </w:t>
      </w:r>
      <w:r w:rsidRPr="0052437D">
        <w:rPr>
          <w:rFonts w:eastAsia="Arial" w:cs="Arial"/>
          <w:i/>
          <w:sz w:val="18"/>
          <w:szCs w:val="18"/>
        </w:rPr>
        <w:t>Resettlement</w:t>
      </w:r>
      <w:r w:rsidRPr="0052437D">
        <w:rPr>
          <w:rFonts w:eastAsia="Arial" w:cs="Arial"/>
          <w:i/>
          <w:spacing w:val="50"/>
          <w:sz w:val="18"/>
          <w:szCs w:val="18"/>
        </w:rPr>
        <w:t xml:space="preserve"> </w:t>
      </w:r>
      <w:r w:rsidRPr="0052437D">
        <w:rPr>
          <w:rFonts w:eastAsia="Arial" w:cs="Arial"/>
          <w:i/>
          <w:sz w:val="18"/>
          <w:szCs w:val="18"/>
        </w:rPr>
        <w:t xml:space="preserve">Allowance" </w:t>
      </w:r>
      <w:r w:rsidRPr="0052437D">
        <w:rPr>
          <w:rFonts w:eastAsia="Arial" w:cs="Arial"/>
          <w:sz w:val="18"/>
          <w:szCs w:val="18"/>
        </w:rPr>
        <w:t>equivalent</w:t>
      </w:r>
      <w:r w:rsidRPr="0052437D">
        <w:rPr>
          <w:rFonts w:eastAsia="Arial" w:cs="Arial"/>
          <w:spacing w:val="16"/>
          <w:sz w:val="18"/>
          <w:szCs w:val="18"/>
        </w:rPr>
        <w:t xml:space="preserve"> </w:t>
      </w:r>
      <w:r w:rsidRPr="0052437D">
        <w:rPr>
          <w:rFonts w:eastAsia="Arial" w:cs="Arial"/>
          <w:sz w:val="18"/>
          <w:szCs w:val="18"/>
        </w:rPr>
        <w:t>to three months'</w:t>
      </w:r>
      <w:r w:rsidRPr="0052437D">
        <w:rPr>
          <w:rFonts w:eastAsia="Arial" w:cs="Arial"/>
          <w:spacing w:val="-32"/>
          <w:sz w:val="18"/>
          <w:szCs w:val="18"/>
        </w:rPr>
        <w:t xml:space="preserve"> </w:t>
      </w:r>
      <w:r w:rsidRPr="0052437D">
        <w:rPr>
          <w:rFonts w:eastAsia="Arial" w:cs="Arial"/>
          <w:sz w:val="18"/>
          <w:szCs w:val="18"/>
        </w:rPr>
        <w:t>salary</w:t>
      </w:r>
      <w:r w:rsidRPr="0052437D">
        <w:rPr>
          <w:rFonts w:eastAsia="Arial" w:cs="Arial"/>
          <w:spacing w:val="48"/>
          <w:sz w:val="18"/>
          <w:szCs w:val="18"/>
        </w:rPr>
        <w:t xml:space="preserve"> </w:t>
      </w:r>
      <w:r w:rsidRPr="0052437D">
        <w:rPr>
          <w:rFonts w:eastAsia="Arial" w:cs="Arial"/>
          <w:sz w:val="18"/>
          <w:szCs w:val="18"/>
        </w:rPr>
        <w:t>in</w:t>
      </w:r>
      <w:r w:rsidRPr="0052437D">
        <w:rPr>
          <w:rFonts w:eastAsia="Arial" w:cs="Arial"/>
          <w:spacing w:val="30"/>
          <w:sz w:val="18"/>
          <w:szCs w:val="18"/>
        </w:rPr>
        <w:t xml:space="preserve"> </w:t>
      </w:r>
      <w:r w:rsidRPr="0052437D">
        <w:rPr>
          <w:rFonts w:eastAsia="Arial" w:cs="Arial"/>
          <w:sz w:val="18"/>
          <w:szCs w:val="18"/>
        </w:rPr>
        <w:t>such</w:t>
      </w:r>
      <w:r w:rsidRPr="0052437D">
        <w:rPr>
          <w:rFonts w:eastAsia="Arial" w:cs="Arial"/>
          <w:spacing w:val="24"/>
          <w:sz w:val="18"/>
          <w:szCs w:val="18"/>
        </w:rPr>
        <w:t xml:space="preserve"> </w:t>
      </w:r>
      <w:r w:rsidRPr="0052437D">
        <w:rPr>
          <w:rFonts w:eastAsia="Arial" w:cs="Arial"/>
          <w:sz w:val="18"/>
          <w:szCs w:val="18"/>
        </w:rPr>
        <w:t>circumstances.</w:t>
      </w:r>
    </w:p>
    <w:p w:rsidR="008B77A9" w:rsidRPr="0052437D" w:rsidRDefault="008B77A9" w:rsidP="008B77A9">
      <w:pPr>
        <w:spacing w:after="120"/>
        <w:ind w:right="-20"/>
        <w:jc w:val="both"/>
        <w:rPr>
          <w:rFonts w:eastAsia="Arial" w:cs="Arial"/>
          <w:sz w:val="18"/>
          <w:szCs w:val="18"/>
        </w:rPr>
      </w:pPr>
      <w:r w:rsidRPr="0052437D">
        <w:rPr>
          <w:rFonts w:eastAsia="Arial" w:cs="Arial"/>
          <w:sz w:val="18"/>
          <w:szCs w:val="18"/>
        </w:rPr>
        <w:t>The 1997 Report, in identifying 'significant issues', noted:</w:t>
      </w:r>
    </w:p>
    <w:p w:rsidR="008B77A9" w:rsidRPr="0052437D" w:rsidRDefault="008B77A9" w:rsidP="008B77A9">
      <w:pPr>
        <w:spacing w:after="120"/>
        <w:ind w:left="567" w:right="95" w:hanging="141"/>
        <w:jc w:val="both"/>
        <w:rPr>
          <w:rFonts w:eastAsia="Arial" w:cs="Arial"/>
          <w:sz w:val="18"/>
          <w:szCs w:val="18"/>
        </w:rPr>
      </w:pPr>
      <w:r w:rsidRPr="0052437D">
        <w:rPr>
          <w:rFonts w:eastAsia="Arial" w:cs="Arial"/>
          <w:i/>
          <w:sz w:val="18"/>
          <w:szCs w:val="18"/>
        </w:rPr>
        <w:t>"</w:t>
      </w:r>
      <w:r w:rsidRPr="0052437D">
        <w:rPr>
          <w:rFonts w:eastAsia="Arial" w:cs="Arial"/>
          <w:i/>
          <w:sz w:val="18"/>
          <w:szCs w:val="18"/>
        </w:rPr>
        <w:tab/>
        <w:t>The submissions and observations of members of the Tasmanian Parliament and the Tasmanian Government show general unanimity regarding both their comparability with Federal Parliamentarians and their duties and responsibilities. In particular, concerning the latter and without being exhaustive, the submissions and comments emphasise the unrelenting nature of constituent demands; pressure and stress associated with Parliamentary and Ministerial functions; loss of privacy and disruption to family life; the seven days a week nature of the job, irrespective of whether or not Parliament is sitting; lack of job security; and costs associated with elections and servicing electorates."</w:t>
      </w:r>
    </w:p>
    <w:p w:rsidR="008B77A9" w:rsidRPr="0052437D" w:rsidRDefault="008B77A9" w:rsidP="008B77A9">
      <w:pPr>
        <w:spacing w:after="120"/>
        <w:ind w:right="79"/>
        <w:jc w:val="both"/>
        <w:rPr>
          <w:rFonts w:eastAsia="Arial" w:cs="Arial"/>
          <w:sz w:val="18"/>
          <w:szCs w:val="18"/>
        </w:rPr>
      </w:pPr>
      <w:r w:rsidRPr="0052437D">
        <w:rPr>
          <w:rFonts w:eastAsia="Arial" w:cs="Arial"/>
          <w:sz w:val="18"/>
          <w:szCs w:val="18"/>
        </w:rPr>
        <w:t>In relation to Federal parliamentarians, the Remuneration Tribunal Report 2011 observed:</w:t>
      </w:r>
    </w:p>
    <w:p w:rsidR="008B77A9" w:rsidRPr="0052437D" w:rsidRDefault="008B77A9" w:rsidP="008B77A9">
      <w:pPr>
        <w:spacing w:after="120"/>
        <w:ind w:left="567" w:right="115" w:hanging="141"/>
        <w:jc w:val="both"/>
        <w:rPr>
          <w:rFonts w:eastAsia="Arial" w:cs="Arial"/>
          <w:sz w:val="18"/>
          <w:szCs w:val="18"/>
          <w:lang w:val="en-US"/>
        </w:rPr>
      </w:pPr>
      <w:r w:rsidRPr="0052437D">
        <w:rPr>
          <w:rFonts w:eastAsia="Arial" w:cs="Arial"/>
          <w:i/>
          <w:sz w:val="18"/>
          <w:szCs w:val="18"/>
        </w:rPr>
        <w:t>"</w:t>
      </w:r>
      <w:r w:rsidRPr="0052437D">
        <w:rPr>
          <w:rFonts w:eastAsia="Arial" w:cs="Arial"/>
          <w:i/>
          <w:sz w:val="18"/>
          <w:szCs w:val="18"/>
        </w:rPr>
        <w:tab/>
        <w:t>The</w:t>
      </w:r>
      <w:r w:rsidRPr="0052437D">
        <w:rPr>
          <w:rFonts w:eastAsia="Arial" w:cs="Arial"/>
          <w:i/>
          <w:spacing w:val="38"/>
          <w:sz w:val="18"/>
          <w:szCs w:val="18"/>
        </w:rPr>
        <w:t xml:space="preserve"> </w:t>
      </w:r>
      <w:r w:rsidRPr="0052437D">
        <w:rPr>
          <w:rFonts w:eastAsia="Arial" w:cs="Arial"/>
          <w:i/>
          <w:sz w:val="18"/>
          <w:szCs w:val="18"/>
        </w:rPr>
        <w:t>role</w:t>
      </w:r>
      <w:r w:rsidRPr="0052437D">
        <w:rPr>
          <w:rFonts w:eastAsia="Arial" w:cs="Arial"/>
          <w:i/>
          <w:spacing w:val="25"/>
          <w:sz w:val="18"/>
          <w:szCs w:val="18"/>
        </w:rPr>
        <w:t xml:space="preserve"> </w:t>
      </w:r>
      <w:r w:rsidRPr="0052437D">
        <w:rPr>
          <w:rFonts w:eastAsia="Arial" w:cs="Arial"/>
          <w:i/>
          <w:sz w:val="18"/>
          <w:szCs w:val="18"/>
        </w:rPr>
        <w:t>of</w:t>
      </w:r>
      <w:r w:rsidRPr="0052437D">
        <w:rPr>
          <w:rFonts w:eastAsia="Arial" w:cs="Arial"/>
          <w:i/>
          <w:spacing w:val="22"/>
          <w:sz w:val="18"/>
          <w:szCs w:val="18"/>
        </w:rPr>
        <w:t xml:space="preserve"> </w:t>
      </w:r>
      <w:r w:rsidRPr="0052437D">
        <w:rPr>
          <w:rFonts w:eastAsia="Arial" w:cs="Arial"/>
          <w:i/>
          <w:sz w:val="18"/>
          <w:szCs w:val="18"/>
        </w:rPr>
        <w:t>a</w:t>
      </w:r>
      <w:r w:rsidRPr="0052437D">
        <w:rPr>
          <w:rFonts w:eastAsia="Arial" w:cs="Arial"/>
          <w:i/>
          <w:spacing w:val="7"/>
          <w:sz w:val="18"/>
          <w:szCs w:val="18"/>
        </w:rPr>
        <w:t xml:space="preserve"> </w:t>
      </w:r>
      <w:r w:rsidRPr="0052437D">
        <w:rPr>
          <w:rFonts w:eastAsia="Arial" w:cs="Arial"/>
          <w:i/>
          <w:sz w:val="18"/>
          <w:szCs w:val="18"/>
        </w:rPr>
        <w:t>parliamentarian</w:t>
      </w:r>
      <w:r w:rsidRPr="0052437D">
        <w:rPr>
          <w:rFonts w:eastAsia="Arial" w:cs="Arial"/>
          <w:i/>
          <w:spacing w:val="7"/>
          <w:sz w:val="18"/>
          <w:szCs w:val="18"/>
        </w:rPr>
        <w:t xml:space="preserve"> </w:t>
      </w:r>
      <w:r w:rsidRPr="0052437D">
        <w:rPr>
          <w:rFonts w:eastAsia="Arial" w:cs="Arial"/>
          <w:i/>
          <w:sz w:val="18"/>
          <w:szCs w:val="18"/>
        </w:rPr>
        <w:t>is an</w:t>
      </w:r>
      <w:r w:rsidRPr="0052437D">
        <w:rPr>
          <w:rFonts w:eastAsia="Arial" w:cs="Arial"/>
          <w:i/>
          <w:spacing w:val="28"/>
          <w:sz w:val="18"/>
          <w:szCs w:val="18"/>
        </w:rPr>
        <w:t xml:space="preserve"> </w:t>
      </w:r>
      <w:r w:rsidRPr="0052437D">
        <w:rPr>
          <w:rFonts w:eastAsia="Arial" w:cs="Arial"/>
          <w:i/>
          <w:sz w:val="18"/>
          <w:szCs w:val="18"/>
        </w:rPr>
        <w:t>unusual</w:t>
      </w:r>
      <w:r w:rsidRPr="0052437D">
        <w:rPr>
          <w:rFonts w:eastAsia="Arial" w:cs="Arial"/>
          <w:i/>
          <w:spacing w:val="45"/>
          <w:sz w:val="18"/>
          <w:szCs w:val="18"/>
        </w:rPr>
        <w:t xml:space="preserve"> </w:t>
      </w:r>
      <w:r w:rsidRPr="0052437D">
        <w:rPr>
          <w:rFonts w:eastAsia="Arial" w:cs="Arial"/>
          <w:i/>
          <w:sz w:val="18"/>
          <w:szCs w:val="18"/>
        </w:rPr>
        <w:t>one,</w:t>
      </w:r>
      <w:r w:rsidRPr="0052437D">
        <w:rPr>
          <w:rFonts w:eastAsia="Arial" w:cs="Arial"/>
          <w:i/>
          <w:spacing w:val="7"/>
          <w:sz w:val="18"/>
          <w:szCs w:val="18"/>
        </w:rPr>
        <w:t xml:space="preserve"> </w:t>
      </w:r>
      <w:r w:rsidRPr="0052437D">
        <w:rPr>
          <w:rFonts w:eastAsia="Arial" w:cs="Arial"/>
          <w:i/>
          <w:sz w:val="18"/>
          <w:szCs w:val="18"/>
        </w:rPr>
        <w:t>with</w:t>
      </w:r>
      <w:r w:rsidRPr="0052437D">
        <w:rPr>
          <w:rFonts w:eastAsia="Arial" w:cs="Arial"/>
          <w:i/>
          <w:spacing w:val="51"/>
          <w:sz w:val="18"/>
          <w:szCs w:val="18"/>
        </w:rPr>
        <w:t xml:space="preserve"> </w:t>
      </w:r>
      <w:r w:rsidRPr="0052437D">
        <w:rPr>
          <w:rFonts w:eastAsia="Arial" w:cs="Arial"/>
          <w:i/>
          <w:sz w:val="18"/>
          <w:szCs w:val="18"/>
        </w:rPr>
        <w:t>a</w:t>
      </w:r>
      <w:r w:rsidRPr="0052437D">
        <w:rPr>
          <w:rFonts w:eastAsia="Arial" w:cs="Arial"/>
          <w:i/>
          <w:spacing w:val="8"/>
          <w:sz w:val="18"/>
          <w:szCs w:val="18"/>
        </w:rPr>
        <w:t xml:space="preserve"> </w:t>
      </w:r>
      <w:r w:rsidRPr="0052437D">
        <w:rPr>
          <w:rFonts w:eastAsia="Arial" w:cs="Arial"/>
          <w:i/>
          <w:sz w:val="18"/>
          <w:szCs w:val="18"/>
        </w:rPr>
        <w:t>high</w:t>
      </w:r>
      <w:r w:rsidRPr="0052437D">
        <w:rPr>
          <w:rFonts w:eastAsia="Arial" w:cs="Arial"/>
          <w:i/>
          <w:spacing w:val="41"/>
          <w:sz w:val="18"/>
          <w:szCs w:val="18"/>
        </w:rPr>
        <w:t xml:space="preserve"> </w:t>
      </w:r>
      <w:r w:rsidRPr="0052437D">
        <w:rPr>
          <w:rFonts w:eastAsia="Arial" w:cs="Arial"/>
          <w:i/>
          <w:sz w:val="18"/>
          <w:szCs w:val="18"/>
        </w:rPr>
        <w:t>level</w:t>
      </w:r>
      <w:r w:rsidRPr="0052437D">
        <w:rPr>
          <w:rFonts w:eastAsia="Arial" w:cs="Arial"/>
          <w:i/>
          <w:spacing w:val="39"/>
          <w:sz w:val="18"/>
          <w:szCs w:val="18"/>
        </w:rPr>
        <w:t xml:space="preserve"> </w:t>
      </w:r>
      <w:r w:rsidRPr="0052437D">
        <w:rPr>
          <w:rFonts w:eastAsia="Arial" w:cs="Arial"/>
          <w:i/>
          <w:sz w:val="18"/>
          <w:szCs w:val="18"/>
        </w:rPr>
        <w:t>of complexity</w:t>
      </w:r>
      <w:r w:rsidRPr="0052437D">
        <w:rPr>
          <w:rFonts w:eastAsia="Arial" w:cs="Arial"/>
          <w:i/>
          <w:spacing w:val="42"/>
          <w:sz w:val="18"/>
          <w:szCs w:val="18"/>
        </w:rPr>
        <w:t xml:space="preserve"> </w:t>
      </w:r>
      <w:r w:rsidRPr="0052437D">
        <w:rPr>
          <w:rFonts w:eastAsia="Arial" w:cs="Arial"/>
          <w:i/>
          <w:sz w:val="18"/>
          <w:szCs w:val="18"/>
        </w:rPr>
        <w:t>and difficulty.</w:t>
      </w:r>
      <w:r w:rsidRPr="0052437D">
        <w:rPr>
          <w:rFonts w:eastAsia="Arial" w:cs="Arial"/>
          <w:i/>
          <w:spacing w:val="34"/>
          <w:sz w:val="18"/>
          <w:szCs w:val="18"/>
        </w:rPr>
        <w:t xml:space="preserve"> </w:t>
      </w:r>
      <w:r w:rsidRPr="0052437D">
        <w:rPr>
          <w:rFonts w:eastAsia="Arial" w:cs="Arial"/>
          <w:i/>
          <w:sz w:val="18"/>
          <w:szCs w:val="18"/>
        </w:rPr>
        <w:t>They</w:t>
      </w:r>
      <w:r w:rsidRPr="0052437D">
        <w:rPr>
          <w:rFonts w:eastAsia="Arial" w:cs="Arial"/>
          <w:i/>
          <w:spacing w:val="3"/>
          <w:sz w:val="18"/>
          <w:szCs w:val="18"/>
        </w:rPr>
        <w:t xml:space="preserve"> </w:t>
      </w:r>
      <w:r w:rsidRPr="0052437D">
        <w:rPr>
          <w:rFonts w:eastAsia="Arial" w:cs="Arial"/>
          <w:i/>
          <w:sz w:val="18"/>
          <w:szCs w:val="18"/>
        </w:rPr>
        <w:t>have</w:t>
      </w:r>
      <w:r w:rsidRPr="0052437D">
        <w:rPr>
          <w:rFonts w:eastAsia="Arial" w:cs="Arial"/>
          <w:i/>
          <w:spacing w:val="16"/>
          <w:sz w:val="18"/>
          <w:szCs w:val="18"/>
        </w:rPr>
        <w:t xml:space="preserve"> </w:t>
      </w:r>
      <w:r w:rsidRPr="0052437D">
        <w:rPr>
          <w:rFonts w:eastAsia="Arial" w:cs="Arial"/>
          <w:i/>
          <w:sz w:val="18"/>
          <w:szCs w:val="18"/>
        </w:rPr>
        <w:t>in effect</w:t>
      </w:r>
      <w:r w:rsidRPr="0052437D">
        <w:rPr>
          <w:rFonts w:eastAsia="Arial" w:cs="Arial"/>
          <w:i/>
          <w:spacing w:val="24"/>
          <w:sz w:val="18"/>
          <w:szCs w:val="18"/>
        </w:rPr>
        <w:t xml:space="preserve"> </w:t>
      </w:r>
      <w:r w:rsidRPr="0052437D">
        <w:rPr>
          <w:rFonts w:eastAsia="Arial" w:cs="Arial"/>
          <w:i/>
          <w:sz w:val="18"/>
          <w:szCs w:val="18"/>
        </w:rPr>
        <w:t>two</w:t>
      </w:r>
      <w:r w:rsidRPr="0052437D">
        <w:rPr>
          <w:rFonts w:eastAsia="Arial" w:cs="Arial"/>
          <w:i/>
          <w:spacing w:val="14"/>
          <w:sz w:val="18"/>
          <w:szCs w:val="18"/>
        </w:rPr>
        <w:t xml:space="preserve"> </w:t>
      </w:r>
      <w:r w:rsidRPr="0052437D">
        <w:rPr>
          <w:rFonts w:eastAsia="Arial" w:cs="Arial"/>
          <w:i/>
          <w:sz w:val="18"/>
          <w:szCs w:val="18"/>
        </w:rPr>
        <w:t>jobs,</w:t>
      </w:r>
      <w:r w:rsidRPr="0052437D">
        <w:rPr>
          <w:rFonts w:eastAsia="Arial" w:cs="Arial"/>
          <w:i/>
          <w:spacing w:val="58"/>
          <w:sz w:val="18"/>
          <w:szCs w:val="18"/>
        </w:rPr>
        <w:t xml:space="preserve"> </w:t>
      </w:r>
      <w:r w:rsidRPr="0052437D">
        <w:rPr>
          <w:rFonts w:eastAsia="Arial" w:cs="Arial"/>
          <w:i/>
          <w:sz w:val="18"/>
          <w:szCs w:val="18"/>
        </w:rPr>
        <w:t>at</w:t>
      </w:r>
      <w:r w:rsidRPr="0052437D">
        <w:rPr>
          <w:rFonts w:eastAsia="Arial" w:cs="Arial"/>
          <w:i/>
          <w:spacing w:val="13"/>
          <w:sz w:val="18"/>
          <w:szCs w:val="18"/>
        </w:rPr>
        <w:t xml:space="preserve"> </w:t>
      </w:r>
      <w:r w:rsidRPr="0052437D">
        <w:rPr>
          <w:rFonts w:eastAsia="Arial" w:cs="Arial"/>
          <w:i/>
          <w:sz w:val="18"/>
          <w:szCs w:val="18"/>
        </w:rPr>
        <w:t xml:space="preserve">least. </w:t>
      </w:r>
      <w:r w:rsidRPr="0052437D">
        <w:rPr>
          <w:rFonts w:eastAsia="Arial" w:cs="Arial"/>
          <w:i/>
          <w:spacing w:val="11"/>
          <w:sz w:val="18"/>
          <w:szCs w:val="18"/>
        </w:rPr>
        <w:t xml:space="preserve"> </w:t>
      </w:r>
      <w:r w:rsidRPr="0052437D">
        <w:rPr>
          <w:rFonts w:eastAsia="Arial" w:cs="Arial"/>
          <w:i/>
          <w:sz w:val="18"/>
          <w:szCs w:val="18"/>
        </w:rPr>
        <w:t>One role</w:t>
      </w:r>
      <w:r w:rsidRPr="0052437D">
        <w:rPr>
          <w:rFonts w:eastAsia="Arial" w:cs="Arial"/>
          <w:i/>
          <w:spacing w:val="23"/>
          <w:sz w:val="18"/>
          <w:szCs w:val="18"/>
        </w:rPr>
        <w:t xml:space="preserve"> </w:t>
      </w:r>
      <w:r w:rsidRPr="0052437D">
        <w:rPr>
          <w:rFonts w:eastAsia="Arial" w:cs="Arial"/>
          <w:i/>
          <w:sz w:val="18"/>
          <w:szCs w:val="18"/>
        </w:rPr>
        <w:t>is</w:t>
      </w:r>
      <w:r w:rsidRPr="0052437D">
        <w:rPr>
          <w:rFonts w:eastAsia="Arial" w:cs="Arial"/>
          <w:i/>
          <w:spacing w:val="54"/>
          <w:sz w:val="18"/>
          <w:szCs w:val="18"/>
        </w:rPr>
        <w:t xml:space="preserve"> </w:t>
      </w:r>
      <w:r w:rsidRPr="0052437D">
        <w:rPr>
          <w:rFonts w:eastAsia="Arial" w:cs="Arial"/>
          <w:i/>
          <w:sz w:val="18"/>
          <w:szCs w:val="18"/>
        </w:rPr>
        <w:t>as</w:t>
      </w:r>
      <w:r w:rsidRPr="0052437D">
        <w:rPr>
          <w:rFonts w:eastAsia="Arial" w:cs="Arial"/>
          <w:i/>
          <w:spacing w:val="50"/>
          <w:sz w:val="18"/>
          <w:szCs w:val="18"/>
        </w:rPr>
        <w:t xml:space="preserve"> </w:t>
      </w:r>
      <w:r w:rsidRPr="0052437D">
        <w:rPr>
          <w:rFonts w:eastAsia="Arial" w:cs="Arial"/>
          <w:i/>
          <w:sz w:val="18"/>
          <w:szCs w:val="18"/>
        </w:rPr>
        <w:t>a</w:t>
      </w:r>
      <w:r w:rsidRPr="0052437D">
        <w:rPr>
          <w:rFonts w:eastAsia="Arial" w:cs="Arial"/>
          <w:i/>
          <w:spacing w:val="54"/>
          <w:sz w:val="18"/>
          <w:szCs w:val="18"/>
        </w:rPr>
        <w:t xml:space="preserve"> </w:t>
      </w:r>
      <w:r w:rsidRPr="0052437D">
        <w:rPr>
          <w:rFonts w:eastAsia="Arial" w:cs="Arial"/>
          <w:i/>
          <w:sz w:val="18"/>
          <w:szCs w:val="18"/>
        </w:rPr>
        <w:t>member</w:t>
      </w:r>
      <w:r w:rsidRPr="0052437D">
        <w:rPr>
          <w:rFonts w:eastAsia="Arial" w:cs="Arial"/>
          <w:i/>
          <w:spacing w:val="52"/>
          <w:sz w:val="18"/>
          <w:szCs w:val="18"/>
        </w:rPr>
        <w:t xml:space="preserve"> </w:t>
      </w:r>
      <w:r w:rsidRPr="0052437D">
        <w:rPr>
          <w:rFonts w:eastAsia="Arial" w:cs="Arial"/>
          <w:i/>
          <w:sz w:val="18"/>
          <w:szCs w:val="18"/>
        </w:rPr>
        <w:t>of a legislature</w:t>
      </w:r>
      <w:r w:rsidRPr="0052437D">
        <w:rPr>
          <w:rFonts w:eastAsia="Arial" w:cs="Arial"/>
          <w:i/>
          <w:spacing w:val="44"/>
          <w:sz w:val="18"/>
          <w:szCs w:val="18"/>
        </w:rPr>
        <w:t xml:space="preserve"> </w:t>
      </w:r>
      <w:r w:rsidRPr="0052437D">
        <w:rPr>
          <w:rFonts w:eastAsia="Arial" w:cs="Arial"/>
          <w:i/>
          <w:sz w:val="18"/>
          <w:szCs w:val="18"/>
        </w:rPr>
        <w:t>which</w:t>
      </w:r>
      <w:r w:rsidRPr="0052437D">
        <w:rPr>
          <w:rFonts w:eastAsia="Arial" w:cs="Arial"/>
          <w:i/>
          <w:spacing w:val="17"/>
          <w:sz w:val="18"/>
          <w:szCs w:val="18"/>
        </w:rPr>
        <w:t xml:space="preserve"> </w:t>
      </w:r>
      <w:r w:rsidRPr="0052437D">
        <w:rPr>
          <w:rFonts w:eastAsia="Arial" w:cs="Arial"/>
          <w:i/>
          <w:sz w:val="18"/>
          <w:szCs w:val="18"/>
        </w:rPr>
        <w:t>sits</w:t>
      </w:r>
      <w:r w:rsidRPr="0052437D">
        <w:rPr>
          <w:rFonts w:eastAsia="Arial" w:cs="Arial"/>
          <w:i/>
          <w:spacing w:val="10"/>
          <w:sz w:val="18"/>
          <w:szCs w:val="18"/>
        </w:rPr>
        <w:t xml:space="preserve"> </w:t>
      </w:r>
      <w:r w:rsidRPr="0052437D">
        <w:rPr>
          <w:rFonts w:eastAsia="Arial" w:cs="Arial"/>
          <w:i/>
          <w:sz w:val="18"/>
          <w:szCs w:val="18"/>
        </w:rPr>
        <w:t>for approximately</w:t>
      </w:r>
      <w:r w:rsidRPr="0052437D">
        <w:rPr>
          <w:rFonts w:eastAsia="Arial" w:cs="Arial"/>
          <w:i/>
          <w:spacing w:val="38"/>
          <w:sz w:val="18"/>
          <w:szCs w:val="18"/>
        </w:rPr>
        <w:t xml:space="preserve"> </w:t>
      </w:r>
      <w:r w:rsidRPr="0052437D">
        <w:rPr>
          <w:rFonts w:eastAsia="Arial" w:cs="Arial"/>
          <w:i/>
          <w:sz w:val="18"/>
          <w:szCs w:val="18"/>
        </w:rPr>
        <w:t>20 weeks</w:t>
      </w:r>
      <w:r w:rsidRPr="0052437D">
        <w:rPr>
          <w:rFonts w:eastAsia="Arial" w:cs="Arial"/>
          <w:i/>
          <w:spacing w:val="27"/>
          <w:sz w:val="18"/>
          <w:szCs w:val="18"/>
        </w:rPr>
        <w:t xml:space="preserve"> </w:t>
      </w:r>
      <w:r w:rsidRPr="0052437D">
        <w:rPr>
          <w:rFonts w:eastAsia="Arial" w:cs="Arial"/>
          <w:i/>
          <w:sz w:val="18"/>
          <w:szCs w:val="18"/>
        </w:rPr>
        <w:t>a</w:t>
      </w:r>
      <w:r w:rsidRPr="0052437D">
        <w:rPr>
          <w:rFonts w:eastAsia="Arial" w:cs="Arial"/>
          <w:i/>
          <w:spacing w:val="23"/>
          <w:sz w:val="18"/>
          <w:szCs w:val="18"/>
        </w:rPr>
        <w:t xml:space="preserve"> </w:t>
      </w:r>
      <w:r w:rsidRPr="0052437D">
        <w:rPr>
          <w:rFonts w:eastAsia="Arial" w:cs="Arial"/>
          <w:i/>
          <w:sz w:val="18"/>
          <w:szCs w:val="18"/>
        </w:rPr>
        <w:t>year</w:t>
      </w:r>
      <w:r w:rsidRPr="0052437D">
        <w:rPr>
          <w:rFonts w:eastAsia="Arial" w:cs="Arial"/>
          <w:i/>
          <w:spacing w:val="32"/>
          <w:sz w:val="18"/>
          <w:szCs w:val="18"/>
        </w:rPr>
        <w:t xml:space="preserve"> </w:t>
      </w:r>
      <w:r w:rsidRPr="0052437D">
        <w:rPr>
          <w:rFonts w:eastAsia="Arial" w:cs="Arial"/>
          <w:i/>
          <w:sz w:val="18"/>
          <w:szCs w:val="18"/>
        </w:rPr>
        <w:t>in</w:t>
      </w:r>
      <w:r w:rsidRPr="0052437D">
        <w:rPr>
          <w:rFonts w:eastAsia="Arial" w:cs="Arial"/>
          <w:i/>
          <w:spacing w:val="25"/>
          <w:sz w:val="18"/>
          <w:szCs w:val="18"/>
        </w:rPr>
        <w:t xml:space="preserve"> </w:t>
      </w:r>
      <w:r w:rsidRPr="0052437D">
        <w:rPr>
          <w:rFonts w:eastAsia="Arial" w:cs="Arial"/>
          <w:i/>
          <w:sz w:val="18"/>
          <w:szCs w:val="18"/>
        </w:rPr>
        <w:t>what</w:t>
      </w:r>
      <w:r w:rsidRPr="0052437D">
        <w:rPr>
          <w:rFonts w:eastAsia="Arial" w:cs="Arial"/>
          <w:i/>
          <w:spacing w:val="57"/>
          <w:sz w:val="18"/>
          <w:szCs w:val="18"/>
        </w:rPr>
        <w:t xml:space="preserve"> </w:t>
      </w:r>
      <w:r w:rsidRPr="0052437D">
        <w:rPr>
          <w:rFonts w:eastAsia="Arial" w:cs="Arial"/>
          <w:i/>
          <w:sz w:val="18"/>
          <w:szCs w:val="18"/>
        </w:rPr>
        <w:t>is</w:t>
      </w:r>
      <w:r w:rsidRPr="0052437D">
        <w:rPr>
          <w:rFonts w:eastAsia="Arial" w:cs="Arial"/>
          <w:i/>
          <w:spacing w:val="16"/>
          <w:sz w:val="18"/>
          <w:szCs w:val="18"/>
        </w:rPr>
        <w:t xml:space="preserve"> </w:t>
      </w:r>
      <w:r w:rsidRPr="0052437D">
        <w:rPr>
          <w:rFonts w:eastAsia="Arial" w:cs="Arial"/>
          <w:i/>
          <w:sz w:val="18"/>
          <w:szCs w:val="18"/>
        </w:rPr>
        <w:t>to</w:t>
      </w:r>
      <w:r w:rsidRPr="0052437D">
        <w:rPr>
          <w:rFonts w:eastAsia="Arial" w:cs="Arial"/>
          <w:i/>
          <w:spacing w:val="38"/>
          <w:sz w:val="18"/>
          <w:szCs w:val="18"/>
        </w:rPr>
        <w:t xml:space="preserve"> </w:t>
      </w:r>
      <w:r w:rsidRPr="0052437D">
        <w:rPr>
          <w:rFonts w:eastAsia="Arial" w:cs="Arial"/>
          <w:i/>
          <w:sz w:val="18"/>
          <w:szCs w:val="18"/>
        </w:rPr>
        <w:t>most</w:t>
      </w:r>
      <w:r w:rsidRPr="0052437D">
        <w:rPr>
          <w:rFonts w:eastAsia="Arial" w:cs="Arial"/>
          <w:i/>
          <w:spacing w:val="53"/>
          <w:sz w:val="18"/>
          <w:szCs w:val="18"/>
        </w:rPr>
        <w:t xml:space="preserve"> </w:t>
      </w:r>
      <w:r w:rsidRPr="0052437D">
        <w:rPr>
          <w:rFonts w:eastAsia="Arial" w:cs="Arial"/>
          <w:i/>
          <w:sz w:val="18"/>
          <w:szCs w:val="18"/>
        </w:rPr>
        <w:t>parliamentarians</w:t>
      </w:r>
      <w:r w:rsidRPr="0052437D">
        <w:rPr>
          <w:rFonts w:eastAsia="Arial" w:cs="Arial"/>
          <w:i/>
          <w:spacing w:val="-10"/>
          <w:sz w:val="18"/>
          <w:szCs w:val="18"/>
        </w:rPr>
        <w:t xml:space="preserve"> </w:t>
      </w:r>
      <w:r w:rsidRPr="0052437D">
        <w:rPr>
          <w:rFonts w:eastAsia="Arial" w:cs="Arial"/>
          <w:i/>
          <w:sz w:val="18"/>
          <w:szCs w:val="18"/>
        </w:rPr>
        <w:t>a</w:t>
      </w:r>
      <w:r w:rsidRPr="0052437D">
        <w:rPr>
          <w:rFonts w:eastAsia="Arial" w:cs="Arial"/>
          <w:i/>
          <w:spacing w:val="12"/>
          <w:sz w:val="18"/>
          <w:szCs w:val="18"/>
        </w:rPr>
        <w:t xml:space="preserve"> </w:t>
      </w:r>
      <w:r w:rsidRPr="0052437D">
        <w:rPr>
          <w:rFonts w:eastAsia="Arial" w:cs="Arial"/>
          <w:i/>
          <w:sz w:val="18"/>
          <w:szCs w:val="18"/>
        </w:rPr>
        <w:t>city</w:t>
      </w:r>
      <w:r w:rsidRPr="0052437D">
        <w:rPr>
          <w:rFonts w:eastAsia="Arial" w:cs="Arial"/>
          <w:i/>
          <w:spacing w:val="49"/>
          <w:sz w:val="18"/>
          <w:szCs w:val="18"/>
        </w:rPr>
        <w:t xml:space="preserve"> </w:t>
      </w:r>
      <w:r w:rsidRPr="0052437D">
        <w:rPr>
          <w:rFonts w:eastAsia="Arial" w:cs="Arial"/>
          <w:i/>
          <w:sz w:val="18"/>
          <w:szCs w:val="18"/>
        </w:rPr>
        <w:t>a</w:t>
      </w:r>
      <w:r w:rsidRPr="0052437D">
        <w:rPr>
          <w:rFonts w:eastAsia="Arial" w:cs="Arial"/>
          <w:i/>
          <w:spacing w:val="17"/>
          <w:sz w:val="18"/>
          <w:szCs w:val="18"/>
        </w:rPr>
        <w:t xml:space="preserve"> </w:t>
      </w:r>
      <w:r w:rsidRPr="0052437D">
        <w:rPr>
          <w:rFonts w:eastAsia="Arial" w:cs="Arial"/>
          <w:i/>
          <w:sz w:val="18"/>
          <w:szCs w:val="18"/>
        </w:rPr>
        <w:t>long</w:t>
      </w:r>
      <w:r w:rsidRPr="0052437D">
        <w:rPr>
          <w:rFonts w:eastAsia="Arial" w:cs="Arial"/>
          <w:i/>
          <w:spacing w:val="37"/>
          <w:sz w:val="18"/>
          <w:szCs w:val="18"/>
        </w:rPr>
        <w:t xml:space="preserve"> </w:t>
      </w:r>
      <w:r w:rsidRPr="0052437D">
        <w:rPr>
          <w:rFonts w:eastAsia="Arial" w:cs="Arial"/>
          <w:i/>
          <w:sz w:val="18"/>
          <w:szCs w:val="18"/>
        </w:rPr>
        <w:t>way</w:t>
      </w:r>
      <w:r w:rsidRPr="0052437D">
        <w:rPr>
          <w:rFonts w:eastAsia="Arial" w:cs="Arial"/>
          <w:i/>
          <w:spacing w:val="29"/>
          <w:sz w:val="18"/>
          <w:szCs w:val="18"/>
        </w:rPr>
        <w:t xml:space="preserve"> </w:t>
      </w:r>
      <w:r w:rsidRPr="0052437D">
        <w:rPr>
          <w:rFonts w:eastAsia="Arial" w:cs="Arial"/>
          <w:i/>
          <w:sz w:val="18"/>
          <w:szCs w:val="18"/>
        </w:rPr>
        <w:t xml:space="preserve">from home. </w:t>
      </w:r>
      <w:r w:rsidRPr="0052437D">
        <w:rPr>
          <w:rFonts w:eastAsia="Arial" w:cs="Arial"/>
          <w:i/>
          <w:spacing w:val="10"/>
          <w:sz w:val="18"/>
          <w:szCs w:val="18"/>
        </w:rPr>
        <w:t xml:space="preserve"> </w:t>
      </w:r>
      <w:r w:rsidRPr="0052437D">
        <w:rPr>
          <w:rFonts w:eastAsia="Arial" w:cs="Arial"/>
          <w:i/>
          <w:sz w:val="18"/>
          <w:szCs w:val="18"/>
        </w:rPr>
        <w:t>In</w:t>
      </w:r>
      <w:r w:rsidRPr="0052437D">
        <w:rPr>
          <w:rFonts w:eastAsia="Arial" w:cs="Arial"/>
          <w:i/>
          <w:spacing w:val="21"/>
          <w:sz w:val="18"/>
          <w:szCs w:val="18"/>
        </w:rPr>
        <w:t xml:space="preserve"> </w:t>
      </w:r>
      <w:r w:rsidRPr="0052437D">
        <w:rPr>
          <w:rFonts w:eastAsia="Arial" w:cs="Arial"/>
          <w:i/>
          <w:sz w:val="18"/>
          <w:szCs w:val="18"/>
        </w:rPr>
        <w:t>this role</w:t>
      </w:r>
      <w:r w:rsidRPr="0052437D">
        <w:rPr>
          <w:rFonts w:eastAsia="Arial" w:cs="Arial"/>
          <w:i/>
          <w:spacing w:val="1"/>
          <w:sz w:val="18"/>
          <w:szCs w:val="18"/>
        </w:rPr>
        <w:t xml:space="preserve"> </w:t>
      </w:r>
      <w:r w:rsidRPr="0052437D">
        <w:rPr>
          <w:rFonts w:eastAsia="Arial" w:cs="Arial"/>
          <w:i/>
          <w:sz w:val="18"/>
          <w:szCs w:val="18"/>
        </w:rPr>
        <w:t>they have</w:t>
      </w:r>
      <w:r w:rsidRPr="0052437D">
        <w:rPr>
          <w:rFonts w:eastAsia="Arial" w:cs="Arial"/>
          <w:i/>
          <w:spacing w:val="12"/>
          <w:sz w:val="18"/>
          <w:szCs w:val="18"/>
        </w:rPr>
        <w:t xml:space="preserve"> </w:t>
      </w:r>
      <w:r w:rsidRPr="0052437D">
        <w:rPr>
          <w:rFonts w:eastAsia="Arial" w:cs="Arial"/>
          <w:i/>
          <w:sz w:val="18"/>
          <w:szCs w:val="18"/>
        </w:rPr>
        <w:t>to process large amounts of</w:t>
      </w:r>
      <w:r w:rsidRPr="0052437D">
        <w:rPr>
          <w:rFonts w:eastAsia="Arial" w:cs="Arial"/>
          <w:i/>
          <w:spacing w:val="57"/>
          <w:sz w:val="18"/>
          <w:szCs w:val="18"/>
        </w:rPr>
        <w:t xml:space="preserve"> </w:t>
      </w:r>
      <w:r w:rsidRPr="0052437D">
        <w:rPr>
          <w:rFonts w:eastAsia="Arial" w:cs="Arial"/>
          <w:i/>
          <w:sz w:val="18"/>
          <w:szCs w:val="18"/>
        </w:rPr>
        <w:t>information over</w:t>
      </w:r>
      <w:r w:rsidRPr="0052437D">
        <w:rPr>
          <w:rFonts w:eastAsia="Arial" w:cs="Arial"/>
          <w:i/>
          <w:spacing w:val="34"/>
          <w:sz w:val="18"/>
          <w:szCs w:val="18"/>
        </w:rPr>
        <w:t xml:space="preserve"> </w:t>
      </w:r>
      <w:r w:rsidRPr="0052437D">
        <w:rPr>
          <w:rFonts w:eastAsia="Arial" w:cs="Arial"/>
          <w:i/>
          <w:sz w:val="18"/>
          <w:szCs w:val="18"/>
        </w:rPr>
        <w:t>long</w:t>
      </w:r>
      <w:r w:rsidRPr="0052437D">
        <w:rPr>
          <w:rFonts w:eastAsia="Arial" w:cs="Arial"/>
          <w:i/>
          <w:spacing w:val="25"/>
          <w:sz w:val="18"/>
          <w:szCs w:val="18"/>
        </w:rPr>
        <w:t xml:space="preserve"> </w:t>
      </w:r>
      <w:r w:rsidRPr="0052437D">
        <w:rPr>
          <w:rFonts w:eastAsia="Arial" w:cs="Arial"/>
          <w:i/>
          <w:sz w:val="18"/>
          <w:szCs w:val="18"/>
        </w:rPr>
        <w:t>working</w:t>
      </w:r>
      <w:r w:rsidRPr="0052437D">
        <w:rPr>
          <w:rFonts w:eastAsia="Arial" w:cs="Arial"/>
          <w:i/>
          <w:spacing w:val="53"/>
          <w:sz w:val="18"/>
          <w:szCs w:val="18"/>
        </w:rPr>
        <w:t xml:space="preserve"> </w:t>
      </w:r>
      <w:r w:rsidRPr="0052437D">
        <w:rPr>
          <w:rFonts w:eastAsia="Arial" w:cs="Arial"/>
          <w:i/>
          <w:sz w:val="18"/>
          <w:szCs w:val="18"/>
        </w:rPr>
        <w:t>days</w:t>
      </w:r>
      <w:r w:rsidRPr="0052437D">
        <w:rPr>
          <w:rFonts w:eastAsia="Arial" w:cs="Arial"/>
          <w:i/>
          <w:spacing w:val="17"/>
          <w:sz w:val="18"/>
          <w:szCs w:val="18"/>
        </w:rPr>
        <w:t xml:space="preserve"> </w:t>
      </w:r>
      <w:r w:rsidRPr="0052437D">
        <w:rPr>
          <w:rFonts w:eastAsia="Arial" w:cs="Arial"/>
          <w:i/>
          <w:sz w:val="18"/>
          <w:szCs w:val="18"/>
        </w:rPr>
        <w:t>and</w:t>
      </w:r>
      <w:r w:rsidRPr="0052437D">
        <w:rPr>
          <w:rFonts w:eastAsia="Arial" w:cs="Arial"/>
          <w:i/>
          <w:spacing w:val="27"/>
          <w:sz w:val="18"/>
          <w:szCs w:val="18"/>
        </w:rPr>
        <w:t xml:space="preserve"> </w:t>
      </w:r>
      <w:r w:rsidRPr="0052437D">
        <w:rPr>
          <w:rFonts w:eastAsia="Arial" w:cs="Arial"/>
          <w:i/>
          <w:sz w:val="18"/>
          <w:szCs w:val="18"/>
        </w:rPr>
        <w:t>make</w:t>
      </w:r>
      <w:r w:rsidRPr="0052437D">
        <w:rPr>
          <w:rFonts w:eastAsia="Arial" w:cs="Arial"/>
          <w:i/>
          <w:spacing w:val="35"/>
          <w:sz w:val="18"/>
          <w:szCs w:val="18"/>
        </w:rPr>
        <w:t xml:space="preserve"> </w:t>
      </w:r>
      <w:r w:rsidRPr="0052437D">
        <w:rPr>
          <w:rFonts w:eastAsia="Arial" w:cs="Arial"/>
          <w:i/>
          <w:sz w:val="18"/>
          <w:szCs w:val="18"/>
        </w:rPr>
        <w:t>decisions</w:t>
      </w:r>
      <w:r w:rsidRPr="0052437D">
        <w:rPr>
          <w:rFonts w:eastAsia="Arial" w:cs="Arial"/>
          <w:i/>
          <w:spacing w:val="17"/>
          <w:sz w:val="18"/>
          <w:szCs w:val="18"/>
        </w:rPr>
        <w:t xml:space="preserve"> </w:t>
      </w:r>
      <w:r w:rsidRPr="0052437D">
        <w:rPr>
          <w:rFonts w:eastAsia="Arial" w:cs="Arial"/>
          <w:i/>
          <w:sz w:val="18"/>
          <w:szCs w:val="18"/>
        </w:rPr>
        <w:t>on</w:t>
      </w:r>
      <w:r w:rsidRPr="0052437D">
        <w:rPr>
          <w:rFonts w:eastAsia="Arial" w:cs="Arial"/>
          <w:i/>
          <w:spacing w:val="9"/>
          <w:sz w:val="18"/>
          <w:szCs w:val="18"/>
        </w:rPr>
        <w:t xml:space="preserve"> </w:t>
      </w:r>
      <w:r w:rsidRPr="0052437D">
        <w:rPr>
          <w:rFonts w:eastAsia="Arial" w:cs="Arial"/>
          <w:i/>
          <w:sz w:val="18"/>
          <w:szCs w:val="18"/>
        </w:rPr>
        <w:t>a variety</w:t>
      </w:r>
      <w:r w:rsidRPr="0052437D">
        <w:rPr>
          <w:rFonts w:eastAsia="Arial" w:cs="Arial"/>
          <w:i/>
          <w:spacing w:val="58"/>
          <w:sz w:val="18"/>
          <w:szCs w:val="18"/>
        </w:rPr>
        <w:t xml:space="preserve"> </w:t>
      </w:r>
      <w:r w:rsidRPr="0052437D">
        <w:rPr>
          <w:rFonts w:eastAsia="Arial" w:cs="Arial"/>
          <w:i/>
          <w:sz w:val="18"/>
          <w:szCs w:val="18"/>
        </w:rPr>
        <w:t>of</w:t>
      </w:r>
      <w:r w:rsidRPr="0052437D">
        <w:rPr>
          <w:rFonts w:eastAsia="Arial" w:cs="Arial"/>
          <w:i/>
          <w:spacing w:val="12"/>
          <w:sz w:val="18"/>
          <w:szCs w:val="18"/>
        </w:rPr>
        <w:t xml:space="preserve"> </w:t>
      </w:r>
      <w:r w:rsidRPr="0052437D">
        <w:rPr>
          <w:rFonts w:eastAsia="Arial" w:cs="Arial"/>
          <w:i/>
          <w:sz w:val="18"/>
          <w:szCs w:val="18"/>
        </w:rPr>
        <w:t>issues.</w:t>
      </w:r>
      <w:r w:rsidRPr="0052437D">
        <w:rPr>
          <w:rFonts w:eastAsia="Arial" w:cs="Arial"/>
          <w:i/>
          <w:spacing w:val="9"/>
          <w:sz w:val="18"/>
          <w:szCs w:val="18"/>
        </w:rPr>
        <w:t xml:space="preserve"> </w:t>
      </w:r>
      <w:r w:rsidRPr="0052437D">
        <w:rPr>
          <w:rFonts w:eastAsia="Arial" w:cs="Arial"/>
          <w:i/>
          <w:sz w:val="18"/>
          <w:szCs w:val="18"/>
        </w:rPr>
        <w:t>For instance,</w:t>
      </w:r>
      <w:r w:rsidRPr="0052437D">
        <w:rPr>
          <w:rFonts w:eastAsia="Arial" w:cs="Arial"/>
          <w:i/>
          <w:spacing w:val="50"/>
          <w:sz w:val="18"/>
          <w:szCs w:val="18"/>
        </w:rPr>
        <w:t xml:space="preserve"> </w:t>
      </w:r>
      <w:r w:rsidRPr="0052437D">
        <w:rPr>
          <w:rFonts w:eastAsia="Arial" w:cs="Arial"/>
          <w:i/>
          <w:sz w:val="18"/>
          <w:szCs w:val="18"/>
        </w:rPr>
        <w:t>Parliament passed</w:t>
      </w:r>
      <w:r w:rsidRPr="0052437D">
        <w:rPr>
          <w:rFonts w:eastAsia="Arial" w:cs="Arial"/>
          <w:i/>
          <w:spacing w:val="29"/>
          <w:sz w:val="18"/>
          <w:szCs w:val="18"/>
        </w:rPr>
        <w:t xml:space="preserve"> </w:t>
      </w:r>
      <w:r w:rsidRPr="0052437D">
        <w:rPr>
          <w:rFonts w:eastAsia="Arial" w:cs="Arial"/>
          <w:i/>
          <w:sz w:val="18"/>
          <w:szCs w:val="18"/>
        </w:rPr>
        <w:t>159</w:t>
      </w:r>
      <w:r w:rsidRPr="0052437D">
        <w:rPr>
          <w:rFonts w:eastAsia="Arial" w:cs="Arial"/>
          <w:i/>
          <w:spacing w:val="18"/>
          <w:sz w:val="18"/>
          <w:szCs w:val="18"/>
        </w:rPr>
        <w:t xml:space="preserve"> </w:t>
      </w:r>
      <w:r w:rsidRPr="0052437D">
        <w:rPr>
          <w:rFonts w:eastAsia="Arial" w:cs="Arial"/>
          <w:i/>
          <w:sz w:val="18"/>
          <w:szCs w:val="18"/>
        </w:rPr>
        <w:t>Acts</w:t>
      </w:r>
      <w:r w:rsidRPr="0052437D">
        <w:rPr>
          <w:rFonts w:eastAsia="Arial" w:cs="Arial"/>
          <w:i/>
          <w:spacing w:val="32"/>
          <w:sz w:val="18"/>
          <w:szCs w:val="18"/>
        </w:rPr>
        <w:t xml:space="preserve"> </w:t>
      </w:r>
      <w:r w:rsidRPr="0052437D">
        <w:rPr>
          <w:rFonts w:eastAsia="Arial" w:cs="Arial"/>
          <w:i/>
          <w:sz w:val="18"/>
          <w:szCs w:val="18"/>
        </w:rPr>
        <w:t>in</w:t>
      </w:r>
      <w:r w:rsidRPr="0052437D">
        <w:rPr>
          <w:rFonts w:eastAsia="Arial" w:cs="Arial"/>
          <w:i/>
          <w:spacing w:val="26"/>
          <w:sz w:val="18"/>
          <w:szCs w:val="18"/>
        </w:rPr>
        <w:t xml:space="preserve"> </w:t>
      </w:r>
      <w:r w:rsidRPr="0052437D">
        <w:rPr>
          <w:rFonts w:eastAsia="Arial" w:cs="Arial"/>
          <w:i/>
          <w:sz w:val="18"/>
          <w:szCs w:val="18"/>
        </w:rPr>
        <w:t>2008,</w:t>
      </w:r>
      <w:r w:rsidRPr="0052437D">
        <w:rPr>
          <w:rFonts w:eastAsia="Arial" w:cs="Arial"/>
          <w:i/>
          <w:spacing w:val="51"/>
          <w:sz w:val="18"/>
          <w:szCs w:val="18"/>
        </w:rPr>
        <w:t xml:space="preserve"> </w:t>
      </w:r>
      <w:r w:rsidRPr="0052437D">
        <w:rPr>
          <w:rFonts w:eastAsia="Arial" w:cs="Arial"/>
          <w:i/>
          <w:sz w:val="18"/>
          <w:szCs w:val="18"/>
        </w:rPr>
        <w:t>136</w:t>
      </w:r>
      <w:r w:rsidRPr="0052437D">
        <w:rPr>
          <w:rFonts w:eastAsia="Arial" w:cs="Arial"/>
          <w:i/>
          <w:spacing w:val="6"/>
          <w:sz w:val="18"/>
          <w:szCs w:val="18"/>
        </w:rPr>
        <w:t xml:space="preserve"> </w:t>
      </w:r>
      <w:r w:rsidRPr="0052437D">
        <w:rPr>
          <w:rFonts w:eastAsia="Arial" w:cs="Arial"/>
          <w:i/>
          <w:sz w:val="18"/>
          <w:szCs w:val="18"/>
        </w:rPr>
        <w:t>in</w:t>
      </w:r>
      <w:r w:rsidRPr="0052437D">
        <w:rPr>
          <w:rFonts w:eastAsia="Arial" w:cs="Arial"/>
          <w:i/>
          <w:spacing w:val="33"/>
          <w:sz w:val="18"/>
          <w:szCs w:val="18"/>
        </w:rPr>
        <w:t xml:space="preserve"> </w:t>
      </w:r>
      <w:r w:rsidRPr="0052437D">
        <w:rPr>
          <w:rFonts w:eastAsia="Arial" w:cs="Arial"/>
          <w:i/>
          <w:sz w:val="18"/>
          <w:szCs w:val="18"/>
        </w:rPr>
        <w:t>2009</w:t>
      </w:r>
      <w:r w:rsidRPr="0052437D">
        <w:rPr>
          <w:rFonts w:eastAsia="Arial" w:cs="Arial"/>
          <w:i/>
          <w:spacing w:val="12"/>
          <w:sz w:val="18"/>
          <w:szCs w:val="18"/>
        </w:rPr>
        <w:t xml:space="preserve"> </w:t>
      </w:r>
      <w:r w:rsidRPr="0052437D">
        <w:rPr>
          <w:rFonts w:eastAsia="Arial" w:cs="Arial"/>
          <w:i/>
          <w:sz w:val="18"/>
          <w:szCs w:val="18"/>
        </w:rPr>
        <w:t>and</w:t>
      </w:r>
      <w:r w:rsidRPr="0052437D">
        <w:rPr>
          <w:rFonts w:eastAsia="Arial" w:cs="Arial"/>
          <w:i/>
          <w:spacing w:val="28"/>
          <w:sz w:val="18"/>
          <w:szCs w:val="18"/>
        </w:rPr>
        <w:t xml:space="preserve"> </w:t>
      </w:r>
      <w:r w:rsidRPr="0052437D">
        <w:rPr>
          <w:rFonts w:eastAsia="Arial" w:cs="Arial"/>
          <w:i/>
          <w:sz w:val="18"/>
          <w:szCs w:val="18"/>
        </w:rPr>
        <w:t>150</w:t>
      </w:r>
      <w:r w:rsidRPr="0052437D">
        <w:rPr>
          <w:rFonts w:eastAsia="Arial" w:cs="Arial"/>
          <w:i/>
          <w:spacing w:val="14"/>
          <w:sz w:val="18"/>
          <w:szCs w:val="18"/>
        </w:rPr>
        <w:t xml:space="preserve"> </w:t>
      </w:r>
      <w:r w:rsidRPr="0052437D">
        <w:rPr>
          <w:rFonts w:eastAsia="Arial" w:cs="Arial"/>
          <w:i/>
          <w:sz w:val="18"/>
          <w:szCs w:val="18"/>
        </w:rPr>
        <w:t xml:space="preserve">in 2010. </w:t>
      </w:r>
      <w:r w:rsidRPr="0052437D">
        <w:rPr>
          <w:rFonts w:eastAsia="Arial" w:cs="Arial"/>
          <w:i/>
          <w:spacing w:val="42"/>
          <w:sz w:val="18"/>
          <w:szCs w:val="18"/>
        </w:rPr>
        <w:t xml:space="preserve"> </w:t>
      </w:r>
      <w:r w:rsidRPr="0052437D">
        <w:rPr>
          <w:rFonts w:eastAsia="Arial" w:cs="Arial"/>
          <w:i/>
          <w:sz w:val="18"/>
          <w:szCs w:val="18"/>
        </w:rPr>
        <w:t>A</w:t>
      </w:r>
      <w:r w:rsidRPr="0052437D">
        <w:rPr>
          <w:rFonts w:eastAsia="Arial" w:cs="Arial"/>
          <w:i/>
          <w:spacing w:val="31"/>
          <w:sz w:val="18"/>
          <w:szCs w:val="18"/>
        </w:rPr>
        <w:t xml:space="preserve"> </w:t>
      </w:r>
      <w:r w:rsidRPr="0052437D">
        <w:rPr>
          <w:rFonts w:eastAsia="Arial" w:cs="Arial"/>
          <w:i/>
          <w:sz w:val="18"/>
          <w:szCs w:val="18"/>
        </w:rPr>
        <w:t>member</w:t>
      </w:r>
      <w:r w:rsidRPr="0052437D">
        <w:rPr>
          <w:rFonts w:eastAsia="Arial" w:cs="Arial"/>
          <w:i/>
          <w:spacing w:val="42"/>
          <w:sz w:val="18"/>
          <w:szCs w:val="18"/>
        </w:rPr>
        <w:t xml:space="preserve"> </w:t>
      </w:r>
      <w:r w:rsidRPr="0052437D">
        <w:rPr>
          <w:rFonts w:eastAsia="Arial" w:cs="Arial"/>
          <w:i/>
          <w:sz w:val="18"/>
          <w:szCs w:val="18"/>
        </w:rPr>
        <w:t>of</w:t>
      </w:r>
      <w:r w:rsidRPr="0052437D">
        <w:rPr>
          <w:rFonts w:eastAsia="Arial" w:cs="Arial"/>
          <w:i/>
          <w:spacing w:val="2"/>
          <w:sz w:val="18"/>
          <w:szCs w:val="18"/>
        </w:rPr>
        <w:t xml:space="preserve"> </w:t>
      </w:r>
      <w:r w:rsidRPr="0052437D">
        <w:rPr>
          <w:rFonts w:eastAsia="Arial" w:cs="Arial"/>
          <w:i/>
          <w:sz w:val="18"/>
          <w:szCs w:val="18"/>
        </w:rPr>
        <w:t>the</w:t>
      </w:r>
      <w:r w:rsidRPr="0052437D">
        <w:rPr>
          <w:rFonts w:eastAsia="Arial" w:cs="Arial"/>
          <w:i/>
          <w:spacing w:val="19"/>
          <w:sz w:val="18"/>
          <w:szCs w:val="18"/>
        </w:rPr>
        <w:t xml:space="preserve"> </w:t>
      </w:r>
      <w:r w:rsidRPr="0052437D">
        <w:rPr>
          <w:rFonts w:eastAsia="Arial" w:cs="Arial"/>
          <w:i/>
          <w:sz w:val="18"/>
          <w:szCs w:val="18"/>
        </w:rPr>
        <w:t>Parliament</w:t>
      </w:r>
      <w:r w:rsidRPr="0052437D">
        <w:rPr>
          <w:rFonts w:eastAsia="Arial" w:cs="Arial"/>
          <w:i/>
          <w:spacing w:val="31"/>
          <w:sz w:val="18"/>
          <w:szCs w:val="18"/>
        </w:rPr>
        <w:t xml:space="preserve"> </w:t>
      </w:r>
      <w:r w:rsidRPr="0052437D">
        <w:rPr>
          <w:rFonts w:eastAsia="Arial" w:cs="Arial"/>
          <w:i/>
          <w:sz w:val="18"/>
          <w:szCs w:val="18"/>
        </w:rPr>
        <w:t>for</w:t>
      </w:r>
      <w:r w:rsidRPr="0052437D">
        <w:rPr>
          <w:rFonts w:eastAsia="Arial" w:cs="Arial"/>
          <w:i/>
          <w:spacing w:val="16"/>
          <w:sz w:val="18"/>
          <w:szCs w:val="18"/>
        </w:rPr>
        <w:t xml:space="preserve"> </w:t>
      </w:r>
      <w:r w:rsidRPr="0052437D">
        <w:rPr>
          <w:rFonts w:eastAsia="Arial" w:cs="Arial"/>
          <w:i/>
          <w:sz w:val="18"/>
          <w:szCs w:val="18"/>
        </w:rPr>
        <w:t>those</w:t>
      </w:r>
      <w:r w:rsidRPr="0052437D">
        <w:rPr>
          <w:rFonts w:eastAsia="Arial" w:cs="Arial"/>
          <w:i/>
          <w:spacing w:val="11"/>
          <w:sz w:val="18"/>
          <w:szCs w:val="18"/>
        </w:rPr>
        <w:t xml:space="preserve"> </w:t>
      </w:r>
      <w:r w:rsidRPr="0052437D">
        <w:rPr>
          <w:rFonts w:eastAsia="Arial" w:cs="Arial"/>
          <w:i/>
          <w:sz w:val="18"/>
          <w:szCs w:val="18"/>
        </w:rPr>
        <w:t>three</w:t>
      </w:r>
      <w:r w:rsidRPr="0052437D">
        <w:rPr>
          <w:rFonts w:eastAsia="Arial" w:cs="Arial"/>
          <w:i/>
          <w:spacing w:val="26"/>
          <w:sz w:val="18"/>
          <w:szCs w:val="18"/>
        </w:rPr>
        <w:t xml:space="preserve"> </w:t>
      </w:r>
      <w:r w:rsidRPr="0052437D">
        <w:rPr>
          <w:rFonts w:eastAsia="Arial" w:cs="Arial"/>
          <w:i/>
          <w:sz w:val="18"/>
          <w:szCs w:val="18"/>
        </w:rPr>
        <w:t>years</w:t>
      </w:r>
      <w:r w:rsidRPr="0052437D">
        <w:rPr>
          <w:rFonts w:eastAsia="Arial" w:cs="Arial"/>
          <w:i/>
          <w:spacing w:val="6"/>
          <w:sz w:val="18"/>
          <w:szCs w:val="18"/>
        </w:rPr>
        <w:t xml:space="preserve"> </w:t>
      </w:r>
      <w:r w:rsidRPr="0052437D">
        <w:rPr>
          <w:rFonts w:eastAsia="Arial" w:cs="Arial"/>
          <w:i/>
          <w:sz w:val="18"/>
          <w:szCs w:val="18"/>
        </w:rPr>
        <w:t>thus</w:t>
      </w:r>
      <w:r w:rsidRPr="0052437D">
        <w:rPr>
          <w:rFonts w:eastAsia="Arial" w:cs="Arial"/>
          <w:i/>
          <w:spacing w:val="21"/>
          <w:sz w:val="18"/>
          <w:szCs w:val="18"/>
        </w:rPr>
        <w:t xml:space="preserve"> </w:t>
      </w:r>
      <w:r w:rsidRPr="0052437D">
        <w:rPr>
          <w:rFonts w:eastAsia="Arial" w:cs="Arial"/>
          <w:i/>
          <w:sz w:val="18"/>
          <w:szCs w:val="18"/>
        </w:rPr>
        <w:t>had</w:t>
      </w:r>
      <w:r w:rsidRPr="0052437D">
        <w:rPr>
          <w:rFonts w:eastAsia="Arial" w:cs="Arial"/>
          <w:i/>
          <w:spacing w:val="53"/>
          <w:sz w:val="18"/>
          <w:szCs w:val="18"/>
        </w:rPr>
        <w:t xml:space="preserve"> </w:t>
      </w:r>
      <w:r w:rsidRPr="0052437D">
        <w:rPr>
          <w:rFonts w:eastAsia="Arial" w:cs="Arial"/>
          <w:i/>
          <w:sz w:val="18"/>
          <w:szCs w:val="18"/>
        </w:rPr>
        <w:t>to consider,</w:t>
      </w:r>
      <w:r w:rsidRPr="0052437D">
        <w:rPr>
          <w:rFonts w:eastAsia="Arial" w:cs="Arial"/>
          <w:i/>
          <w:spacing w:val="29"/>
          <w:sz w:val="18"/>
          <w:szCs w:val="18"/>
        </w:rPr>
        <w:t xml:space="preserve"> </w:t>
      </w:r>
      <w:r w:rsidRPr="0052437D">
        <w:rPr>
          <w:rFonts w:eastAsia="Arial" w:cs="Arial"/>
          <w:i/>
          <w:sz w:val="18"/>
          <w:szCs w:val="18"/>
        </w:rPr>
        <w:t>and vote</w:t>
      </w:r>
      <w:r w:rsidRPr="0052437D">
        <w:rPr>
          <w:rFonts w:eastAsia="Arial" w:cs="Arial"/>
          <w:i/>
          <w:spacing w:val="33"/>
          <w:sz w:val="18"/>
          <w:szCs w:val="18"/>
        </w:rPr>
        <w:t xml:space="preserve"> </w:t>
      </w:r>
      <w:r w:rsidRPr="0052437D">
        <w:rPr>
          <w:rFonts w:eastAsia="Arial" w:cs="Arial"/>
          <w:i/>
          <w:sz w:val="18"/>
          <w:szCs w:val="18"/>
        </w:rPr>
        <w:t>on,</w:t>
      </w:r>
      <w:r w:rsidRPr="0052437D">
        <w:rPr>
          <w:rFonts w:eastAsia="Arial" w:cs="Arial"/>
          <w:i/>
          <w:spacing w:val="11"/>
          <w:sz w:val="18"/>
          <w:szCs w:val="18"/>
        </w:rPr>
        <w:t xml:space="preserve"> </w:t>
      </w:r>
      <w:r w:rsidRPr="0052437D">
        <w:rPr>
          <w:rFonts w:eastAsia="Arial" w:cs="Arial"/>
          <w:sz w:val="18"/>
          <w:szCs w:val="18"/>
        </w:rPr>
        <w:t xml:space="preserve">some </w:t>
      </w:r>
      <w:r w:rsidRPr="0052437D">
        <w:rPr>
          <w:rFonts w:eastAsia="Arial" w:cs="Arial"/>
          <w:i/>
          <w:sz w:val="18"/>
          <w:szCs w:val="18"/>
        </w:rPr>
        <w:t>445</w:t>
      </w:r>
      <w:r w:rsidRPr="0052437D">
        <w:rPr>
          <w:rFonts w:eastAsia="Arial" w:cs="Arial"/>
          <w:i/>
          <w:spacing w:val="26"/>
          <w:sz w:val="18"/>
          <w:szCs w:val="18"/>
        </w:rPr>
        <w:t xml:space="preserve"> </w:t>
      </w:r>
      <w:r w:rsidRPr="0052437D">
        <w:rPr>
          <w:rFonts w:eastAsia="Arial" w:cs="Arial"/>
          <w:i/>
          <w:sz w:val="18"/>
          <w:szCs w:val="18"/>
        </w:rPr>
        <w:t>different</w:t>
      </w:r>
      <w:r w:rsidRPr="0052437D">
        <w:rPr>
          <w:rFonts w:eastAsia="Arial" w:cs="Arial"/>
          <w:i/>
          <w:spacing w:val="41"/>
          <w:sz w:val="18"/>
          <w:szCs w:val="18"/>
        </w:rPr>
        <w:t xml:space="preserve"> </w:t>
      </w:r>
      <w:r w:rsidRPr="0052437D">
        <w:rPr>
          <w:rFonts w:eastAsia="Arial" w:cs="Arial"/>
          <w:i/>
          <w:sz w:val="18"/>
          <w:szCs w:val="18"/>
        </w:rPr>
        <w:t>pieces</w:t>
      </w:r>
      <w:r w:rsidRPr="0052437D">
        <w:rPr>
          <w:rFonts w:eastAsia="Arial" w:cs="Arial"/>
          <w:i/>
          <w:spacing w:val="8"/>
          <w:sz w:val="18"/>
          <w:szCs w:val="18"/>
        </w:rPr>
        <w:t xml:space="preserve"> </w:t>
      </w:r>
      <w:r w:rsidRPr="0052437D">
        <w:rPr>
          <w:rFonts w:eastAsia="Arial" w:cs="Arial"/>
          <w:i/>
          <w:sz w:val="18"/>
          <w:szCs w:val="18"/>
        </w:rPr>
        <w:t>of</w:t>
      </w:r>
      <w:r w:rsidRPr="0052437D">
        <w:rPr>
          <w:rFonts w:eastAsia="Arial" w:cs="Arial"/>
          <w:i/>
          <w:spacing w:val="13"/>
          <w:sz w:val="18"/>
          <w:szCs w:val="18"/>
        </w:rPr>
        <w:t xml:space="preserve"> </w:t>
      </w:r>
      <w:r w:rsidRPr="0052437D">
        <w:rPr>
          <w:rFonts w:eastAsia="Arial" w:cs="Arial"/>
          <w:i/>
          <w:sz w:val="18"/>
          <w:szCs w:val="18"/>
        </w:rPr>
        <w:t>legislation on a wide</w:t>
      </w:r>
      <w:r w:rsidRPr="0052437D">
        <w:rPr>
          <w:rFonts w:eastAsia="Arial" w:cs="Arial"/>
          <w:i/>
          <w:spacing w:val="3"/>
          <w:sz w:val="18"/>
          <w:szCs w:val="18"/>
        </w:rPr>
        <w:t xml:space="preserve"> </w:t>
      </w:r>
      <w:r w:rsidRPr="0052437D">
        <w:rPr>
          <w:rFonts w:eastAsia="Arial" w:cs="Arial"/>
          <w:i/>
          <w:sz w:val="18"/>
          <w:szCs w:val="18"/>
        </w:rPr>
        <w:t>variety</w:t>
      </w:r>
      <w:r w:rsidRPr="0052437D">
        <w:rPr>
          <w:rFonts w:eastAsia="Arial" w:cs="Arial"/>
          <w:i/>
          <w:spacing w:val="26"/>
          <w:sz w:val="18"/>
          <w:szCs w:val="18"/>
        </w:rPr>
        <w:t xml:space="preserve"> </w:t>
      </w:r>
      <w:r w:rsidRPr="0052437D">
        <w:rPr>
          <w:rFonts w:eastAsia="Arial" w:cs="Arial"/>
          <w:i/>
          <w:sz w:val="18"/>
          <w:szCs w:val="18"/>
        </w:rPr>
        <w:t>of subjects,</w:t>
      </w:r>
      <w:r w:rsidRPr="0052437D">
        <w:rPr>
          <w:rFonts w:eastAsia="Arial" w:cs="Arial"/>
          <w:i/>
          <w:spacing w:val="58"/>
          <w:sz w:val="18"/>
          <w:szCs w:val="18"/>
        </w:rPr>
        <w:t xml:space="preserve"> </w:t>
      </w:r>
      <w:r w:rsidRPr="0052437D">
        <w:rPr>
          <w:rFonts w:eastAsia="Arial" w:cs="Arial"/>
          <w:i/>
          <w:sz w:val="18"/>
          <w:szCs w:val="18"/>
        </w:rPr>
        <w:t>not taking into account those that were withdrawn</w:t>
      </w:r>
      <w:r w:rsidRPr="0052437D">
        <w:rPr>
          <w:rFonts w:eastAsia="Arial" w:cs="Arial"/>
          <w:i/>
          <w:spacing w:val="21"/>
          <w:sz w:val="18"/>
          <w:szCs w:val="18"/>
        </w:rPr>
        <w:t xml:space="preserve"> </w:t>
      </w:r>
      <w:r w:rsidRPr="0052437D">
        <w:rPr>
          <w:rFonts w:eastAsia="Arial" w:cs="Arial"/>
          <w:i/>
          <w:sz w:val="18"/>
          <w:szCs w:val="18"/>
        </w:rPr>
        <w:t>or</w:t>
      </w:r>
      <w:r w:rsidRPr="0052437D">
        <w:rPr>
          <w:rFonts w:eastAsia="Arial" w:cs="Arial"/>
          <w:i/>
          <w:spacing w:val="40"/>
          <w:sz w:val="18"/>
          <w:szCs w:val="18"/>
        </w:rPr>
        <w:t xml:space="preserve"> </w:t>
      </w:r>
      <w:r w:rsidRPr="0052437D">
        <w:rPr>
          <w:rFonts w:eastAsia="Arial" w:cs="Arial"/>
          <w:i/>
          <w:sz w:val="18"/>
          <w:szCs w:val="18"/>
        </w:rPr>
        <w:t>did</w:t>
      </w:r>
      <w:r w:rsidRPr="0052437D">
        <w:rPr>
          <w:rFonts w:eastAsia="Arial" w:cs="Arial"/>
          <w:i/>
          <w:spacing w:val="45"/>
          <w:sz w:val="18"/>
          <w:szCs w:val="18"/>
        </w:rPr>
        <w:t xml:space="preserve"> </w:t>
      </w:r>
      <w:r w:rsidRPr="0052437D">
        <w:rPr>
          <w:rFonts w:eastAsia="Arial" w:cs="Arial"/>
          <w:i/>
          <w:sz w:val="18"/>
          <w:szCs w:val="18"/>
        </w:rPr>
        <w:t>not</w:t>
      </w:r>
      <w:r w:rsidRPr="0052437D">
        <w:rPr>
          <w:rFonts w:eastAsia="Arial" w:cs="Arial"/>
          <w:i/>
          <w:spacing w:val="58"/>
          <w:sz w:val="18"/>
          <w:szCs w:val="18"/>
        </w:rPr>
        <w:t xml:space="preserve"> </w:t>
      </w:r>
      <w:r w:rsidRPr="0052437D">
        <w:rPr>
          <w:rFonts w:eastAsia="Arial" w:cs="Arial"/>
          <w:i/>
          <w:sz w:val="18"/>
          <w:szCs w:val="18"/>
        </w:rPr>
        <w:t>pass</w:t>
      </w:r>
      <w:r w:rsidRPr="0052437D">
        <w:rPr>
          <w:rFonts w:eastAsia="Arial" w:cs="Arial"/>
          <w:i/>
          <w:spacing w:val="37"/>
          <w:sz w:val="18"/>
          <w:szCs w:val="18"/>
        </w:rPr>
        <w:t xml:space="preserve"> </w:t>
      </w:r>
      <w:r w:rsidRPr="0052437D">
        <w:rPr>
          <w:rFonts w:eastAsia="Arial" w:cs="Arial"/>
          <w:i/>
          <w:sz w:val="18"/>
          <w:szCs w:val="18"/>
        </w:rPr>
        <w:t>through</w:t>
      </w:r>
      <w:r w:rsidRPr="0052437D">
        <w:rPr>
          <w:rFonts w:eastAsia="Arial" w:cs="Arial"/>
          <w:i/>
          <w:spacing w:val="15"/>
          <w:sz w:val="18"/>
          <w:szCs w:val="18"/>
        </w:rPr>
        <w:t xml:space="preserve"> </w:t>
      </w:r>
      <w:r w:rsidRPr="0052437D">
        <w:rPr>
          <w:rFonts w:eastAsia="Arial" w:cs="Arial"/>
          <w:i/>
          <w:sz w:val="18"/>
          <w:szCs w:val="18"/>
        </w:rPr>
        <w:t>the</w:t>
      </w:r>
      <w:r w:rsidRPr="0052437D">
        <w:rPr>
          <w:rFonts w:eastAsia="Arial" w:cs="Arial"/>
          <w:i/>
          <w:spacing w:val="2"/>
          <w:sz w:val="18"/>
          <w:szCs w:val="18"/>
        </w:rPr>
        <w:t xml:space="preserve"> </w:t>
      </w:r>
      <w:r w:rsidRPr="0052437D">
        <w:rPr>
          <w:rFonts w:eastAsia="Arial" w:cs="Arial"/>
          <w:i/>
          <w:sz w:val="18"/>
          <w:szCs w:val="18"/>
        </w:rPr>
        <w:t xml:space="preserve">Parliament. </w:t>
      </w:r>
      <w:r w:rsidRPr="0052437D">
        <w:rPr>
          <w:rFonts w:eastAsia="Arial" w:cs="Arial"/>
          <w:i/>
          <w:spacing w:val="9"/>
          <w:sz w:val="18"/>
          <w:szCs w:val="18"/>
        </w:rPr>
        <w:t xml:space="preserve"> </w:t>
      </w:r>
      <w:r w:rsidRPr="0052437D">
        <w:rPr>
          <w:rFonts w:eastAsia="Arial" w:cs="Arial"/>
          <w:i/>
          <w:sz w:val="18"/>
          <w:szCs w:val="18"/>
        </w:rPr>
        <w:t>As</w:t>
      </w:r>
      <w:r w:rsidRPr="0052437D">
        <w:rPr>
          <w:rFonts w:eastAsia="Arial" w:cs="Arial"/>
          <w:i/>
          <w:spacing w:val="20"/>
          <w:sz w:val="18"/>
          <w:szCs w:val="18"/>
        </w:rPr>
        <w:t xml:space="preserve"> </w:t>
      </w:r>
      <w:r w:rsidRPr="0052437D">
        <w:rPr>
          <w:rFonts w:eastAsia="Arial" w:cs="Arial"/>
          <w:i/>
          <w:sz w:val="18"/>
          <w:szCs w:val="18"/>
        </w:rPr>
        <w:t>well,</w:t>
      </w:r>
      <w:r w:rsidRPr="0052437D">
        <w:rPr>
          <w:rFonts w:eastAsia="Arial" w:cs="Arial"/>
          <w:i/>
          <w:spacing w:val="43"/>
          <w:sz w:val="18"/>
          <w:szCs w:val="18"/>
        </w:rPr>
        <w:t xml:space="preserve"> </w:t>
      </w:r>
      <w:r w:rsidRPr="0052437D">
        <w:rPr>
          <w:rFonts w:eastAsia="Arial" w:cs="Arial"/>
          <w:i/>
          <w:sz w:val="18"/>
          <w:szCs w:val="18"/>
        </w:rPr>
        <w:t>it</w:t>
      </w:r>
      <w:r w:rsidRPr="0052437D">
        <w:rPr>
          <w:rFonts w:eastAsia="Arial" w:cs="Arial"/>
          <w:i/>
          <w:spacing w:val="4"/>
          <w:sz w:val="18"/>
          <w:szCs w:val="18"/>
        </w:rPr>
        <w:t xml:space="preserve"> </w:t>
      </w:r>
      <w:r w:rsidRPr="0052437D">
        <w:rPr>
          <w:rFonts w:eastAsia="Arial" w:cs="Arial"/>
          <w:i/>
          <w:sz w:val="18"/>
          <w:szCs w:val="18"/>
        </w:rPr>
        <w:t>is</w:t>
      </w:r>
      <w:r w:rsidRPr="0052437D">
        <w:rPr>
          <w:rFonts w:eastAsia="Arial" w:cs="Arial"/>
          <w:i/>
          <w:spacing w:val="33"/>
          <w:sz w:val="18"/>
          <w:szCs w:val="18"/>
        </w:rPr>
        <w:t xml:space="preserve"> </w:t>
      </w:r>
      <w:r w:rsidRPr="0052437D">
        <w:rPr>
          <w:rFonts w:eastAsia="Arial" w:cs="Arial"/>
          <w:i/>
          <w:sz w:val="18"/>
          <w:szCs w:val="18"/>
        </w:rPr>
        <w:t xml:space="preserve">almost </w:t>
      </w:r>
      <w:r w:rsidRPr="0052437D">
        <w:rPr>
          <w:rFonts w:eastAsia="Arial" w:cs="Arial"/>
          <w:i/>
          <w:sz w:val="18"/>
          <w:szCs w:val="18"/>
          <w:lang w:val="en-US"/>
        </w:rPr>
        <w:t>universal that members have</w:t>
      </w:r>
      <w:r w:rsidRPr="0052437D">
        <w:rPr>
          <w:rFonts w:eastAsia="Arial" w:cs="Arial"/>
          <w:i/>
          <w:spacing w:val="45"/>
          <w:sz w:val="18"/>
          <w:szCs w:val="18"/>
          <w:lang w:val="en-US"/>
        </w:rPr>
        <w:t xml:space="preserve"> </w:t>
      </w:r>
      <w:r w:rsidRPr="0052437D">
        <w:rPr>
          <w:rFonts w:eastAsia="Arial" w:cs="Arial"/>
          <w:i/>
          <w:sz w:val="18"/>
          <w:szCs w:val="18"/>
          <w:lang w:val="en-US"/>
        </w:rPr>
        <w:t>a</w:t>
      </w:r>
      <w:r w:rsidRPr="0052437D">
        <w:rPr>
          <w:rFonts w:eastAsia="Arial" w:cs="Arial"/>
          <w:i/>
          <w:spacing w:val="34"/>
          <w:sz w:val="18"/>
          <w:szCs w:val="18"/>
          <w:lang w:val="en-US"/>
        </w:rPr>
        <w:t xml:space="preserve"> </w:t>
      </w:r>
      <w:r w:rsidRPr="0052437D">
        <w:rPr>
          <w:rFonts w:eastAsia="Arial" w:cs="Arial"/>
          <w:i/>
          <w:sz w:val="18"/>
          <w:szCs w:val="18"/>
          <w:lang w:val="en-US"/>
        </w:rPr>
        <w:t>significant</w:t>
      </w:r>
      <w:r w:rsidRPr="0052437D">
        <w:rPr>
          <w:rFonts w:eastAsia="Arial" w:cs="Arial"/>
          <w:i/>
          <w:spacing w:val="18"/>
          <w:sz w:val="18"/>
          <w:szCs w:val="18"/>
          <w:lang w:val="en-US"/>
        </w:rPr>
        <w:t xml:space="preserve"> </w:t>
      </w:r>
      <w:r w:rsidRPr="0052437D">
        <w:rPr>
          <w:rFonts w:eastAsia="Arial" w:cs="Arial"/>
          <w:i/>
          <w:sz w:val="18"/>
          <w:szCs w:val="18"/>
          <w:lang w:val="en-US"/>
        </w:rPr>
        <w:t>role as</w:t>
      </w:r>
      <w:r w:rsidRPr="0052437D">
        <w:rPr>
          <w:rFonts w:eastAsia="Arial" w:cs="Arial"/>
          <w:i/>
          <w:spacing w:val="33"/>
          <w:sz w:val="18"/>
          <w:szCs w:val="18"/>
          <w:lang w:val="en-US"/>
        </w:rPr>
        <w:t xml:space="preserve"> </w:t>
      </w:r>
      <w:r w:rsidRPr="0052437D">
        <w:rPr>
          <w:rFonts w:eastAsia="Arial" w:cs="Arial"/>
          <w:i/>
          <w:sz w:val="18"/>
          <w:szCs w:val="18"/>
          <w:lang w:val="en-US"/>
        </w:rPr>
        <w:t>holders of</w:t>
      </w:r>
      <w:r w:rsidRPr="0052437D">
        <w:rPr>
          <w:rFonts w:eastAsia="Arial" w:cs="Arial"/>
          <w:i/>
          <w:spacing w:val="39"/>
          <w:sz w:val="18"/>
          <w:szCs w:val="18"/>
          <w:lang w:val="en-US"/>
        </w:rPr>
        <w:t xml:space="preserve"> </w:t>
      </w:r>
      <w:r w:rsidRPr="0052437D">
        <w:rPr>
          <w:rFonts w:eastAsia="Arial" w:cs="Arial"/>
          <w:i/>
          <w:sz w:val="18"/>
          <w:szCs w:val="18"/>
          <w:lang w:val="en-US"/>
        </w:rPr>
        <w:t>additional offices</w:t>
      </w:r>
      <w:r w:rsidRPr="0052437D">
        <w:rPr>
          <w:rFonts w:eastAsia="Arial" w:cs="Arial"/>
          <w:i/>
          <w:spacing w:val="33"/>
          <w:sz w:val="18"/>
          <w:szCs w:val="18"/>
          <w:lang w:val="en-US"/>
        </w:rPr>
        <w:t xml:space="preserve"> </w:t>
      </w:r>
      <w:r w:rsidRPr="0052437D">
        <w:rPr>
          <w:rFonts w:eastAsia="Arial" w:cs="Arial"/>
          <w:i/>
          <w:sz w:val="18"/>
          <w:szCs w:val="18"/>
          <w:lang w:val="en-US"/>
        </w:rPr>
        <w:t>and/or as</w:t>
      </w:r>
      <w:r w:rsidRPr="0052437D">
        <w:rPr>
          <w:rFonts w:eastAsia="Arial" w:cs="Arial"/>
          <w:i/>
          <w:spacing w:val="11"/>
          <w:sz w:val="18"/>
          <w:szCs w:val="18"/>
          <w:lang w:val="en-US"/>
        </w:rPr>
        <w:t xml:space="preserve"> </w:t>
      </w:r>
      <w:r w:rsidRPr="0052437D">
        <w:rPr>
          <w:rFonts w:eastAsia="Arial" w:cs="Arial"/>
          <w:i/>
          <w:sz w:val="18"/>
          <w:szCs w:val="18"/>
          <w:lang w:val="en-US"/>
        </w:rPr>
        <w:t>members</w:t>
      </w:r>
      <w:r w:rsidRPr="0052437D">
        <w:rPr>
          <w:rFonts w:eastAsia="Arial" w:cs="Arial"/>
          <w:i/>
          <w:spacing w:val="6"/>
          <w:sz w:val="18"/>
          <w:szCs w:val="18"/>
          <w:lang w:val="en-US"/>
        </w:rPr>
        <w:t xml:space="preserve"> </w:t>
      </w:r>
      <w:r w:rsidRPr="0052437D">
        <w:rPr>
          <w:rFonts w:eastAsia="Arial" w:cs="Arial"/>
          <w:i/>
          <w:sz w:val="18"/>
          <w:szCs w:val="18"/>
          <w:lang w:val="en-US"/>
        </w:rPr>
        <w:t>of</w:t>
      </w:r>
      <w:r w:rsidRPr="0052437D">
        <w:rPr>
          <w:rFonts w:eastAsia="Arial" w:cs="Arial"/>
          <w:i/>
          <w:spacing w:val="24"/>
          <w:sz w:val="18"/>
          <w:szCs w:val="18"/>
          <w:lang w:val="en-US"/>
        </w:rPr>
        <w:t xml:space="preserve"> </w:t>
      </w:r>
      <w:r w:rsidRPr="0052437D">
        <w:rPr>
          <w:rFonts w:eastAsia="Arial" w:cs="Arial"/>
          <w:i/>
          <w:sz w:val="18"/>
          <w:szCs w:val="18"/>
          <w:lang w:val="en-US"/>
        </w:rPr>
        <w:t>various</w:t>
      </w:r>
      <w:r w:rsidRPr="0052437D">
        <w:rPr>
          <w:rFonts w:eastAsia="Arial" w:cs="Arial"/>
          <w:i/>
          <w:spacing w:val="1"/>
          <w:sz w:val="18"/>
          <w:szCs w:val="18"/>
          <w:lang w:val="en-US"/>
        </w:rPr>
        <w:t xml:space="preserve"> </w:t>
      </w:r>
      <w:r w:rsidRPr="0052437D">
        <w:rPr>
          <w:rFonts w:eastAsia="Arial" w:cs="Arial"/>
          <w:i/>
          <w:sz w:val="18"/>
          <w:szCs w:val="18"/>
          <w:lang w:val="en-US"/>
        </w:rPr>
        <w:t>parliamentary</w:t>
      </w:r>
      <w:r w:rsidRPr="0052437D">
        <w:rPr>
          <w:rFonts w:eastAsia="Arial" w:cs="Arial"/>
          <w:i/>
          <w:spacing w:val="24"/>
          <w:sz w:val="18"/>
          <w:szCs w:val="18"/>
          <w:lang w:val="en-US"/>
        </w:rPr>
        <w:t xml:space="preserve"> </w:t>
      </w:r>
      <w:r w:rsidRPr="0052437D">
        <w:rPr>
          <w:rFonts w:eastAsia="Arial" w:cs="Arial"/>
          <w:i/>
          <w:sz w:val="18"/>
          <w:szCs w:val="18"/>
          <w:lang w:val="en-US"/>
        </w:rPr>
        <w:t>committees.</w:t>
      </w:r>
    </w:p>
    <w:p w:rsidR="008B77A9" w:rsidRPr="0052437D" w:rsidRDefault="008B77A9" w:rsidP="008B77A9">
      <w:pPr>
        <w:widowControl w:val="0"/>
        <w:spacing w:after="120"/>
        <w:ind w:left="567" w:right="223"/>
        <w:jc w:val="both"/>
        <w:rPr>
          <w:rFonts w:eastAsia="Arial" w:cs="Arial"/>
          <w:sz w:val="18"/>
          <w:szCs w:val="18"/>
          <w:lang w:val="en-US"/>
        </w:rPr>
      </w:pPr>
      <w:r w:rsidRPr="0052437D">
        <w:rPr>
          <w:rFonts w:eastAsia="Arial" w:cs="Arial"/>
          <w:i/>
          <w:sz w:val="18"/>
          <w:szCs w:val="18"/>
          <w:lang w:val="en-US"/>
        </w:rPr>
        <w:t>The</w:t>
      </w:r>
      <w:r w:rsidRPr="0052437D">
        <w:rPr>
          <w:rFonts w:eastAsia="Arial" w:cs="Arial"/>
          <w:i/>
          <w:spacing w:val="51"/>
          <w:sz w:val="18"/>
          <w:szCs w:val="18"/>
          <w:lang w:val="en-US"/>
        </w:rPr>
        <w:t xml:space="preserve"> </w:t>
      </w:r>
      <w:r w:rsidRPr="0052437D">
        <w:rPr>
          <w:rFonts w:eastAsia="Arial" w:cs="Arial"/>
          <w:i/>
          <w:sz w:val="18"/>
          <w:szCs w:val="18"/>
          <w:lang w:val="en-US"/>
        </w:rPr>
        <w:t>second</w:t>
      </w:r>
      <w:r w:rsidRPr="0052437D">
        <w:rPr>
          <w:rFonts w:eastAsia="Arial" w:cs="Arial"/>
          <w:i/>
          <w:spacing w:val="10"/>
          <w:sz w:val="18"/>
          <w:szCs w:val="18"/>
          <w:lang w:val="en-US"/>
        </w:rPr>
        <w:t xml:space="preserve"> </w:t>
      </w:r>
      <w:r w:rsidRPr="0052437D">
        <w:rPr>
          <w:rFonts w:eastAsia="Arial" w:cs="Arial"/>
          <w:i/>
          <w:sz w:val="18"/>
          <w:szCs w:val="18"/>
          <w:lang w:val="en-US"/>
        </w:rPr>
        <w:t>role</w:t>
      </w:r>
      <w:r w:rsidRPr="0052437D">
        <w:rPr>
          <w:rFonts w:eastAsia="Arial" w:cs="Arial"/>
          <w:i/>
          <w:spacing w:val="18"/>
          <w:sz w:val="18"/>
          <w:szCs w:val="18"/>
          <w:lang w:val="en-US"/>
        </w:rPr>
        <w:t xml:space="preserve"> </w:t>
      </w:r>
      <w:r w:rsidRPr="0052437D">
        <w:rPr>
          <w:rFonts w:eastAsia="Arial" w:cs="Arial"/>
          <w:i/>
          <w:sz w:val="18"/>
          <w:szCs w:val="18"/>
          <w:lang w:val="en-US"/>
        </w:rPr>
        <w:t>of</w:t>
      </w:r>
      <w:r w:rsidRPr="0052437D">
        <w:rPr>
          <w:rFonts w:eastAsia="Arial" w:cs="Arial"/>
          <w:i/>
          <w:spacing w:val="2"/>
          <w:sz w:val="18"/>
          <w:szCs w:val="18"/>
          <w:lang w:val="en-US"/>
        </w:rPr>
        <w:t xml:space="preserve"> </w:t>
      </w:r>
      <w:r w:rsidRPr="0052437D">
        <w:rPr>
          <w:rFonts w:eastAsia="Arial" w:cs="Arial"/>
          <w:i/>
          <w:sz w:val="18"/>
          <w:szCs w:val="18"/>
          <w:lang w:val="en-US"/>
        </w:rPr>
        <w:t>the</w:t>
      </w:r>
      <w:r w:rsidRPr="0052437D">
        <w:rPr>
          <w:rFonts w:eastAsia="Arial" w:cs="Arial"/>
          <w:i/>
          <w:spacing w:val="11"/>
          <w:sz w:val="18"/>
          <w:szCs w:val="18"/>
          <w:lang w:val="en-US"/>
        </w:rPr>
        <w:t xml:space="preserve"> </w:t>
      </w:r>
      <w:r w:rsidRPr="0052437D">
        <w:rPr>
          <w:rFonts w:eastAsia="Arial" w:cs="Arial"/>
          <w:i/>
          <w:sz w:val="18"/>
          <w:szCs w:val="18"/>
          <w:lang w:val="en-US"/>
        </w:rPr>
        <w:t>parliamentarian</w:t>
      </w:r>
      <w:r w:rsidRPr="0052437D">
        <w:rPr>
          <w:rFonts w:eastAsia="Arial" w:cs="Arial"/>
          <w:i/>
          <w:spacing w:val="40"/>
          <w:sz w:val="18"/>
          <w:szCs w:val="18"/>
          <w:lang w:val="en-US"/>
        </w:rPr>
        <w:t xml:space="preserve"> </w:t>
      </w:r>
      <w:r w:rsidRPr="0052437D">
        <w:rPr>
          <w:rFonts w:eastAsia="Arial" w:cs="Arial"/>
          <w:i/>
          <w:sz w:val="18"/>
          <w:szCs w:val="18"/>
          <w:lang w:val="en-US"/>
        </w:rPr>
        <w:t>is</w:t>
      </w:r>
      <w:r w:rsidRPr="0052437D">
        <w:rPr>
          <w:rFonts w:eastAsia="Arial" w:cs="Arial"/>
          <w:i/>
          <w:spacing w:val="54"/>
          <w:sz w:val="18"/>
          <w:szCs w:val="18"/>
          <w:lang w:val="en-US"/>
        </w:rPr>
        <w:t xml:space="preserve"> </w:t>
      </w:r>
      <w:r w:rsidRPr="0052437D">
        <w:rPr>
          <w:rFonts w:eastAsia="Arial" w:cs="Arial"/>
          <w:i/>
          <w:sz w:val="18"/>
          <w:szCs w:val="18"/>
          <w:lang w:val="en-US"/>
        </w:rPr>
        <w:t>as</w:t>
      </w:r>
      <w:r w:rsidRPr="0052437D">
        <w:rPr>
          <w:rFonts w:eastAsia="Arial" w:cs="Arial"/>
          <w:i/>
          <w:spacing w:val="49"/>
          <w:sz w:val="18"/>
          <w:szCs w:val="18"/>
          <w:lang w:val="en-US"/>
        </w:rPr>
        <w:t xml:space="preserve"> </w:t>
      </w:r>
      <w:r w:rsidRPr="0052437D">
        <w:rPr>
          <w:rFonts w:eastAsia="Arial" w:cs="Arial"/>
          <w:i/>
          <w:sz w:val="18"/>
          <w:szCs w:val="18"/>
          <w:lang w:val="en-US"/>
        </w:rPr>
        <w:t>the representative</w:t>
      </w:r>
      <w:r w:rsidRPr="0052437D">
        <w:rPr>
          <w:rFonts w:eastAsia="Arial" w:cs="Arial"/>
          <w:i/>
          <w:spacing w:val="41"/>
          <w:sz w:val="18"/>
          <w:szCs w:val="18"/>
          <w:lang w:val="en-US"/>
        </w:rPr>
        <w:t xml:space="preserve"> </w:t>
      </w:r>
      <w:r w:rsidRPr="0052437D">
        <w:rPr>
          <w:rFonts w:eastAsia="Arial" w:cs="Arial"/>
          <w:i/>
          <w:sz w:val="18"/>
          <w:szCs w:val="18"/>
          <w:lang w:val="en-US"/>
        </w:rPr>
        <w:t>of</w:t>
      </w:r>
      <w:r w:rsidRPr="0052437D">
        <w:rPr>
          <w:rFonts w:eastAsia="Arial" w:cs="Arial"/>
          <w:i/>
          <w:spacing w:val="53"/>
          <w:sz w:val="18"/>
          <w:szCs w:val="18"/>
          <w:lang w:val="en-US"/>
        </w:rPr>
        <w:t xml:space="preserve"> </w:t>
      </w:r>
      <w:r w:rsidRPr="0052437D">
        <w:rPr>
          <w:rFonts w:eastAsia="Arial" w:cs="Arial"/>
          <w:i/>
          <w:sz w:val="18"/>
          <w:szCs w:val="18"/>
          <w:lang w:val="en-US"/>
        </w:rPr>
        <w:t>all the</w:t>
      </w:r>
      <w:r w:rsidRPr="0052437D">
        <w:rPr>
          <w:rFonts w:eastAsia="Arial" w:cs="Arial"/>
          <w:i/>
          <w:spacing w:val="37"/>
          <w:sz w:val="18"/>
          <w:szCs w:val="18"/>
          <w:lang w:val="en-US"/>
        </w:rPr>
        <w:t xml:space="preserve"> </w:t>
      </w:r>
      <w:r w:rsidRPr="0052437D">
        <w:rPr>
          <w:rFonts w:eastAsia="Arial" w:cs="Arial"/>
          <w:i/>
          <w:sz w:val="18"/>
          <w:szCs w:val="18"/>
          <w:lang w:val="en-US"/>
        </w:rPr>
        <w:t>residents</w:t>
      </w:r>
      <w:r w:rsidRPr="0052437D">
        <w:rPr>
          <w:rFonts w:eastAsia="Arial" w:cs="Arial"/>
          <w:i/>
          <w:spacing w:val="5"/>
          <w:sz w:val="18"/>
          <w:szCs w:val="18"/>
          <w:lang w:val="en-US"/>
        </w:rPr>
        <w:t xml:space="preserve"> </w:t>
      </w:r>
      <w:r w:rsidRPr="0052437D">
        <w:rPr>
          <w:rFonts w:eastAsia="Arial" w:cs="Arial"/>
          <w:i/>
          <w:sz w:val="18"/>
          <w:szCs w:val="18"/>
          <w:lang w:val="en-US"/>
        </w:rPr>
        <w:t>of</w:t>
      </w:r>
      <w:r w:rsidRPr="0052437D">
        <w:rPr>
          <w:rFonts w:eastAsia="Arial" w:cs="Arial"/>
          <w:i/>
          <w:spacing w:val="32"/>
          <w:sz w:val="18"/>
          <w:szCs w:val="18"/>
          <w:lang w:val="en-US"/>
        </w:rPr>
        <w:t xml:space="preserve"> </w:t>
      </w:r>
      <w:r w:rsidRPr="0052437D">
        <w:rPr>
          <w:rFonts w:eastAsia="Arial" w:cs="Arial"/>
          <w:i/>
          <w:sz w:val="18"/>
          <w:szCs w:val="18"/>
          <w:lang w:val="en-US"/>
        </w:rPr>
        <w:t>his</w:t>
      </w:r>
      <w:r w:rsidRPr="0052437D">
        <w:rPr>
          <w:rFonts w:eastAsia="Arial" w:cs="Arial"/>
          <w:i/>
          <w:spacing w:val="30"/>
          <w:sz w:val="18"/>
          <w:szCs w:val="18"/>
          <w:lang w:val="en-US"/>
        </w:rPr>
        <w:t xml:space="preserve"> </w:t>
      </w:r>
      <w:r w:rsidRPr="0052437D">
        <w:rPr>
          <w:rFonts w:eastAsia="Arial" w:cs="Arial"/>
          <w:i/>
          <w:sz w:val="18"/>
          <w:szCs w:val="18"/>
          <w:lang w:val="en-US"/>
        </w:rPr>
        <w:t>or</w:t>
      </w:r>
      <w:r w:rsidRPr="0052437D">
        <w:rPr>
          <w:rFonts w:eastAsia="Arial" w:cs="Arial"/>
          <w:i/>
          <w:spacing w:val="33"/>
          <w:sz w:val="18"/>
          <w:szCs w:val="18"/>
          <w:lang w:val="en-US"/>
        </w:rPr>
        <w:t xml:space="preserve"> </w:t>
      </w:r>
      <w:r w:rsidRPr="0052437D">
        <w:rPr>
          <w:rFonts w:eastAsia="Arial" w:cs="Arial"/>
          <w:i/>
          <w:sz w:val="18"/>
          <w:szCs w:val="18"/>
          <w:lang w:val="en-US"/>
        </w:rPr>
        <w:t>her</w:t>
      </w:r>
      <w:r w:rsidRPr="0052437D">
        <w:rPr>
          <w:rFonts w:eastAsia="Arial" w:cs="Arial"/>
          <w:i/>
          <w:spacing w:val="43"/>
          <w:sz w:val="18"/>
          <w:szCs w:val="18"/>
          <w:lang w:val="en-US"/>
        </w:rPr>
        <w:t xml:space="preserve"> </w:t>
      </w:r>
      <w:r w:rsidRPr="0052437D">
        <w:rPr>
          <w:rFonts w:eastAsia="Arial" w:cs="Arial"/>
          <w:i/>
          <w:sz w:val="18"/>
          <w:szCs w:val="18"/>
          <w:lang w:val="en-US"/>
        </w:rPr>
        <w:t>electorate,</w:t>
      </w:r>
      <w:r w:rsidRPr="0052437D">
        <w:rPr>
          <w:rFonts w:eastAsia="Arial" w:cs="Arial"/>
          <w:i/>
          <w:spacing w:val="-18"/>
          <w:sz w:val="18"/>
          <w:szCs w:val="18"/>
          <w:lang w:val="en-US"/>
        </w:rPr>
        <w:t xml:space="preserve"> </w:t>
      </w:r>
      <w:r w:rsidRPr="0052437D">
        <w:rPr>
          <w:rFonts w:eastAsia="Arial" w:cs="Arial"/>
          <w:i/>
          <w:sz w:val="18"/>
          <w:szCs w:val="18"/>
          <w:lang w:val="en-US"/>
        </w:rPr>
        <w:t>however they</w:t>
      </w:r>
      <w:r w:rsidRPr="0052437D">
        <w:rPr>
          <w:rFonts w:eastAsia="Arial" w:cs="Arial"/>
          <w:i/>
          <w:spacing w:val="55"/>
          <w:sz w:val="18"/>
          <w:szCs w:val="18"/>
          <w:lang w:val="en-US"/>
        </w:rPr>
        <w:t xml:space="preserve"> </w:t>
      </w:r>
      <w:r w:rsidRPr="0052437D">
        <w:rPr>
          <w:rFonts w:eastAsia="Arial" w:cs="Arial"/>
          <w:i/>
          <w:sz w:val="18"/>
          <w:szCs w:val="18"/>
          <w:lang w:val="en-US"/>
        </w:rPr>
        <w:t>vote.</w:t>
      </w:r>
      <w:r w:rsidRPr="0052437D">
        <w:rPr>
          <w:rFonts w:eastAsia="Arial" w:cs="Arial"/>
          <w:i/>
          <w:spacing w:val="50"/>
          <w:sz w:val="18"/>
          <w:szCs w:val="18"/>
          <w:lang w:val="en-US"/>
        </w:rPr>
        <w:t xml:space="preserve"> </w:t>
      </w:r>
      <w:r w:rsidRPr="0052437D">
        <w:rPr>
          <w:rFonts w:eastAsia="Arial" w:cs="Arial"/>
          <w:i/>
          <w:sz w:val="18"/>
          <w:szCs w:val="18"/>
          <w:lang w:val="en-US"/>
        </w:rPr>
        <w:t>In</w:t>
      </w:r>
      <w:r w:rsidRPr="0052437D">
        <w:rPr>
          <w:rFonts w:eastAsia="Arial" w:cs="Arial"/>
          <w:i/>
          <w:spacing w:val="1"/>
          <w:sz w:val="18"/>
          <w:szCs w:val="18"/>
          <w:lang w:val="en-US"/>
        </w:rPr>
        <w:t xml:space="preserve"> </w:t>
      </w:r>
      <w:r w:rsidRPr="0052437D">
        <w:rPr>
          <w:rFonts w:eastAsia="Arial" w:cs="Arial"/>
          <w:i/>
          <w:sz w:val="18"/>
          <w:szCs w:val="18"/>
          <w:lang w:val="en-US"/>
        </w:rPr>
        <w:t>the</w:t>
      </w:r>
      <w:r w:rsidRPr="0052437D">
        <w:rPr>
          <w:rFonts w:eastAsia="Arial" w:cs="Arial"/>
          <w:i/>
          <w:spacing w:val="42"/>
          <w:sz w:val="18"/>
          <w:szCs w:val="18"/>
          <w:lang w:val="en-US"/>
        </w:rPr>
        <w:t xml:space="preserve"> </w:t>
      </w:r>
      <w:r w:rsidRPr="0052437D">
        <w:rPr>
          <w:rFonts w:eastAsia="Arial" w:cs="Arial"/>
          <w:i/>
          <w:sz w:val="18"/>
          <w:szCs w:val="18"/>
          <w:lang w:val="en-US"/>
        </w:rPr>
        <w:t>case</w:t>
      </w:r>
      <w:r w:rsidRPr="0052437D">
        <w:rPr>
          <w:rFonts w:eastAsia="Arial" w:cs="Arial"/>
          <w:i/>
          <w:spacing w:val="16"/>
          <w:sz w:val="18"/>
          <w:szCs w:val="18"/>
          <w:lang w:val="en-US"/>
        </w:rPr>
        <w:t xml:space="preserve"> </w:t>
      </w:r>
      <w:r w:rsidRPr="0052437D">
        <w:rPr>
          <w:rFonts w:eastAsia="Arial" w:cs="Arial"/>
          <w:i/>
          <w:sz w:val="18"/>
          <w:szCs w:val="18"/>
          <w:lang w:val="en-US"/>
        </w:rPr>
        <w:t>of a</w:t>
      </w:r>
      <w:r w:rsidRPr="0052437D">
        <w:rPr>
          <w:rFonts w:eastAsia="Arial" w:cs="Arial"/>
          <w:i/>
          <w:spacing w:val="44"/>
          <w:sz w:val="18"/>
          <w:szCs w:val="18"/>
          <w:lang w:val="en-US"/>
        </w:rPr>
        <w:t xml:space="preserve"> </w:t>
      </w:r>
      <w:r w:rsidRPr="0052437D">
        <w:rPr>
          <w:rFonts w:eastAsia="Arial" w:cs="Arial"/>
          <w:i/>
          <w:sz w:val="18"/>
          <w:szCs w:val="18"/>
          <w:lang w:val="en-US"/>
        </w:rPr>
        <w:t>senator,</w:t>
      </w:r>
      <w:r w:rsidRPr="0052437D">
        <w:rPr>
          <w:rFonts w:eastAsia="Arial" w:cs="Arial"/>
          <w:i/>
          <w:spacing w:val="17"/>
          <w:sz w:val="18"/>
          <w:szCs w:val="18"/>
          <w:lang w:val="en-US"/>
        </w:rPr>
        <w:t xml:space="preserve"> </w:t>
      </w:r>
      <w:r w:rsidRPr="0052437D">
        <w:rPr>
          <w:rFonts w:eastAsia="Arial" w:cs="Arial"/>
          <w:i/>
          <w:sz w:val="18"/>
          <w:szCs w:val="18"/>
          <w:lang w:val="en-US"/>
        </w:rPr>
        <w:t>they</w:t>
      </w:r>
      <w:r w:rsidRPr="0052437D">
        <w:rPr>
          <w:rFonts w:eastAsia="Arial" w:cs="Arial"/>
          <w:i/>
          <w:spacing w:val="16"/>
          <w:sz w:val="18"/>
          <w:szCs w:val="18"/>
          <w:lang w:val="en-US"/>
        </w:rPr>
        <w:t xml:space="preserve"> </w:t>
      </w:r>
      <w:r w:rsidRPr="0052437D">
        <w:rPr>
          <w:rFonts w:eastAsia="Arial" w:cs="Arial"/>
          <w:i/>
          <w:sz w:val="18"/>
          <w:szCs w:val="18"/>
          <w:lang w:val="en-US"/>
        </w:rPr>
        <w:t>represent</w:t>
      </w:r>
      <w:r w:rsidRPr="0052437D">
        <w:rPr>
          <w:rFonts w:eastAsia="Arial" w:cs="Arial"/>
          <w:i/>
          <w:spacing w:val="42"/>
          <w:sz w:val="18"/>
          <w:szCs w:val="18"/>
          <w:lang w:val="en-US"/>
        </w:rPr>
        <w:t xml:space="preserve"> </w:t>
      </w:r>
      <w:r w:rsidRPr="0052437D">
        <w:rPr>
          <w:rFonts w:eastAsia="Arial" w:cs="Arial"/>
          <w:i/>
          <w:sz w:val="18"/>
          <w:szCs w:val="18"/>
          <w:lang w:val="en-US"/>
        </w:rPr>
        <w:t>the state</w:t>
      </w:r>
      <w:r w:rsidRPr="0052437D">
        <w:rPr>
          <w:rFonts w:eastAsia="Arial" w:cs="Arial"/>
          <w:i/>
          <w:spacing w:val="23"/>
          <w:sz w:val="18"/>
          <w:szCs w:val="18"/>
          <w:lang w:val="en-US"/>
        </w:rPr>
        <w:t xml:space="preserve"> </w:t>
      </w:r>
      <w:r w:rsidRPr="0052437D">
        <w:rPr>
          <w:rFonts w:eastAsia="Arial" w:cs="Arial"/>
          <w:i/>
          <w:sz w:val="18"/>
          <w:szCs w:val="18"/>
          <w:lang w:val="en-US"/>
        </w:rPr>
        <w:t>or</w:t>
      </w:r>
      <w:r w:rsidRPr="0052437D">
        <w:rPr>
          <w:rFonts w:eastAsia="Arial" w:cs="Arial"/>
          <w:i/>
          <w:spacing w:val="58"/>
          <w:sz w:val="18"/>
          <w:szCs w:val="18"/>
          <w:lang w:val="en-US"/>
        </w:rPr>
        <w:t xml:space="preserve"> </w:t>
      </w:r>
      <w:r w:rsidRPr="0052437D">
        <w:rPr>
          <w:rFonts w:eastAsia="Arial" w:cs="Arial"/>
          <w:i/>
          <w:sz w:val="18"/>
          <w:szCs w:val="18"/>
          <w:lang w:val="en-US"/>
        </w:rPr>
        <w:t>territory</w:t>
      </w:r>
      <w:r w:rsidRPr="0052437D">
        <w:rPr>
          <w:rFonts w:eastAsia="Arial" w:cs="Arial"/>
          <w:i/>
          <w:spacing w:val="42"/>
          <w:sz w:val="18"/>
          <w:szCs w:val="18"/>
          <w:lang w:val="en-US"/>
        </w:rPr>
        <w:t xml:space="preserve"> </w:t>
      </w:r>
      <w:r w:rsidRPr="0052437D">
        <w:rPr>
          <w:rFonts w:eastAsia="Arial" w:cs="Arial"/>
          <w:i/>
          <w:sz w:val="18"/>
          <w:szCs w:val="18"/>
          <w:lang w:val="en-US"/>
        </w:rPr>
        <w:t>from</w:t>
      </w:r>
      <w:r w:rsidRPr="0052437D">
        <w:rPr>
          <w:rFonts w:eastAsia="Arial" w:cs="Arial"/>
          <w:i/>
          <w:spacing w:val="28"/>
          <w:sz w:val="18"/>
          <w:szCs w:val="18"/>
          <w:lang w:val="en-US"/>
        </w:rPr>
        <w:t xml:space="preserve"> </w:t>
      </w:r>
      <w:r w:rsidRPr="0052437D">
        <w:rPr>
          <w:rFonts w:eastAsia="Arial" w:cs="Arial"/>
          <w:i/>
          <w:sz w:val="18"/>
          <w:szCs w:val="18"/>
          <w:lang w:val="en-US"/>
        </w:rPr>
        <w:t>which they</w:t>
      </w:r>
      <w:r w:rsidRPr="0052437D">
        <w:rPr>
          <w:rFonts w:eastAsia="Arial" w:cs="Arial"/>
          <w:i/>
          <w:spacing w:val="17"/>
          <w:sz w:val="18"/>
          <w:szCs w:val="18"/>
          <w:lang w:val="en-US"/>
        </w:rPr>
        <w:t xml:space="preserve"> </w:t>
      </w:r>
      <w:r w:rsidRPr="0052437D">
        <w:rPr>
          <w:rFonts w:eastAsia="Arial" w:cs="Arial"/>
          <w:i/>
          <w:sz w:val="18"/>
          <w:szCs w:val="18"/>
          <w:lang w:val="en-US"/>
        </w:rPr>
        <w:t xml:space="preserve">were elected. </w:t>
      </w:r>
      <w:r w:rsidRPr="0052437D">
        <w:rPr>
          <w:rFonts w:eastAsia="Arial" w:cs="Arial"/>
          <w:i/>
          <w:spacing w:val="5"/>
          <w:sz w:val="18"/>
          <w:szCs w:val="18"/>
          <w:lang w:val="en-US"/>
        </w:rPr>
        <w:t xml:space="preserve"> </w:t>
      </w:r>
      <w:r w:rsidRPr="0052437D">
        <w:rPr>
          <w:rFonts w:eastAsia="Arial" w:cs="Arial"/>
          <w:i/>
          <w:sz w:val="18"/>
          <w:szCs w:val="18"/>
          <w:lang w:val="en-US"/>
        </w:rPr>
        <w:t>This</w:t>
      </w:r>
      <w:r w:rsidRPr="0052437D">
        <w:rPr>
          <w:rFonts w:eastAsia="Arial" w:cs="Arial"/>
          <w:i/>
          <w:spacing w:val="46"/>
          <w:sz w:val="18"/>
          <w:szCs w:val="18"/>
          <w:lang w:val="en-US"/>
        </w:rPr>
        <w:t xml:space="preserve"> </w:t>
      </w:r>
      <w:r w:rsidRPr="0052437D">
        <w:rPr>
          <w:rFonts w:eastAsia="Arial" w:cs="Arial"/>
          <w:i/>
          <w:sz w:val="18"/>
          <w:szCs w:val="18"/>
          <w:lang w:val="en-US"/>
        </w:rPr>
        <w:t>is</w:t>
      </w:r>
      <w:r w:rsidRPr="0052437D">
        <w:rPr>
          <w:rFonts w:eastAsia="Arial" w:cs="Arial"/>
          <w:i/>
          <w:spacing w:val="33"/>
          <w:sz w:val="18"/>
          <w:szCs w:val="18"/>
          <w:lang w:val="en-US"/>
        </w:rPr>
        <w:t xml:space="preserve"> </w:t>
      </w:r>
      <w:r w:rsidRPr="0052437D">
        <w:rPr>
          <w:rFonts w:eastAsia="Arial" w:cs="Arial"/>
          <w:i/>
          <w:sz w:val="18"/>
          <w:szCs w:val="18"/>
          <w:lang w:val="en-US"/>
        </w:rPr>
        <w:t>also</w:t>
      </w:r>
      <w:r w:rsidRPr="0052437D">
        <w:rPr>
          <w:rFonts w:eastAsia="Arial" w:cs="Arial"/>
          <w:i/>
          <w:spacing w:val="49"/>
          <w:sz w:val="18"/>
          <w:szCs w:val="18"/>
          <w:lang w:val="en-US"/>
        </w:rPr>
        <w:t xml:space="preserve"> </w:t>
      </w:r>
      <w:r w:rsidRPr="0052437D">
        <w:rPr>
          <w:rFonts w:eastAsia="Arial" w:cs="Arial"/>
          <w:i/>
          <w:sz w:val="18"/>
          <w:szCs w:val="18"/>
          <w:lang w:val="en-US"/>
        </w:rPr>
        <w:t>a</w:t>
      </w:r>
      <w:r w:rsidRPr="0052437D">
        <w:rPr>
          <w:rFonts w:eastAsia="Arial" w:cs="Arial"/>
          <w:i/>
          <w:spacing w:val="40"/>
          <w:sz w:val="18"/>
          <w:szCs w:val="18"/>
          <w:lang w:val="en-US"/>
        </w:rPr>
        <w:t xml:space="preserve"> </w:t>
      </w:r>
      <w:r w:rsidRPr="0052437D">
        <w:rPr>
          <w:rFonts w:eastAsia="Arial" w:cs="Arial"/>
          <w:i/>
          <w:sz w:val="18"/>
          <w:szCs w:val="18"/>
          <w:lang w:val="en-US"/>
        </w:rPr>
        <w:t>challenging</w:t>
      </w:r>
      <w:r w:rsidRPr="0052437D">
        <w:rPr>
          <w:rFonts w:eastAsia="Arial" w:cs="Arial"/>
          <w:i/>
          <w:spacing w:val="36"/>
          <w:sz w:val="18"/>
          <w:szCs w:val="18"/>
          <w:lang w:val="en-US"/>
        </w:rPr>
        <w:t xml:space="preserve"> </w:t>
      </w:r>
      <w:r w:rsidRPr="0052437D">
        <w:rPr>
          <w:rFonts w:eastAsia="Arial" w:cs="Arial"/>
          <w:i/>
          <w:sz w:val="18"/>
          <w:szCs w:val="18"/>
          <w:lang w:val="en-US"/>
        </w:rPr>
        <w:t>task,</w:t>
      </w:r>
      <w:r w:rsidRPr="0052437D">
        <w:rPr>
          <w:rFonts w:eastAsia="Arial" w:cs="Arial"/>
          <w:i/>
          <w:spacing w:val="56"/>
          <w:sz w:val="18"/>
          <w:szCs w:val="18"/>
          <w:lang w:val="en-US"/>
        </w:rPr>
        <w:t xml:space="preserve"> </w:t>
      </w:r>
      <w:r w:rsidRPr="0052437D">
        <w:rPr>
          <w:rFonts w:eastAsia="Arial" w:cs="Arial"/>
          <w:i/>
          <w:sz w:val="18"/>
          <w:szCs w:val="18"/>
          <w:lang w:val="en-US"/>
        </w:rPr>
        <w:t>which</w:t>
      </w:r>
      <w:r w:rsidRPr="0052437D">
        <w:rPr>
          <w:rFonts w:eastAsia="Arial" w:cs="Arial"/>
          <w:i/>
          <w:spacing w:val="7"/>
          <w:sz w:val="18"/>
          <w:szCs w:val="18"/>
          <w:lang w:val="en-US"/>
        </w:rPr>
        <w:t xml:space="preserve"> </w:t>
      </w:r>
      <w:r w:rsidRPr="0052437D">
        <w:rPr>
          <w:rFonts w:eastAsia="Arial" w:cs="Arial"/>
          <w:i/>
          <w:sz w:val="18"/>
          <w:szCs w:val="18"/>
          <w:lang w:val="en-US"/>
        </w:rPr>
        <w:t>fills</w:t>
      </w:r>
      <w:r w:rsidRPr="0052437D">
        <w:rPr>
          <w:rFonts w:eastAsia="Arial" w:cs="Arial"/>
          <w:i/>
          <w:spacing w:val="6"/>
          <w:sz w:val="18"/>
          <w:szCs w:val="18"/>
          <w:lang w:val="en-US"/>
        </w:rPr>
        <w:t xml:space="preserve"> </w:t>
      </w:r>
      <w:r w:rsidRPr="0052437D">
        <w:rPr>
          <w:rFonts w:eastAsia="Arial" w:cs="Arial"/>
          <w:i/>
          <w:sz w:val="18"/>
          <w:szCs w:val="18"/>
          <w:lang w:val="en-US"/>
        </w:rPr>
        <w:t>the</w:t>
      </w:r>
      <w:r w:rsidRPr="0052437D">
        <w:rPr>
          <w:rFonts w:eastAsia="Arial" w:cs="Arial"/>
          <w:i/>
          <w:spacing w:val="51"/>
          <w:sz w:val="18"/>
          <w:szCs w:val="18"/>
          <w:lang w:val="en-US"/>
        </w:rPr>
        <w:t xml:space="preserve"> </w:t>
      </w:r>
      <w:r w:rsidRPr="0052437D">
        <w:rPr>
          <w:rFonts w:eastAsia="Arial" w:cs="Arial"/>
          <w:i/>
          <w:sz w:val="18"/>
          <w:szCs w:val="18"/>
          <w:lang w:val="en-US"/>
        </w:rPr>
        <w:t>32 weeks</w:t>
      </w:r>
      <w:r w:rsidRPr="0052437D">
        <w:rPr>
          <w:rFonts w:eastAsia="Arial" w:cs="Arial"/>
          <w:i/>
          <w:spacing w:val="50"/>
          <w:sz w:val="18"/>
          <w:szCs w:val="18"/>
          <w:lang w:val="en-US"/>
        </w:rPr>
        <w:t xml:space="preserve"> </w:t>
      </w:r>
      <w:r w:rsidRPr="0052437D">
        <w:rPr>
          <w:rFonts w:eastAsia="Arial" w:cs="Arial"/>
          <w:i/>
          <w:sz w:val="18"/>
          <w:szCs w:val="18"/>
          <w:lang w:val="en-US"/>
        </w:rPr>
        <w:t>when they are</w:t>
      </w:r>
      <w:r w:rsidRPr="0052437D">
        <w:rPr>
          <w:rFonts w:eastAsia="Arial" w:cs="Arial"/>
          <w:i/>
          <w:spacing w:val="53"/>
          <w:sz w:val="18"/>
          <w:szCs w:val="18"/>
          <w:lang w:val="en-US"/>
        </w:rPr>
        <w:t xml:space="preserve"> </w:t>
      </w:r>
      <w:r w:rsidRPr="0052437D">
        <w:rPr>
          <w:rFonts w:eastAsia="Arial" w:cs="Arial"/>
          <w:i/>
          <w:sz w:val="18"/>
          <w:szCs w:val="18"/>
          <w:lang w:val="en-US"/>
        </w:rPr>
        <w:t xml:space="preserve">not </w:t>
      </w:r>
      <w:r w:rsidRPr="0052437D">
        <w:rPr>
          <w:rFonts w:eastAsia="Arial" w:cs="Arial"/>
          <w:i/>
          <w:spacing w:val="4"/>
          <w:sz w:val="18"/>
          <w:szCs w:val="18"/>
          <w:lang w:val="en-US"/>
        </w:rPr>
        <w:t xml:space="preserve"> </w:t>
      </w:r>
      <w:r w:rsidRPr="0052437D">
        <w:rPr>
          <w:rFonts w:eastAsia="Arial" w:cs="Arial"/>
          <w:i/>
          <w:sz w:val="18"/>
          <w:szCs w:val="18"/>
          <w:lang w:val="en-US"/>
        </w:rPr>
        <w:t>in</w:t>
      </w:r>
      <w:r w:rsidRPr="0052437D">
        <w:rPr>
          <w:rFonts w:eastAsia="Arial" w:cs="Arial"/>
          <w:i/>
          <w:spacing w:val="41"/>
          <w:sz w:val="18"/>
          <w:szCs w:val="18"/>
          <w:lang w:val="en-US"/>
        </w:rPr>
        <w:t xml:space="preserve"> </w:t>
      </w:r>
      <w:r w:rsidRPr="0052437D">
        <w:rPr>
          <w:rFonts w:eastAsia="Arial" w:cs="Arial"/>
          <w:i/>
          <w:sz w:val="18"/>
          <w:szCs w:val="18"/>
          <w:lang w:val="en-US"/>
        </w:rPr>
        <w:t>Canberra,</w:t>
      </w:r>
      <w:r w:rsidRPr="0052437D">
        <w:rPr>
          <w:rFonts w:eastAsia="Arial" w:cs="Arial"/>
          <w:i/>
          <w:spacing w:val="10"/>
          <w:sz w:val="18"/>
          <w:szCs w:val="18"/>
          <w:lang w:val="en-US"/>
        </w:rPr>
        <w:t xml:space="preserve"> </w:t>
      </w:r>
      <w:r w:rsidRPr="0052437D">
        <w:rPr>
          <w:rFonts w:eastAsia="Arial" w:cs="Arial"/>
          <w:i/>
          <w:sz w:val="18"/>
          <w:szCs w:val="18"/>
          <w:lang w:val="en-US"/>
        </w:rPr>
        <w:t>as</w:t>
      </w:r>
      <w:r w:rsidRPr="0052437D">
        <w:rPr>
          <w:rFonts w:eastAsia="Arial" w:cs="Arial"/>
          <w:i/>
          <w:spacing w:val="29"/>
          <w:sz w:val="18"/>
          <w:szCs w:val="18"/>
          <w:lang w:val="en-US"/>
        </w:rPr>
        <w:t xml:space="preserve"> </w:t>
      </w:r>
      <w:r w:rsidRPr="0052437D">
        <w:rPr>
          <w:rFonts w:eastAsia="Arial" w:cs="Arial"/>
          <w:i/>
          <w:sz w:val="18"/>
          <w:szCs w:val="18"/>
          <w:lang w:val="en-US"/>
        </w:rPr>
        <w:t>well</w:t>
      </w:r>
      <w:r w:rsidRPr="0052437D">
        <w:rPr>
          <w:rFonts w:eastAsia="Arial" w:cs="Arial"/>
          <w:i/>
          <w:spacing w:val="2"/>
          <w:sz w:val="18"/>
          <w:szCs w:val="18"/>
          <w:lang w:val="en-US"/>
        </w:rPr>
        <w:t xml:space="preserve"> </w:t>
      </w:r>
      <w:r w:rsidRPr="0052437D">
        <w:rPr>
          <w:rFonts w:eastAsia="Arial" w:cs="Arial"/>
          <w:i/>
          <w:sz w:val="18"/>
          <w:szCs w:val="18"/>
          <w:lang w:val="en-US"/>
        </w:rPr>
        <w:t>as</w:t>
      </w:r>
      <w:r w:rsidRPr="0052437D">
        <w:rPr>
          <w:rFonts w:eastAsia="Arial" w:cs="Arial"/>
          <w:i/>
          <w:spacing w:val="28"/>
          <w:sz w:val="18"/>
          <w:szCs w:val="18"/>
          <w:lang w:val="en-US"/>
        </w:rPr>
        <w:t xml:space="preserve"> </w:t>
      </w:r>
      <w:r w:rsidRPr="0052437D">
        <w:rPr>
          <w:rFonts w:eastAsia="Arial" w:cs="Arial"/>
          <w:i/>
          <w:sz w:val="18"/>
          <w:szCs w:val="18"/>
          <w:lang w:val="en-US"/>
        </w:rPr>
        <w:t>a</w:t>
      </w:r>
      <w:r w:rsidRPr="0052437D">
        <w:rPr>
          <w:rFonts w:eastAsia="Arial" w:cs="Arial"/>
          <w:i/>
          <w:spacing w:val="34"/>
          <w:sz w:val="18"/>
          <w:szCs w:val="18"/>
          <w:lang w:val="en-US"/>
        </w:rPr>
        <w:t xml:space="preserve"> </w:t>
      </w:r>
      <w:r w:rsidRPr="0052437D">
        <w:rPr>
          <w:rFonts w:eastAsia="Arial" w:cs="Arial"/>
          <w:i/>
          <w:sz w:val="18"/>
          <w:szCs w:val="18"/>
          <w:lang w:val="en-US"/>
        </w:rPr>
        <w:t>significant</w:t>
      </w:r>
      <w:r w:rsidRPr="0052437D">
        <w:rPr>
          <w:rFonts w:eastAsia="Arial" w:cs="Arial"/>
          <w:i/>
          <w:spacing w:val="22"/>
          <w:sz w:val="18"/>
          <w:szCs w:val="18"/>
          <w:lang w:val="en-US"/>
        </w:rPr>
        <w:t xml:space="preserve"> </w:t>
      </w:r>
      <w:r w:rsidRPr="0052437D">
        <w:rPr>
          <w:rFonts w:eastAsia="Arial" w:cs="Arial"/>
          <w:i/>
          <w:sz w:val="18"/>
          <w:szCs w:val="18"/>
          <w:lang w:val="en-US"/>
        </w:rPr>
        <w:t>portion</w:t>
      </w:r>
      <w:r w:rsidRPr="0052437D">
        <w:rPr>
          <w:rFonts w:eastAsia="Arial" w:cs="Arial"/>
          <w:i/>
          <w:spacing w:val="25"/>
          <w:sz w:val="18"/>
          <w:szCs w:val="18"/>
          <w:lang w:val="en-US"/>
        </w:rPr>
        <w:t xml:space="preserve"> </w:t>
      </w:r>
      <w:r w:rsidRPr="0052437D">
        <w:rPr>
          <w:rFonts w:eastAsia="Arial" w:cs="Arial"/>
          <w:i/>
          <w:sz w:val="18"/>
          <w:szCs w:val="18"/>
          <w:lang w:val="en-US"/>
        </w:rPr>
        <w:t>of</w:t>
      </w:r>
      <w:r w:rsidRPr="0052437D">
        <w:rPr>
          <w:rFonts w:eastAsia="Arial" w:cs="Arial"/>
          <w:i/>
          <w:spacing w:val="50"/>
          <w:sz w:val="18"/>
          <w:szCs w:val="18"/>
          <w:lang w:val="en-US"/>
        </w:rPr>
        <w:t xml:space="preserve"> </w:t>
      </w:r>
      <w:r w:rsidRPr="0052437D">
        <w:rPr>
          <w:rFonts w:eastAsia="Arial" w:cs="Arial"/>
          <w:i/>
          <w:sz w:val="18"/>
          <w:szCs w:val="18"/>
          <w:lang w:val="en-US"/>
        </w:rPr>
        <w:t>the</w:t>
      </w:r>
      <w:r w:rsidRPr="0052437D">
        <w:rPr>
          <w:rFonts w:eastAsia="Arial" w:cs="Arial"/>
          <w:i/>
          <w:spacing w:val="51"/>
          <w:sz w:val="18"/>
          <w:szCs w:val="18"/>
          <w:lang w:val="en-US"/>
        </w:rPr>
        <w:t xml:space="preserve"> </w:t>
      </w:r>
      <w:r w:rsidRPr="0052437D">
        <w:rPr>
          <w:rFonts w:eastAsia="Arial" w:cs="Arial"/>
          <w:i/>
          <w:sz w:val="18"/>
          <w:szCs w:val="18"/>
          <w:lang w:val="en-US"/>
        </w:rPr>
        <w:t>weeks when</w:t>
      </w:r>
      <w:r w:rsidRPr="0052437D">
        <w:rPr>
          <w:rFonts w:eastAsia="Arial" w:cs="Arial"/>
          <w:i/>
          <w:spacing w:val="34"/>
          <w:sz w:val="18"/>
          <w:szCs w:val="18"/>
          <w:lang w:val="en-US"/>
        </w:rPr>
        <w:t xml:space="preserve"> </w:t>
      </w:r>
      <w:r w:rsidRPr="0052437D">
        <w:rPr>
          <w:rFonts w:eastAsia="Arial" w:cs="Arial"/>
          <w:i/>
          <w:sz w:val="18"/>
          <w:szCs w:val="18"/>
          <w:lang w:val="en-US"/>
        </w:rPr>
        <w:t>they</w:t>
      </w:r>
      <w:r w:rsidRPr="0052437D">
        <w:rPr>
          <w:rFonts w:eastAsia="Arial" w:cs="Arial"/>
          <w:i/>
          <w:spacing w:val="40"/>
          <w:sz w:val="18"/>
          <w:szCs w:val="18"/>
          <w:lang w:val="en-US"/>
        </w:rPr>
        <w:t xml:space="preserve"> </w:t>
      </w:r>
      <w:r w:rsidRPr="0052437D">
        <w:rPr>
          <w:rFonts w:eastAsia="Arial" w:cs="Arial"/>
          <w:i/>
          <w:sz w:val="18"/>
          <w:szCs w:val="18"/>
          <w:lang w:val="en-US"/>
        </w:rPr>
        <w:t>are."</w:t>
      </w:r>
    </w:p>
    <w:p w:rsidR="008B77A9" w:rsidRPr="0052437D" w:rsidRDefault="008B77A9" w:rsidP="008B77A9">
      <w:pPr>
        <w:widowControl w:val="0"/>
        <w:spacing w:after="120"/>
        <w:ind w:right="250"/>
        <w:jc w:val="both"/>
        <w:rPr>
          <w:rFonts w:eastAsia="Arial" w:cs="Arial"/>
          <w:sz w:val="18"/>
          <w:szCs w:val="18"/>
          <w:lang w:val="en-US"/>
        </w:rPr>
      </w:pPr>
      <w:r w:rsidRPr="0052437D">
        <w:rPr>
          <w:rFonts w:eastAsia="Arial" w:cs="Arial"/>
          <w:sz w:val="18"/>
          <w:szCs w:val="18"/>
          <w:lang w:val="en-US"/>
        </w:rPr>
        <w:t>The</w:t>
      </w:r>
      <w:r w:rsidRPr="0052437D">
        <w:rPr>
          <w:rFonts w:eastAsia="Arial" w:cs="Arial"/>
          <w:spacing w:val="4"/>
          <w:sz w:val="18"/>
          <w:szCs w:val="18"/>
          <w:lang w:val="en-US"/>
        </w:rPr>
        <w:t xml:space="preserve"> </w:t>
      </w:r>
      <w:r w:rsidRPr="0052437D">
        <w:rPr>
          <w:rFonts w:eastAsia="Arial" w:cs="Arial"/>
          <w:sz w:val="18"/>
          <w:szCs w:val="18"/>
          <w:lang w:val="en-US"/>
        </w:rPr>
        <w:t>report went on to identify a number of principles</w:t>
      </w:r>
      <w:r w:rsidRPr="0052437D">
        <w:rPr>
          <w:rFonts w:eastAsia="Arial" w:cs="Arial"/>
          <w:spacing w:val="46"/>
          <w:sz w:val="18"/>
          <w:szCs w:val="18"/>
          <w:lang w:val="en-US"/>
        </w:rPr>
        <w:t xml:space="preserve"> </w:t>
      </w:r>
      <w:r w:rsidRPr="0052437D">
        <w:rPr>
          <w:rFonts w:eastAsia="Arial" w:cs="Arial"/>
          <w:sz w:val="18"/>
          <w:szCs w:val="18"/>
          <w:lang w:val="en-US"/>
        </w:rPr>
        <w:t>relevant</w:t>
      </w:r>
      <w:r w:rsidRPr="0052437D">
        <w:rPr>
          <w:rFonts w:eastAsia="Arial" w:cs="Arial"/>
          <w:spacing w:val="27"/>
          <w:sz w:val="18"/>
          <w:szCs w:val="18"/>
          <w:lang w:val="en-US"/>
        </w:rPr>
        <w:t xml:space="preserve"> </w:t>
      </w:r>
      <w:r w:rsidRPr="0052437D">
        <w:rPr>
          <w:rFonts w:eastAsia="Arial" w:cs="Arial"/>
          <w:sz w:val="18"/>
          <w:szCs w:val="18"/>
          <w:lang w:val="en-US"/>
        </w:rPr>
        <w:t>to</w:t>
      </w:r>
      <w:r w:rsidRPr="0052437D">
        <w:rPr>
          <w:rFonts w:eastAsia="Arial" w:cs="Arial"/>
          <w:spacing w:val="8"/>
          <w:sz w:val="18"/>
          <w:szCs w:val="18"/>
          <w:lang w:val="en-US"/>
        </w:rPr>
        <w:t xml:space="preserve"> </w:t>
      </w:r>
      <w:r w:rsidRPr="0052437D">
        <w:rPr>
          <w:rFonts w:eastAsia="Arial" w:cs="Arial"/>
          <w:sz w:val="18"/>
          <w:szCs w:val="18"/>
          <w:lang w:val="en-US"/>
        </w:rPr>
        <w:t>the determination</w:t>
      </w:r>
      <w:r w:rsidRPr="0052437D">
        <w:rPr>
          <w:rFonts w:eastAsia="Arial" w:cs="Arial"/>
          <w:spacing w:val="-2"/>
          <w:sz w:val="18"/>
          <w:szCs w:val="18"/>
          <w:lang w:val="en-US"/>
        </w:rPr>
        <w:t xml:space="preserve"> </w:t>
      </w:r>
      <w:r w:rsidRPr="0052437D">
        <w:rPr>
          <w:rFonts w:eastAsia="Arial" w:cs="Arial"/>
          <w:sz w:val="18"/>
          <w:szCs w:val="18"/>
          <w:lang w:val="en-US"/>
        </w:rPr>
        <w:t>of</w:t>
      </w:r>
      <w:r w:rsidRPr="0052437D">
        <w:rPr>
          <w:rFonts w:eastAsia="Arial" w:cs="Arial"/>
          <w:spacing w:val="24"/>
          <w:sz w:val="18"/>
          <w:szCs w:val="18"/>
          <w:lang w:val="en-US"/>
        </w:rPr>
        <w:t xml:space="preserve"> </w:t>
      </w:r>
      <w:r w:rsidRPr="0052437D">
        <w:rPr>
          <w:rFonts w:eastAsia="Arial" w:cs="Arial"/>
          <w:sz w:val="18"/>
          <w:szCs w:val="18"/>
          <w:lang w:val="en-US"/>
        </w:rPr>
        <w:t>salary</w:t>
      </w:r>
      <w:r w:rsidRPr="0052437D">
        <w:rPr>
          <w:rFonts w:eastAsia="Arial" w:cs="Arial"/>
          <w:spacing w:val="54"/>
          <w:sz w:val="18"/>
          <w:szCs w:val="18"/>
          <w:lang w:val="en-US"/>
        </w:rPr>
        <w:t xml:space="preserve"> </w:t>
      </w:r>
      <w:r w:rsidRPr="0052437D">
        <w:rPr>
          <w:rFonts w:eastAsia="Arial" w:cs="Arial"/>
          <w:sz w:val="18"/>
          <w:szCs w:val="18"/>
          <w:lang w:val="en-US"/>
        </w:rPr>
        <w:t>and</w:t>
      </w:r>
      <w:r w:rsidRPr="0052437D">
        <w:rPr>
          <w:rFonts w:eastAsia="Arial" w:cs="Arial"/>
          <w:spacing w:val="27"/>
          <w:sz w:val="18"/>
          <w:szCs w:val="18"/>
          <w:lang w:val="en-US"/>
        </w:rPr>
        <w:t xml:space="preserve"> </w:t>
      </w:r>
      <w:r w:rsidRPr="0052437D">
        <w:rPr>
          <w:rFonts w:eastAsia="Arial" w:cs="Arial"/>
          <w:sz w:val="18"/>
          <w:szCs w:val="18"/>
          <w:lang w:val="en-US"/>
        </w:rPr>
        <w:t>allowances.</w:t>
      </w:r>
      <w:r w:rsidRPr="0052437D">
        <w:rPr>
          <w:rFonts w:eastAsia="Arial" w:cs="Arial"/>
          <w:spacing w:val="41"/>
          <w:sz w:val="18"/>
          <w:szCs w:val="18"/>
          <w:lang w:val="en-US"/>
        </w:rPr>
        <w:t xml:space="preserve"> </w:t>
      </w:r>
      <w:r w:rsidRPr="0052437D">
        <w:rPr>
          <w:rFonts w:eastAsia="Arial" w:cs="Arial"/>
          <w:sz w:val="18"/>
          <w:szCs w:val="18"/>
          <w:lang w:val="en-US"/>
        </w:rPr>
        <w:t>They</w:t>
      </w:r>
      <w:r w:rsidRPr="0052437D">
        <w:rPr>
          <w:rFonts w:eastAsia="Arial" w:cs="Arial"/>
          <w:spacing w:val="32"/>
          <w:sz w:val="18"/>
          <w:szCs w:val="18"/>
          <w:lang w:val="en-US"/>
        </w:rPr>
        <w:t xml:space="preserve"> </w:t>
      </w:r>
      <w:r w:rsidRPr="0052437D">
        <w:rPr>
          <w:rFonts w:eastAsia="Arial" w:cs="Arial"/>
          <w:sz w:val="18"/>
          <w:szCs w:val="18"/>
          <w:lang w:val="en-US"/>
        </w:rPr>
        <w:t>are:</w:t>
      </w:r>
    </w:p>
    <w:p w:rsidR="008B77A9" w:rsidRPr="0052437D" w:rsidRDefault="008B77A9" w:rsidP="008B77A9">
      <w:pPr>
        <w:widowControl w:val="0"/>
        <w:spacing w:after="120"/>
        <w:ind w:left="567" w:right="246" w:hanging="141"/>
        <w:jc w:val="both"/>
        <w:rPr>
          <w:rFonts w:eastAsia="Arial" w:cs="Arial"/>
          <w:sz w:val="18"/>
          <w:szCs w:val="18"/>
          <w:lang w:val="en-US"/>
        </w:rPr>
      </w:pPr>
      <w:r w:rsidRPr="0052437D">
        <w:rPr>
          <w:rFonts w:eastAsia="Arial" w:cs="Arial"/>
          <w:i/>
          <w:sz w:val="18"/>
          <w:szCs w:val="18"/>
          <w:lang w:val="en-US"/>
        </w:rPr>
        <w:t>"</w:t>
      </w:r>
      <w:r w:rsidRPr="0052437D">
        <w:rPr>
          <w:rFonts w:eastAsia="Arial" w:cs="Arial"/>
          <w:i/>
          <w:sz w:val="18"/>
          <w:szCs w:val="18"/>
          <w:lang w:val="en-US"/>
        </w:rPr>
        <w:tab/>
        <w:t>The Tribunal in considering both personal</w:t>
      </w:r>
      <w:r w:rsidRPr="0052437D">
        <w:rPr>
          <w:rFonts w:eastAsia="Arial" w:cs="Arial"/>
          <w:i/>
          <w:spacing w:val="3"/>
          <w:sz w:val="18"/>
          <w:szCs w:val="18"/>
          <w:lang w:val="en-US"/>
        </w:rPr>
        <w:t xml:space="preserve"> </w:t>
      </w:r>
      <w:r w:rsidRPr="0052437D">
        <w:rPr>
          <w:rFonts w:eastAsia="Arial" w:cs="Arial"/>
          <w:i/>
          <w:sz w:val="18"/>
          <w:szCs w:val="18"/>
          <w:lang w:val="en-US"/>
        </w:rPr>
        <w:t>remuneration</w:t>
      </w:r>
      <w:r w:rsidRPr="0052437D">
        <w:rPr>
          <w:rFonts w:eastAsia="Arial" w:cs="Arial"/>
          <w:i/>
          <w:spacing w:val="2"/>
          <w:sz w:val="18"/>
          <w:szCs w:val="18"/>
          <w:lang w:val="en-US"/>
        </w:rPr>
        <w:t xml:space="preserve"> </w:t>
      </w:r>
      <w:r w:rsidRPr="0052437D">
        <w:rPr>
          <w:rFonts w:eastAsia="Arial" w:cs="Arial"/>
          <w:i/>
          <w:sz w:val="18"/>
          <w:szCs w:val="18"/>
          <w:lang w:val="en-US"/>
        </w:rPr>
        <w:t>of the individuals</w:t>
      </w:r>
      <w:r w:rsidRPr="0052437D">
        <w:rPr>
          <w:rFonts w:eastAsia="Arial" w:cs="Arial"/>
          <w:i/>
          <w:spacing w:val="34"/>
          <w:sz w:val="18"/>
          <w:szCs w:val="18"/>
          <w:lang w:val="en-US"/>
        </w:rPr>
        <w:t xml:space="preserve"> </w:t>
      </w:r>
      <w:r w:rsidRPr="0052437D">
        <w:rPr>
          <w:rFonts w:eastAsia="Arial" w:cs="Arial"/>
          <w:i/>
          <w:sz w:val="18"/>
          <w:szCs w:val="18"/>
          <w:lang w:val="en-US"/>
        </w:rPr>
        <w:t>who</w:t>
      </w:r>
      <w:r w:rsidRPr="0052437D">
        <w:rPr>
          <w:rFonts w:eastAsia="Arial" w:cs="Arial"/>
          <w:i/>
          <w:spacing w:val="47"/>
          <w:sz w:val="18"/>
          <w:szCs w:val="18"/>
          <w:lang w:val="en-US"/>
        </w:rPr>
        <w:t xml:space="preserve"> </w:t>
      </w:r>
      <w:r w:rsidRPr="0052437D">
        <w:rPr>
          <w:rFonts w:eastAsia="Arial" w:cs="Arial"/>
          <w:i/>
          <w:sz w:val="18"/>
          <w:szCs w:val="18"/>
          <w:lang w:val="en-US"/>
        </w:rPr>
        <w:t>serve</w:t>
      </w:r>
      <w:r w:rsidRPr="0052437D">
        <w:rPr>
          <w:rFonts w:eastAsia="Arial" w:cs="Arial"/>
          <w:i/>
          <w:spacing w:val="8"/>
          <w:sz w:val="18"/>
          <w:szCs w:val="18"/>
          <w:lang w:val="en-US"/>
        </w:rPr>
        <w:t xml:space="preserve"> </w:t>
      </w:r>
      <w:r w:rsidRPr="0052437D">
        <w:rPr>
          <w:rFonts w:eastAsia="Arial" w:cs="Arial"/>
          <w:i/>
          <w:sz w:val="18"/>
          <w:szCs w:val="18"/>
          <w:lang w:val="en-US"/>
        </w:rPr>
        <w:t>in</w:t>
      </w:r>
      <w:r w:rsidRPr="0052437D">
        <w:rPr>
          <w:rFonts w:eastAsia="Arial" w:cs="Arial"/>
          <w:i/>
          <w:spacing w:val="55"/>
          <w:sz w:val="18"/>
          <w:szCs w:val="18"/>
          <w:lang w:val="en-US"/>
        </w:rPr>
        <w:t xml:space="preserve"> </w:t>
      </w:r>
      <w:r w:rsidRPr="0052437D">
        <w:rPr>
          <w:rFonts w:eastAsia="Arial" w:cs="Arial"/>
          <w:i/>
          <w:sz w:val="18"/>
          <w:szCs w:val="18"/>
          <w:lang w:val="en-US"/>
        </w:rPr>
        <w:t>Parliament,</w:t>
      </w:r>
      <w:r w:rsidRPr="0052437D">
        <w:rPr>
          <w:rFonts w:eastAsia="Arial" w:cs="Arial"/>
          <w:i/>
          <w:spacing w:val="13"/>
          <w:sz w:val="18"/>
          <w:szCs w:val="18"/>
          <w:lang w:val="en-US"/>
        </w:rPr>
        <w:t xml:space="preserve"> </w:t>
      </w:r>
      <w:r w:rsidRPr="0052437D">
        <w:rPr>
          <w:rFonts w:eastAsia="Arial" w:cs="Arial"/>
          <w:i/>
          <w:sz w:val="18"/>
          <w:szCs w:val="18"/>
          <w:lang w:val="en-US"/>
        </w:rPr>
        <w:t>and</w:t>
      </w:r>
      <w:r w:rsidRPr="0052437D">
        <w:rPr>
          <w:rFonts w:eastAsia="Arial" w:cs="Arial"/>
          <w:i/>
          <w:spacing w:val="57"/>
          <w:sz w:val="18"/>
          <w:szCs w:val="18"/>
          <w:lang w:val="en-US"/>
        </w:rPr>
        <w:t xml:space="preserve"> </w:t>
      </w:r>
      <w:r w:rsidRPr="0052437D">
        <w:rPr>
          <w:rFonts w:eastAsia="Arial" w:cs="Arial"/>
          <w:i/>
          <w:sz w:val="18"/>
          <w:szCs w:val="18"/>
          <w:lang w:val="en-US"/>
        </w:rPr>
        <w:t>how best</w:t>
      </w:r>
      <w:r w:rsidRPr="0052437D">
        <w:rPr>
          <w:rFonts w:eastAsia="Arial" w:cs="Arial"/>
          <w:i/>
          <w:spacing w:val="7"/>
          <w:sz w:val="18"/>
          <w:szCs w:val="18"/>
          <w:lang w:val="en-US"/>
        </w:rPr>
        <w:t xml:space="preserve"> </w:t>
      </w:r>
      <w:r w:rsidRPr="0052437D">
        <w:rPr>
          <w:rFonts w:eastAsia="Arial" w:cs="Arial"/>
          <w:i/>
          <w:sz w:val="18"/>
          <w:szCs w:val="18"/>
          <w:lang w:val="en-US"/>
        </w:rPr>
        <w:t>their parliamentary and</w:t>
      </w:r>
      <w:r w:rsidRPr="0052437D">
        <w:rPr>
          <w:rFonts w:eastAsia="Arial" w:cs="Arial"/>
          <w:i/>
          <w:spacing w:val="28"/>
          <w:sz w:val="18"/>
          <w:szCs w:val="18"/>
          <w:lang w:val="en-US"/>
        </w:rPr>
        <w:t xml:space="preserve"> </w:t>
      </w:r>
      <w:r w:rsidRPr="0052437D">
        <w:rPr>
          <w:rFonts w:eastAsia="Arial" w:cs="Arial"/>
          <w:i/>
          <w:sz w:val="18"/>
          <w:szCs w:val="18"/>
          <w:lang w:val="en-US"/>
        </w:rPr>
        <w:t>electorate</w:t>
      </w:r>
      <w:r w:rsidRPr="0052437D">
        <w:rPr>
          <w:rFonts w:eastAsia="Arial" w:cs="Arial"/>
          <w:i/>
          <w:spacing w:val="7"/>
          <w:sz w:val="18"/>
          <w:szCs w:val="18"/>
          <w:lang w:val="en-US"/>
        </w:rPr>
        <w:t xml:space="preserve"> </w:t>
      </w:r>
      <w:r w:rsidRPr="0052437D">
        <w:rPr>
          <w:rFonts w:eastAsia="Arial" w:cs="Arial"/>
          <w:i/>
          <w:sz w:val="18"/>
          <w:szCs w:val="18"/>
          <w:lang w:val="en-US"/>
        </w:rPr>
        <w:t>business</w:t>
      </w:r>
      <w:r w:rsidRPr="0052437D">
        <w:rPr>
          <w:rFonts w:eastAsia="Arial" w:cs="Arial"/>
          <w:i/>
          <w:spacing w:val="30"/>
          <w:sz w:val="18"/>
          <w:szCs w:val="18"/>
          <w:lang w:val="en-US"/>
        </w:rPr>
        <w:t xml:space="preserve"> </w:t>
      </w:r>
      <w:r w:rsidRPr="0052437D">
        <w:rPr>
          <w:rFonts w:eastAsia="Arial" w:cs="Arial"/>
          <w:i/>
          <w:sz w:val="18"/>
          <w:szCs w:val="18"/>
          <w:lang w:val="en-US"/>
        </w:rPr>
        <w:t>should</w:t>
      </w:r>
      <w:r w:rsidRPr="0052437D">
        <w:rPr>
          <w:rFonts w:eastAsia="Arial" w:cs="Arial"/>
          <w:i/>
          <w:spacing w:val="39"/>
          <w:sz w:val="18"/>
          <w:szCs w:val="18"/>
          <w:lang w:val="en-US"/>
        </w:rPr>
        <w:t xml:space="preserve"> </w:t>
      </w:r>
      <w:r w:rsidRPr="0052437D">
        <w:rPr>
          <w:rFonts w:eastAsia="Arial" w:cs="Arial"/>
          <w:i/>
          <w:sz w:val="18"/>
          <w:szCs w:val="18"/>
          <w:lang w:val="en-US"/>
        </w:rPr>
        <w:t>be supported</w:t>
      </w:r>
      <w:r w:rsidRPr="0052437D">
        <w:rPr>
          <w:rFonts w:eastAsia="Arial" w:cs="Arial"/>
          <w:i/>
          <w:spacing w:val="11"/>
          <w:sz w:val="18"/>
          <w:szCs w:val="18"/>
          <w:lang w:val="en-US"/>
        </w:rPr>
        <w:t xml:space="preserve"> </w:t>
      </w:r>
      <w:r w:rsidRPr="0052437D">
        <w:rPr>
          <w:rFonts w:eastAsia="Arial" w:cs="Arial"/>
          <w:i/>
          <w:sz w:val="18"/>
          <w:szCs w:val="18"/>
          <w:lang w:val="en-US"/>
        </w:rPr>
        <w:t>by public</w:t>
      </w:r>
      <w:r w:rsidRPr="0052437D">
        <w:rPr>
          <w:rFonts w:eastAsia="Arial" w:cs="Arial"/>
          <w:i/>
          <w:spacing w:val="42"/>
          <w:sz w:val="18"/>
          <w:szCs w:val="18"/>
          <w:lang w:val="en-US"/>
        </w:rPr>
        <w:t xml:space="preserve"> </w:t>
      </w:r>
      <w:r w:rsidRPr="0052437D">
        <w:rPr>
          <w:rFonts w:eastAsia="Arial" w:cs="Arial"/>
          <w:i/>
          <w:sz w:val="18"/>
          <w:szCs w:val="18"/>
          <w:lang w:val="en-US"/>
        </w:rPr>
        <w:t>funding, has relied</w:t>
      </w:r>
      <w:r w:rsidRPr="0052437D">
        <w:rPr>
          <w:rFonts w:eastAsia="Arial" w:cs="Arial"/>
          <w:i/>
          <w:spacing w:val="52"/>
          <w:sz w:val="18"/>
          <w:szCs w:val="18"/>
          <w:lang w:val="en-US"/>
        </w:rPr>
        <w:t xml:space="preserve"> </w:t>
      </w:r>
      <w:r w:rsidRPr="0052437D">
        <w:rPr>
          <w:rFonts w:eastAsia="Arial" w:cs="Arial"/>
          <w:i/>
          <w:sz w:val="18"/>
          <w:szCs w:val="18"/>
          <w:lang w:val="en-US"/>
        </w:rPr>
        <w:t>on</w:t>
      </w:r>
      <w:r w:rsidRPr="0052437D">
        <w:rPr>
          <w:rFonts w:eastAsia="Arial" w:cs="Arial"/>
          <w:i/>
          <w:spacing w:val="16"/>
          <w:sz w:val="18"/>
          <w:szCs w:val="18"/>
          <w:lang w:val="en-US"/>
        </w:rPr>
        <w:t xml:space="preserve"> </w:t>
      </w:r>
      <w:r w:rsidRPr="0052437D">
        <w:rPr>
          <w:rFonts w:eastAsia="Arial" w:cs="Arial"/>
          <w:i/>
          <w:sz w:val="18"/>
          <w:szCs w:val="18"/>
          <w:lang w:val="en-US"/>
        </w:rPr>
        <w:t>a</w:t>
      </w:r>
      <w:r w:rsidRPr="0052437D">
        <w:rPr>
          <w:rFonts w:eastAsia="Arial" w:cs="Arial"/>
          <w:i/>
          <w:spacing w:val="16"/>
          <w:sz w:val="18"/>
          <w:szCs w:val="18"/>
          <w:lang w:val="en-US"/>
        </w:rPr>
        <w:t xml:space="preserve"> </w:t>
      </w:r>
      <w:r w:rsidRPr="0052437D">
        <w:rPr>
          <w:rFonts w:eastAsia="Arial" w:cs="Arial"/>
          <w:i/>
          <w:sz w:val="18"/>
          <w:szCs w:val="18"/>
          <w:lang w:val="en-US"/>
        </w:rPr>
        <w:t>number of</w:t>
      </w:r>
      <w:r w:rsidRPr="0052437D">
        <w:rPr>
          <w:rFonts w:eastAsia="Arial" w:cs="Arial"/>
          <w:i/>
          <w:spacing w:val="23"/>
          <w:sz w:val="18"/>
          <w:szCs w:val="18"/>
          <w:lang w:val="en-US"/>
        </w:rPr>
        <w:t xml:space="preserve"> </w:t>
      </w:r>
      <w:r w:rsidRPr="0052437D">
        <w:rPr>
          <w:rFonts w:eastAsia="Arial" w:cs="Arial"/>
          <w:i/>
          <w:sz w:val="18"/>
          <w:szCs w:val="18"/>
          <w:lang w:val="en-US"/>
        </w:rPr>
        <w:t xml:space="preserve">principles. </w:t>
      </w:r>
      <w:r w:rsidRPr="0052437D">
        <w:rPr>
          <w:rFonts w:eastAsia="Arial" w:cs="Arial"/>
          <w:i/>
          <w:spacing w:val="12"/>
          <w:sz w:val="18"/>
          <w:szCs w:val="18"/>
          <w:lang w:val="en-US"/>
        </w:rPr>
        <w:t xml:space="preserve"> </w:t>
      </w:r>
      <w:r w:rsidRPr="0052437D">
        <w:rPr>
          <w:rFonts w:eastAsia="Arial" w:cs="Arial"/>
          <w:i/>
          <w:sz w:val="18"/>
          <w:szCs w:val="18"/>
          <w:lang w:val="en-US"/>
        </w:rPr>
        <w:t>These</w:t>
      </w:r>
      <w:r w:rsidRPr="0052437D">
        <w:rPr>
          <w:rFonts w:eastAsia="Arial" w:cs="Arial"/>
          <w:i/>
          <w:spacing w:val="12"/>
          <w:sz w:val="18"/>
          <w:szCs w:val="18"/>
          <w:lang w:val="en-US"/>
        </w:rPr>
        <w:t xml:space="preserve"> </w:t>
      </w:r>
      <w:r w:rsidRPr="0052437D">
        <w:rPr>
          <w:rFonts w:eastAsia="Arial" w:cs="Arial"/>
          <w:i/>
          <w:sz w:val="18"/>
          <w:szCs w:val="18"/>
          <w:lang w:val="en-US"/>
        </w:rPr>
        <w:t>include:</w:t>
      </w:r>
    </w:p>
    <w:p w:rsidR="008B77A9" w:rsidRPr="0052437D" w:rsidRDefault="008B77A9" w:rsidP="008B77A9">
      <w:pPr>
        <w:widowControl w:val="0"/>
        <w:spacing w:after="120"/>
        <w:ind w:left="1134" w:right="248" w:hanging="350"/>
        <w:jc w:val="both"/>
        <w:rPr>
          <w:rFonts w:eastAsia="Arial" w:cs="Arial"/>
          <w:sz w:val="18"/>
          <w:szCs w:val="18"/>
          <w:lang w:val="en-US"/>
        </w:rPr>
      </w:pPr>
      <w:r w:rsidRPr="0052437D">
        <w:rPr>
          <w:rFonts w:eastAsia="Arial" w:cs="Arial"/>
          <w:sz w:val="18"/>
          <w:szCs w:val="18"/>
          <w:lang w:val="en-US"/>
        </w:rPr>
        <w:t>•</w:t>
      </w:r>
      <w:r w:rsidRPr="0052437D">
        <w:rPr>
          <w:rFonts w:eastAsia="Arial" w:cs="Arial"/>
          <w:spacing w:val="-53"/>
          <w:sz w:val="18"/>
          <w:szCs w:val="18"/>
          <w:lang w:val="en-US"/>
        </w:rPr>
        <w:t xml:space="preserve"> </w:t>
      </w:r>
      <w:r w:rsidRPr="0052437D">
        <w:rPr>
          <w:rFonts w:eastAsia="Arial" w:cs="Arial"/>
          <w:sz w:val="18"/>
          <w:szCs w:val="18"/>
          <w:lang w:val="en-US"/>
        </w:rPr>
        <w:tab/>
      </w:r>
      <w:r w:rsidRPr="0052437D">
        <w:rPr>
          <w:rFonts w:eastAsia="Arial" w:cs="Arial"/>
          <w:i/>
          <w:sz w:val="18"/>
          <w:szCs w:val="18"/>
          <w:lang w:val="en-US"/>
        </w:rPr>
        <w:t>parliamentary</w:t>
      </w:r>
      <w:r w:rsidRPr="0052437D">
        <w:rPr>
          <w:rFonts w:eastAsia="Arial" w:cs="Arial"/>
          <w:i/>
          <w:spacing w:val="2"/>
          <w:sz w:val="18"/>
          <w:szCs w:val="18"/>
          <w:lang w:val="en-US"/>
        </w:rPr>
        <w:t xml:space="preserve"> </w:t>
      </w:r>
      <w:r w:rsidRPr="0052437D">
        <w:rPr>
          <w:rFonts w:eastAsia="Arial" w:cs="Arial"/>
          <w:i/>
          <w:sz w:val="18"/>
          <w:szCs w:val="18"/>
          <w:lang w:val="en-US"/>
        </w:rPr>
        <w:t>remuneration</w:t>
      </w:r>
      <w:r w:rsidRPr="0052437D">
        <w:rPr>
          <w:rFonts w:eastAsia="Arial" w:cs="Arial"/>
          <w:i/>
          <w:spacing w:val="64"/>
          <w:sz w:val="18"/>
          <w:szCs w:val="18"/>
          <w:lang w:val="en-US"/>
        </w:rPr>
        <w:t xml:space="preserve"> </w:t>
      </w:r>
      <w:r w:rsidRPr="0052437D">
        <w:rPr>
          <w:rFonts w:eastAsia="Arial" w:cs="Arial"/>
          <w:i/>
          <w:sz w:val="18"/>
          <w:szCs w:val="18"/>
          <w:lang w:val="en-US"/>
        </w:rPr>
        <w:t>(like</w:t>
      </w:r>
      <w:r w:rsidRPr="0052437D">
        <w:rPr>
          <w:rFonts w:eastAsia="Arial" w:cs="Arial"/>
          <w:i/>
          <w:spacing w:val="6"/>
          <w:sz w:val="18"/>
          <w:szCs w:val="18"/>
          <w:lang w:val="en-US"/>
        </w:rPr>
        <w:t xml:space="preserve"> </w:t>
      </w:r>
      <w:r w:rsidRPr="0052437D">
        <w:rPr>
          <w:rFonts w:eastAsia="Arial" w:cs="Arial"/>
          <w:i/>
          <w:sz w:val="18"/>
          <w:szCs w:val="18"/>
          <w:lang w:val="en-US"/>
        </w:rPr>
        <w:t>other</w:t>
      </w:r>
      <w:r w:rsidRPr="0052437D">
        <w:rPr>
          <w:rFonts w:eastAsia="Arial" w:cs="Arial"/>
          <w:i/>
          <w:spacing w:val="52"/>
          <w:sz w:val="18"/>
          <w:szCs w:val="18"/>
          <w:lang w:val="en-US"/>
        </w:rPr>
        <w:t xml:space="preserve"> </w:t>
      </w:r>
      <w:r w:rsidRPr="0052437D">
        <w:rPr>
          <w:rFonts w:eastAsia="Arial" w:cs="Arial"/>
          <w:i/>
          <w:sz w:val="18"/>
          <w:szCs w:val="18"/>
          <w:lang w:val="en-US"/>
        </w:rPr>
        <w:t>remuneration determined</w:t>
      </w:r>
      <w:r w:rsidRPr="0052437D">
        <w:rPr>
          <w:rFonts w:eastAsia="Arial" w:cs="Arial"/>
          <w:i/>
          <w:spacing w:val="6"/>
          <w:sz w:val="18"/>
          <w:szCs w:val="18"/>
          <w:lang w:val="en-US"/>
        </w:rPr>
        <w:t xml:space="preserve"> </w:t>
      </w:r>
      <w:r w:rsidRPr="0052437D">
        <w:rPr>
          <w:rFonts w:eastAsia="Arial" w:cs="Arial"/>
          <w:i/>
          <w:sz w:val="18"/>
          <w:szCs w:val="18"/>
          <w:lang w:val="en-US"/>
        </w:rPr>
        <w:t>by</w:t>
      </w:r>
      <w:r w:rsidRPr="0052437D">
        <w:rPr>
          <w:rFonts w:eastAsia="Arial" w:cs="Arial"/>
          <w:i/>
          <w:spacing w:val="39"/>
          <w:sz w:val="18"/>
          <w:szCs w:val="18"/>
          <w:lang w:val="en-US"/>
        </w:rPr>
        <w:t xml:space="preserve"> </w:t>
      </w:r>
      <w:r w:rsidRPr="0052437D">
        <w:rPr>
          <w:rFonts w:eastAsia="Arial" w:cs="Arial"/>
          <w:i/>
          <w:sz w:val="18"/>
          <w:szCs w:val="18"/>
          <w:lang w:val="en-US"/>
        </w:rPr>
        <w:t>the</w:t>
      </w:r>
      <w:r w:rsidRPr="0052437D">
        <w:rPr>
          <w:rFonts w:eastAsia="Arial" w:cs="Arial"/>
          <w:i/>
          <w:spacing w:val="33"/>
          <w:sz w:val="18"/>
          <w:szCs w:val="18"/>
          <w:lang w:val="en-US"/>
        </w:rPr>
        <w:t xml:space="preserve"> </w:t>
      </w:r>
      <w:r w:rsidRPr="0052437D">
        <w:rPr>
          <w:rFonts w:eastAsia="Arial" w:cs="Arial"/>
          <w:i/>
          <w:sz w:val="18"/>
          <w:szCs w:val="18"/>
          <w:lang w:val="en-US"/>
        </w:rPr>
        <w:t>Tribunal)</w:t>
      </w:r>
      <w:r w:rsidRPr="0052437D">
        <w:rPr>
          <w:rFonts w:eastAsia="Arial" w:cs="Arial"/>
          <w:i/>
          <w:spacing w:val="1"/>
          <w:sz w:val="18"/>
          <w:szCs w:val="18"/>
          <w:lang w:val="en-US"/>
        </w:rPr>
        <w:t xml:space="preserve"> </w:t>
      </w:r>
      <w:r w:rsidRPr="0052437D">
        <w:rPr>
          <w:rFonts w:eastAsia="Arial" w:cs="Arial"/>
          <w:i/>
          <w:sz w:val="18"/>
          <w:szCs w:val="18"/>
          <w:lang w:val="en-US"/>
        </w:rPr>
        <w:t>should</w:t>
      </w:r>
      <w:r w:rsidRPr="0052437D">
        <w:rPr>
          <w:rFonts w:eastAsia="Arial" w:cs="Arial"/>
          <w:i/>
          <w:spacing w:val="52"/>
          <w:sz w:val="18"/>
          <w:szCs w:val="18"/>
          <w:lang w:val="en-US"/>
        </w:rPr>
        <w:t xml:space="preserve"> </w:t>
      </w:r>
      <w:r w:rsidRPr="0052437D">
        <w:rPr>
          <w:rFonts w:eastAsia="Arial" w:cs="Arial"/>
          <w:i/>
          <w:sz w:val="18"/>
          <w:szCs w:val="18"/>
          <w:lang w:val="en-US"/>
        </w:rPr>
        <w:t>be</w:t>
      </w:r>
      <w:r w:rsidRPr="0052437D">
        <w:rPr>
          <w:rFonts w:eastAsia="Arial" w:cs="Arial"/>
          <w:i/>
          <w:spacing w:val="21"/>
          <w:sz w:val="18"/>
          <w:szCs w:val="18"/>
          <w:lang w:val="en-US"/>
        </w:rPr>
        <w:t xml:space="preserve"> </w:t>
      </w:r>
      <w:r w:rsidRPr="0052437D">
        <w:rPr>
          <w:rFonts w:eastAsia="Arial" w:cs="Arial"/>
          <w:i/>
          <w:sz w:val="18"/>
          <w:szCs w:val="18"/>
          <w:lang w:val="en-US"/>
        </w:rPr>
        <w:t>set</w:t>
      </w:r>
      <w:r w:rsidRPr="0052437D">
        <w:rPr>
          <w:rFonts w:eastAsia="Arial" w:cs="Arial"/>
          <w:i/>
          <w:spacing w:val="41"/>
          <w:sz w:val="18"/>
          <w:szCs w:val="18"/>
          <w:lang w:val="en-US"/>
        </w:rPr>
        <w:t xml:space="preserve"> </w:t>
      </w:r>
      <w:r w:rsidRPr="0052437D">
        <w:rPr>
          <w:rFonts w:eastAsia="Arial" w:cs="Arial"/>
          <w:i/>
          <w:sz w:val="18"/>
          <w:szCs w:val="18"/>
          <w:lang w:val="en-US"/>
        </w:rPr>
        <w:t>based</w:t>
      </w:r>
      <w:r w:rsidRPr="0052437D">
        <w:rPr>
          <w:rFonts w:eastAsia="Arial" w:cs="Arial"/>
          <w:i/>
          <w:spacing w:val="32"/>
          <w:sz w:val="18"/>
          <w:szCs w:val="18"/>
          <w:lang w:val="en-US"/>
        </w:rPr>
        <w:t xml:space="preserve"> </w:t>
      </w:r>
      <w:r w:rsidRPr="0052437D">
        <w:rPr>
          <w:rFonts w:eastAsia="Arial" w:cs="Arial"/>
          <w:i/>
          <w:sz w:val="18"/>
          <w:szCs w:val="18"/>
          <w:lang w:val="en-US"/>
        </w:rPr>
        <w:t>on</w:t>
      </w:r>
      <w:r w:rsidRPr="0052437D">
        <w:rPr>
          <w:rFonts w:eastAsia="Arial" w:cs="Arial"/>
          <w:i/>
          <w:spacing w:val="24"/>
          <w:sz w:val="18"/>
          <w:szCs w:val="18"/>
          <w:lang w:val="en-US"/>
        </w:rPr>
        <w:t xml:space="preserve"> </w:t>
      </w:r>
      <w:r w:rsidRPr="0052437D">
        <w:rPr>
          <w:rFonts w:eastAsia="Arial" w:cs="Arial"/>
          <w:i/>
          <w:sz w:val="18"/>
          <w:szCs w:val="18"/>
          <w:lang w:val="en-US"/>
        </w:rPr>
        <w:t>the</w:t>
      </w:r>
      <w:r w:rsidRPr="0052437D">
        <w:rPr>
          <w:rFonts w:eastAsia="Arial" w:cs="Arial"/>
          <w:i/>
          <w:spacing w:val="42"/>
          <w:sz w:val="18"/>
          <w:szCs w:val="18"/>
          <w:lang w:val="en-US"/>
        </w:rPr>
        <w:t xml:space="preserve"> </w:t>
      </w:r>
      <w:r w:rsidRPr="0052437D">
        <w:rPr>
          <w:rFonts w:eastAsia="Arial" w:cs="Arial"/>
          <w:i/>
          <w:sz w:val="18"/>
          <w:szCs w:val="18"/>
          <w:lang w:val="en-US"/>
        </w:rPr>
        <w:t>role</w:t>
      </w:r>
      <w:r w:rsidRPr="0052437D">
        <w:rPr>
          <w:rFonts w:eastAsia="Arial" w:cs="Arial"/>
          <w:i/>
          <w:spacing w:val="36"/>
          <w:sz w:val="18"/>
          <w:szCs w:val="18"/>
          <w:lang w:val="en-US"/>
        </w:rPr>
        <w:t xml:space="preserve"> </w:t>
      </w:r>
      <w:r w:rsidRPr="0052437D">
        <w:rPr>
          <w:rFonts w:eastAsia="Arial" w:cs="Arial"/>
          <w:i/>
          <w:sz w:val="18"/>
          <w:szCs w:val="18"/>
          <w:lang w:val="en-US"/>
        </w:rPr>
        <w:t>and responsibilities</w:t>
      </w:r>
      <w:r w:rsidRPr="0052437D">
        <w:rPr>
          <w:rFonts w:eastAsia="Arial" w:cs="Arial"/>
          <w:i/>
          <w:spacing w:val="10"/>
          <w:sz w:val="18"/>
          <w:szCs w:val="18"/>
          <w:lang w:val="en-US"/>
        </w:rPr>
        <w:t xml:space="preserve"> </w:t>
      </w:r>
      <w:r w:rsidRPr="0052437D">
        <w:rPr>
          <w:rFonts w:eastAsia="Arial" w:cs="Arial"/>
          <w:i/>
          <w:sz w:val="18"/>
          <w:szCs w:val="18"/>
          <w:lang w:val="en-US"/>
        </w:rPr>
        <w:t>of</w:t>
      </w:r>
      <w:r w:rsidRPr="0052437D">
        <w:rPr>
          <w:rFonts w:eastAsia="Arial" w:cs="Arial"/>
          <w:i/>
          <w:spacing w:val="20"/>
          <w:sz w:val="18"/>
          <w:szCs w:val="18"/>
          <w:lang w:val="en-US"/>
        </w:rPr>
        <w:t xml:space="preserve"> </w:t>
      </w:r>
      <w:r w:rsidRPr="0052437D">
        <w:rPr>
          <w:rFonts w:eastAsia="Arial" w:cs="Arial"/>
          <w:i/>
          <w:sz w:val="18"/>
          <w:szCs w:val="18"/>
          <w:lang w:val="en-US"/>
        </w:rPr>
        <w:t>a</w:t>
      </w:r>
      <w:r w:rsidRPr="0052437D">
        <w:rPr>
          <w:rFonts w:eastAsia="Arial" w:cs="Arial"/>
          <w:i/>
          <w:spacing w:val="10"/>
          <w:sz w:val="18"/>
          <w:szCs w:val="18"/>
          <w:lang w:val="en-US"/>
        </w:rPr>
        <w:t xml:space="preserve"> </w:t>
      </w:r>
      <w:r w:rsidRPr="0052437D">
        <w:rPr>
          <w:rFonts w:eastAsia="Arial" w:cs="Arial"/>
          <w:i/>
          <w:sz w:val="18"/>
          <w:szCs w:val="18"/>
          <w:lang w:val="en-US"/>
        </w:rPr>
        <w:t>parliamentarian;</w:t>
      </w:r>
    </w:p>
    <w:p w:rsidR="008B77A9" w:rsidRPr="0052437D" w:rsidRDefault="008B77A9" w:rsidP="008B77A9">
      <w:pPr>
        <w:widowControl w:val="0"/>
        <w:spacing w:after="120"/>
        <w:ind w:left="1134" w:right="242" w:hanging="350"/>
        <w:jc w:val="both"/>
        <w:rPr>
          <w:rFonts w:eastAsia="Arial" w:cs="Arial"/>
          <w:sz w:val="18"/>
          <w:szCs w:val="18"/>
          <w:lang w:val="en-US"/>
        </w:rPr>
      </w:pPr>
      <w:r w:rsidRPr="0052437D">
        <w:rPr>
          <w:rFonts w:eastAsia="Arial" w:cs="Arial"/>
          <w:sz w:val="18"/>
          <w:szCs w:val="18"/>
          <w:lang w:val="en-US"/>
        </w:rPr>
        <w:t>•</w:t>
      </w:r>
      <w:r w:rsidRPr="0052437D">
        <w:rPr>
          <w:rFonts w:eastAsia="Arial" w:cs="Arial"/>
          <w:spacing w:val="-57"/>
          <w:sz w:val="18"/>
          <w:szCs w:val="18"/>
          <w:lang w:val="en-US"/>
        </w:rPr>
        <w:t xml:space="preserve"> </w:t>
      </w:r>
      <w:r w:rsidRPr="0052437D">
        <w:rPr>
          <w:rFonts w:eastAsia="Arial" w:cs="Arial"/>
          <w:sz w:val="18"/>
          <w:szCs w:val="18"/>
          <w:lang w:val="en-US"/>
        </w:rPr>
        <w:tab/>
      </w:r>
      <w:r w:rsidRPr="0052437D">
        <w:rPr>
          <w:rFonts w:eastAsia="Arial" w:cs="Arial"/>
          <w:i/>
          <w:sz w:val="18"/>
          <w:szCs w:val="18"/>
          <w:lang w:val="en-US"/>
        </w:rPr>
        <w:t>parliamentary remuneration</w:t>
      </w:r>
      <w:r w:rsidRPr="0052437D">
        <w:rPr>
          <w:rFonts w:eastAsia="Arial" w:cs="Arial"/>
          <w:i/>
          <w:spacing w:val="59"/>
          <w:sz w:val="18"/>
          <w:szCs w:val="18"/>
          <w:lang w:val="en-US"/>
        </w:rPr>
        <w:t xml:space="preserve"> </w:t>
      </w:r>
      <w:r w:rsidRPr="0052437D">
        <w:rPr>
          <w:rFonts w:eastAsia="Arial" w:cs="Arial"/>
          <w:i/>
          <w:sz w:val="18"/>
          <w:szCs w:val="18"/>
          <w:lang w:val="en-US"/>
        </w:rPr>
        <w:t>should be sufficient</w:t>
      </w:r>
      <w:r w:rsidRPr="0052437D">
        <w:rPr>
          <w:rFonts w:eastAsia="Arial" w:cs="Arial"/>
          <w:i/>
          <w:spacing w:val="11"/>
          <w:sz w:val="18"/>
          <w:szCs w:val="18"/>
          <w:lang w:val="en-US"/>
        </w:rPr>
        <w:t xml:space="preserve"> </w:t>
      </w:r>
      <w:r w:rsidRPr="0052437D">
        <w:rPr>
          <w:rFonts w:eastAsia="Arial" w:cs="Arial"/>
          <w:i/>
          <w:sz w:val="18"/>
          <w:szCs w:val="18"/>
          <w:lang w:val="en-US"/>
        </w:rPr>
        <w:t>to allow representation</w:t>
      </w:r>
      <w:r w:rsidRPr="0052437D">
        <w:rPr>
          <w:rFonts w:eastAsia="Arial" w:cs="Arial"/>
          <w:i/>
          <w:spacing w:val="42"/>
          <w:sz w:val="18"/>
          <w:szCs w:val="18"/>
          <w:lang w:val="en-US"/>
        </w:rPr>
        <w:t xml:space="preserve"> </w:t>
      </w:r>
      <w:r w:rsidRPr="0052437D">
        <w:rPr>
          <w:rFonts w:eastAsia="Arial" w:cs="Arial"/>
          <w:i/>
          <w:sz w:val="18"/>
          <w:szCs w:val="18"/>
          <w:lang w:val="en-US"/>
        </w:rPr>
        <w:t xml:space="preserve">from </w:t>
      </w:r>
      <w:r w:rsidRPr="0052437D">
        <w:rPr>
          <w:rFonts w:eastAsia="Arial" w:cs="Arial"/>
          <w:i/>
          <w:spacing w:val="19"/>
          <w:sz w:val="18"/>
          <w:szCs w:val="18"/>
          <w:lang w:val="en-US"/>
        </w:rPr>
        <w:t xml:space="preserve"> </w:t>
      </w:r>
      <w:r w:rsidRPr="0052437D">
        <w:rPr>
          <w:rFonts w:eastAsia="Arial" w:cs="Arial"/>
          <w:i/>
          <w:sz w:val="18"/>
          <w:szCs w:val="18"/>
          <w:lang w:val="en-US"/>
        </w:rPr>
        <w:t xml:space="preserve">various </w:t>
      </w:r>
      <w:r w:rsidRPr="0052437D">
        <w:rPr>
          <w:rFonts w:eastAsia="Arial" w:cs="Arial"/>
          <w:i/>
          <w:spacing w:val="27"/>
          <w:sz w:val="18"/>
          <w:szCs w:val="18"/>
          <w:lang w:val="en-US"/>
        </w:rPr>
        <w:t xml:space="preserve"> </w:t>
      </w:r>
      <w:r w:rsidRPr="0052437D">
        <w:rPr>
          <w:rFonts w:eastAsia="Arial" w:cs="Arial"/>
          <w:i/>
          <w:sz w:val="18"/>
          <w:szCs w:val="18"/>
          <w:lang w:val="en-US"/>
        </w:rPr>
        <w:t>members of</w:t>
      </w:r>
      <w:r w:rsidRPr="0052437D">
        <w:rPr>
          <w:rFonts w:eastAsia="Arial" w:cs="Arial"/>
          <w:i/>
          <w:spacing w:val="54"/>
          <w:sz w:val="18"/>
          <w:szCs w:val="18"/>
          <w:lang w:val="en-US"/>
        </w:rPr>
        <w:t xml:space="preserve"> </w:t>
      </w:r>
      <w:r w:rsidRPr="0052437D">
        <w:rPr>
          <w:rFonts w:eastAsia="Arial" w:cs="Arial"/>
          <w:i/>
          <w:sz w:val="18"/>
          <w:szCs w:val="18"/>
          <w:lang w:val="en-US"/>
        </w:rPr>
        <w:t>society with</w:t>
      </w:r>
      <w:r w:rsidRPr="0052437D">
        <w:rPr>
          <w:rFonts w:eastAsia="Arial" w:cs="Arial"/>
          <w:i/>
          <w:spacing w:val="22"/>
          <w:sz w:val="18"/>
          <w:szCs w:val="18"/>
          <w:lang w:val="en-US"/>
        </w:rPr>
        <w:t xml:space="preserve"> </w:t>
      </w:r>
      <w:r w:rsidRPr="0052437D">
        <w:rPr>
          <w:rFonts w:eastAsia="Arial" w:cs="Arial"/>
          <w:i/>
          <w:sz w:val="18"/>
          <w:szCs w:val="18"/>
          <w:lang w:val="en-US"/>
        </w:rPr>
        <w:t>a</w:t>
      </w:r>
      <w:r w:rsidRPr="0052437D">
        <w:rPr>
          <w:rFonts w:eastAsia="Arial" w:cs="Arial"/>
          <w:i/>
          <w:spacing w:val="41"/>
          <w:sz w:val="18"/>
          <w:szCs w:val="18"/>
          <w:lang w:val="en-US"/>
        </w:rPr>
        <w:t xml:space="preserve"> </w:t>
      </w:r>
      <w:r w:rsidRPr="0052437D">
        <w:rPr>
          <w:rFonts w:eastAsia="Arial" w:cs="Arial"/>
          <w:i/>
          <w:sz w:val="18"/>
          <w:szCs w:val="18"/>
          <w:lang w:val="en-US"/>
        </w:rPr>
        <w:t>diverse range of skills, including</w:t>
      </w:r>
      <w:r w:rsidRPr="0052437D">
        <w:rPr>
          <w:rFonts w:eastAsia="Arial" w:cs="Arial"/>
          <w:i/>
          <w:spacing w:val="-14"/>
          <w:sz w:val="18"/>
          <w:szCs w:val="18"/>
          <w:lang w:val="en-US"/>
        </w:rPr>
        <w:t xml:space="preserve"> </w:t>
      </w:r>
      <w:r w:rsidRPr="0052437D">
        <w:rPr>
          <w:rFonts w:eastAsia="Arial" w:cs="Arial"/>
          <w:i/>
          <w:sz w:val="18"/>
          <w:szCs w:val="18"/>
          <w:lang w:val="en-US"/>
        </w:rPr>
        <w:t>those</w:t>
      </w:r>
      <w:r w:rsidRPr="0052437D">
        <w:rPr>
          <w:rFonts w:eastAsia="Arial" w:cs="Arial"/>
          <w:i/>
          <w:spacing w:val="22"/>
          <w:sz w:val="18"/>
          <w:szCs w:val="18"/>
          <w:lang w:val="en-US"/>
        </w:rPr>
        <w:t xml:space="preserve"> </w:t>
      </w:r>
      <w:r w:rsidRPr="0052437D">
        <w:rPr>
          <w:rFonts w:eastAsia="Arial" w:cs="Arial"/>
          <w:i/>
          <w:sz w:val="18"/>
          <w:szCs w:val="18"/>
          <w:lang w:val="en-US"/>
        </w:rPr>
        <w:t>who are in the</w:t>
      </w:r>
      <w:r w:rsidRPr="0052437D">
        <w:rPr>
          <w:rFonts w:eastAsia="Arial" w:cs="Arial"/>
          <w:i/>
          <w:spacing w:val="13"/>
          <w:sz w:val="18"/>
          <w:szCs w:val="18"/>
          <w:lang w:val="en-US"/>
        </w:rPr>
        <w:t xml:space="preserve"> </w:t>
      </w:r>
      <w:r w:rsidRPr="0052437D">
        <w:rPr>
          <w:rFonts w:eastAsia="Arial" w:cs="Arial"/>
          <w:i/>
          <w:sz w:val="18"/>
          <w:szCs w:val="18"/>
          <w:lang w:val="en-US"/>
        </w:rPr>
        <w:t>middle of their careers</w:t>
      </w:r>
      <w:r w:rsidRPr="0052437D">
        <w:rPr>
          <w:rFonts w:eastAsia="Arial" w:cs="Arial"/>
          <w:i/>
          <w:spacing w:val="36"/>
          <w:sz w:val="18"/>
          <w:szCs w:val="18"/>
          <w:lang w:val="en-US"/>
        </w:rPr>
        <w:t xml:space="preserve"> </w:t>
      </w:r>
      <w:r w:rsidRPr="0052437D">
        <w:rPr>
          <w:rFonts w:eastAsia="Arial" w:cs="Arial"/>
          <w:i/>
          <w:sz w:val="18"/>
          <w:szCs w:val="18"/>
          <w:lang w:val="en-US"/>
        </w:rPr>
        <w:t>and</w:t>
      </w:r>
      <w:r w:rsidRPr="0052437D">
        <w:rPr>
          <w:rFonts w:eastAsia="Arial" w:cs="Arial"/>
          <w:i/>
          <w:spacing w:val="41"/>
          <w:sz w:val="18"/>
          <w:szCs w:val="18"/>
          <w:lang w:val="en-US"/>
        </w:rPr>
        <w:t xml:space="preserve"> </w:t>
      </w:r>
      <w:r w:rsidRPr="0052437D">
        <w:rPr>
          <w:rFonts w:eastAsia="Arial" w:cs="Arial"/>
          <w:i/>
          <w:sz w:val="18"/>
          <w:szCs w:val="18"/>
          <w:lang w:val="en-US"/>
        </w:rPr>
        <w:t>those</w:t>
      </w:r>
      <w:r w:rsidRPr="0052437D">
        <w:rPr>
          <w:rFonts w:eastAsia="Arial" w:cs="Arial"/>
          <w:i/>
          <w:spacing w:val="32"/>
          <w:sz w:val="18"/>
          <w:szCs w:val="18"/>
          <w:lang w:val="en-US"/>
        </w:rPr>
        <w:t xml:space="preserve"> </w:t>
      </w:r>
      <w:r w:rsidRPr="0052437D">
        <w:rPr>
          <w:rFonts w:eastAsia="Arial" w:cs="Arial"/>
          <w:i/>
          <w:sz w:val="18"/>
          <w:szCs w:val="18"/>
          <w:lang w:val="en-US"/>
        </w:rPr>
        <w:t>with</w:t>
      </w:r>
      <w:r w:rsidRPr="0052437D">
        <w:rPr>
          <w:rFonts w:eastAsia="Arial" w:cs="Arial"/>
          <w:i/>
          <w:spacing w:val="54"/>
          <w:sz w:val="18"/>
          <w:szCs w:val="18"/>
          <w:lang w:val="en-US"/>
        </w:rPr>
        <w:t xml:space="preserve"> </w:t>
      </w:r>
      <w:r w:rsidRPr="0052437D">
        <w:rPr>
          <w:rFonts w:eastAsia="Arial" w:cs="Arial"/>
          <w:i/>
          <w:sz w:val="18"/>
          <w:szCs w:val="18"/>
          <w:lang w:val="en-US"/>
        </w:rPr>
        <w:t>responsibility</w:t>
      </w:r>
      <w:r w:rsidRPr="0052437D">
        <w:rPr>
          <w:rFonts w:eastAsia="Arial" w:cs="Arial"/>
          <w:i/>
          <w:spacing w:val="12"/>
          <w:sz w:val="18"/>
          <w:szCs w:val="18"/>
          <w:lang w:val="en-US"/>
        </w:rPr>
        <w:t xml:space="preserve"> </w:t>
      </w:r>
      <w:r w:rsidRPr="0052437D">
        <w:rPr>
          <w:rFonts w:eastAsia="Arial" w:cs="Arial"/>
          <w:i/>
          <w:sz w:val="18"/>
          <w:szCs w:val="18"/>
          <w:lang w:val="en-US"/>
        </w:rPr>
        <w:t>for</w:t>
      </w:r>
      <w:r w:rsidRPr="0052437D">
        <w:rPr>
          <w:rFonts w:eastAsia="Arial" w:cs="Arial"/>
          <w:i/>
          <w:spacing w:val="38"/>
          <w:sz w:val="18"/>
          <w:szCs w:val="18"/>
          <w:lang w:val="en-US"/>
        </w:rPr>
        <w:t xml:space="preserve"> </w:t>
      </w:r>
      <w:r w:rsidRPr="0052437D">
        <w:rPr>
          <w:rFonts w:eastAsia="Arial" w:cs="Arial"/>
          <w:i/>
          <w:sz w:val="18"/>
          <w:szCs w:val="18"/>
          <w:lang w:val="en-US"/>
        </w:rPr>
        <w:t>supporting others;</w:t>
      </w:r>
    </w:p>
    <w:p w:rsidR="008B77A9" w:rsidRPr="0052437D" w:rsidRDefault="008B77A9" w:rsidP="008B77A9">
      <w:pPr>
        <w:widowControl w:val="0"/>
        <w:spacing w:after="120"/>
        <w:ind w:left="1134" w:right="237" w:hanging="346"/>
        <w:jc w:val="both"/>
        <w:rPr>
          <w:rFonts w:eastAsia="Arial" w:cs="Arial"/>
          <w:sz w:val="18"/>
          <w:szCs w:val="18"/>
          <w:lang w:val="en-US"/>
        </w:rPr>
      </w:pPr>
      <w:r w:rsidRPr="0052437D">
        <w:rPr>
          <w:rFonts w:eastAsia="Arial" w:cs="Arial"/>
          <w:sz w:val="18"/>
          <w:szCs w:val="18"/>
          <w:lang w:val="en-US"/>
        </w:rPr>
        <w:t>•</w:t>
      </w:r>
      <w:r w:rsidRPr="0052437D">
        <w:rPr>
          <w:rFonts w:eastAsia="Arial" w:cs="Arial"/>
          <w:spacing w:val="-57"/>
          <w:sz w:val="18"/>
          <w:szCs w:val="18"/>
          <w:lang w:val="en-US"/>
        </w:rPr>
        <w:t xml:space="preserve"> </w:t>
      </w:r>
      <w:r w:rsidRPr="0052437D">
        <w:rPr>
          <w:rFonts w:eastAsia="Arial" w:cs="Arial"/>
          <w:sz w:val="18"/>
          <w:szCs w:val="18"/>
          <w:lang w:val="en-US"/>
        </w:rPr>
        <w:tab/>
      </w:r>
      <w:r w:rsidRPr="0052437D">
        <w:rPr>
          <w:rFonts w:eastAsia="Arial" w:cs="Arial"/>
          <w:i/>
          <w:sz w:val="18"/>
          <w:szCs w:val="18"/>
          <w:lang w:val="en-US"/>
        </w:rPr>
        <w:t>parliamentary</w:t>
      </w:r>
      <w:r w:rsidRPr="0052437D">
        <w:rPr>
          <w:rFonts w:eastAsia="Arial" w:cs="Arial"/>
          <w:i/>
          <w:spacing w:val="5"/>
          <w:sz w:val="18"/>
          <w:szCs w:val="18"/>
          <w:lang w:val="en-US"/>
        </w:rPr>
        <w:t xml:space="preserve"> </w:t>
      </w:r>
      <w:r w:rsidRPr="0052437D">
        <w:rPr>
          <w:rFonts w:eastAsia="Arial" w:cs="Arial"/>
          <w:i/>
          <w:sz w:val="18"/>
          <w:szCs w:val="18"/>
          <w:lang w:val="en-US"/>
        </w:rPr>
        <w:t>remuneration</w:t>
      </w:r>
      <w:r w:rsidRPr="0052437D">
        <w:rPr>
          <w:rFonts w:eastAsia="Arial" w:cs="Arial"/>
          <w:i/>
          <w:spacing w:val="13"/>
          <w:sz w:val="18"/>
          <w:szCs w:val="18"/>
          <w:lang w:val="en-US"/>
        </w:rPr>
        <w:t xml:space="preserve"> </w:t>
      </w:r>
      <w:r w:rsidRPr="0052437D">
        <w:rPr>
          <w:rFonts w:eastAsia="Arial" w:cs="Arial"/>
          <w:i/>
          <w:sz w:val="18"/>
          <w:szCs w:val="18"/>
          <w:lang w:val="en-US"/>
        </w:rPr>
        <w:t>should</w:t>
      </w:r>
      <w:r w:rsidRPr="0052437D">
        <w:rPr>
          <w:rFonts w:eastAsia="Arial" w:cs="Arial"/>
          <w:i/>
          <w:spacing w:val="5"/>
          <w:sz w:val="18"/>
          <w:szCs w:val="18"/>
          <w:lang w:val="en-US"/>
        </w:rPr>
        <w:t xml:space="preserve"> </w:t>
      </w:r>
      <w:r w:rsidRPr="0052437D">
        <w:rPr>
          <w:rFonts w:eastAsia="Arial" w:cs="Arial"/>
          <w:i/>
          <w:sz w:val="18"/>
          <w:szCs w:val="18"/>
          <w:lang w:val="en-US"/>
        </w:rPr>
        <w:t>be</w:t>
      </w:r>
      <w:r w:rsidRPr="0052437D">
        <w:rPr>
          <w:rFonts w:eastAsia="Arial" w:cs="Arial"/>
          <w:i/>
          <w:spacing w:val="34"/>
          <w:sz w:val="18"/>
          <w:szCs w:val="18"/>
          <w:lang w:val="en-US"/>
        </w:rPr>
        <w:t xml:space="preserve"> </w:t>
      </w:r>
      <w:r w:rsidRPr="0052437D">
        <w:rPr>
          <w:rFonts w:eastAsia="Arial" w:cs="Arial"/>
          <w:i/>
          <w:sz w:val="18"/>
          <w:szCs w:val="18"/>
          <w:lang w:val="en-US"/>
        </w:rPr>
        <w:t>sufficient</w:t>
      </w:r>
      <w:r w:rsidRPr="0052437D">
        <w:rPr>
          <w:rFonts w:eastAsia="Arial" w:cs="Arial"/>
          <w:i/>
          <w:spacing w:val="11"/>
          <w:sz w:val="18"/>
          <w:szCs w:val="18"/>
          <w:lang w:val="en-US"/>
        </w:rPr>
        <w:t xml:space="preserve"> </w:t>
      </w:r>
      <w:r w:rsidRPr="0052437D">
        <w:rPr>
          <w:rFonts w:eastAsia="Arial" w:cs="Arial"/>
          <w:sz w:val="18"/>
          <w:szCs w:val="18"/>
          <w:lang w:val="en-US"/>
        </w:rPr>
        <w:t>so</w:t>
      </w:r>
      <w:r w:rsidRPr="0052437D">
        <w:rPr>
          <w:rFonts w:eastAsia="Arial" w:cs="Arial"/>
          <w:spacing w:val="49"/>
          <w:sz w:val="18"/>
          <w:szCs w:val="18"/>
          <w:lang w:val="en-US"/>
        </w:rPr>
        <w:t xml:space="preserve"> </w:t>
      </w:r>
      <w:r w:rsidR="0052437D">
        <w:rPr>
          <w:rFonts w:eastAsia="Arial" w:cs="Arial"/>
          <w:i/>
          <w:sz w:val="18"/>
          <w:szCs w:val="18"/>
          <w:lang w:val="en-US"/>
        </w:rPr>
        <w:t xml:space="preserve">that </w:t>
      </w:r>
      <w:r w:rsidRPr="0052437D">
        <w:rPr>
          <w:rFonts w:eastAsia="Arial" w:cs="Arial"/>
          <w:i/>
          <w:sz w:val="18"/>
          <w:szCs w:val="18"/>
          <w:lang w:val="en-US"/>
        </w:rPr>
        <w:t>the highest</w:t>
      </w:r>
      <w:r w:rsidRPr="0052437D">
        <w:rPr>
          <w:rFonts w:eastAsia="Arial" w:cs="Arial"/>
          <w:i/>
          <w:spacing w:val="1"/>
          <w:sz w:val="18"/>
          <w:szCs w:val="18"/>
          <w:lang w:val="en-US"/>
        </w:rPr>
        <w:t xml:space="preserve"> </w:t>
      </w:r>
      <w:r w:rsidRPr="0052437D">
        <w:rPr>
          <w:rFonts w:eastAsia="Arial" w:cs="Arial"/>
          <w:i/>
          <w:sz w:val="18"/>
          <w:szCs w:val="18"/>
          <w:lang w:val="en-US"/>
        </w:rPr>
        <w:t>standards</w:t>
      </w:r>
      <w:r w:rsidRPr="0052437D">
        <w:rPr>
          <w:rFonts w:eastAsia="Arial" w:cs="Arial"/>
          <w:i/>
          <w:spacing w:val="4"/>
          <w:sz w:val="18"/>
          <w:szCs w:val="18"/>
          <w:lang w:val="en-US"/>
        </w:rPr>
        <w:t xml:space="preserve"> </w:t>
      </w:r>
      <w:r w:rsidRPr="0052437D">
        <w:rPr>
          <w:rFonts w:eastAsia="Arial" w:cs="Arial"/>
          <w:i/>
          <w:sz w:val="18"/>
          <w:szCs w:val="18"/>
          <w:lang w:val="en-US"/>
        </w:rPr>
        <w:t>of</w:t>
      </w:r>
      <w:r w:rsidRPr="0052437D">
        <w:rPr>
          <w:rFonts w:eastAsia="Arial" w:cs="Arial"/>
          <w:i/>
          <w:spacing w:val="31"/>
          <w:sz w:val="18"/>
          <w:szCs w:val="18"/>
          <w:lang w:val="en-US"/>
        </w:rPr>
        <w:t xml:space="preserve"> </w:t>
      </w:r>
      <w:r w:rsidRPr="0052437D">
        <w:rPr>
          <w:rFonts w:eastAsia="Arial" w:cs="Arial"/>
          <w:i/>
          <w:sz w:val="18"/>
          <w:szCs w:val="18"/>
          <w:lang w:val="en-US"/>
        </w:rPr>
        <w:t>integrity</w:t>
      </w:r>
      <w:r w:rsidRPr="0052437D">
        <w:rPr>
          <w:rFonts w:eastAsia="Arial" w:cs="Arial"/>
          <w:i/>
          <w:spacing w:val="6"/>
          <w:sz w:val="18"/>
          <w:szCs w:val="18"/>
          <w:lang w:val="en-US"/>
        </w:rPr>
        <w:t xml:space="preserve"> </w:t>
      </w:r>
      <w:r w:rsidRPr="0052437D">
        <w:rPr>
          <w:rFonts w:eastAsia="Arial" w:cs="Arial"/>
          <w:i/>
          <w:sz w:val="18"/>
          <w:szCs w:val="18"/>
          <w:lang w:val="en-US"/>
        </w:rPr>
        <w:t>are</w:t>
      </w:r>
      <w:r w:rsidRPr="0052437D">
        <w:rPr>
          <w:rFonts w:eastAsia="Arial" w:cs="Arial"/>
          <w:i/>
          <w:spacing w:val="32"/>
          <w:sz w:val="18"/>
          <w:szCs w:val="18"/>
          <w:lang w:val="en-US"/>
        </w:rPr>
        <w:t xml:space="preserve"> </w:t>
      </w:r>
      <w:r w:rsidRPr="0052437D">
        <w:rPr>
          <w:rFonts w:eastAsia="Arial" w:cs="Arial"/>
          <w:i/>
          <w:sz w:val="18"/>
          <w:szCs w:val="18"/>
          <w:lang w:val="en-US"/>
        </w:rPr>
        <w:t>maintained;</w:t>
      </w:r>
      <w:r w:rsidRPr="0052437D">
        <w:rPr>
          <w:rFonts w:eastAsia="Arial" w:cs="Arial"/>
          <w:i/>
          <w:spacing w:val="-28"/>
          <w:sz w:val="18"/>
          <w:szCs w:val="18"/>
          <w:lang w:val="en-US"/>
        </w:rPr>
        <w:t xml:space="preserve"> </w:t>
      </w:r>
      <w:r w:rsidRPr="0052437D">
        <w:rPr>
          <w:rFonts w:eastAsia="Arial" w:cs="Arial"/>
          <w:i/>
          <w:sz w:val="18"/>
          <w:szCs w:val="18"/>
          <w:lang w:val="en-US"/>
        </w:rPr>
        <w:t>it</w:t>
      </w:r>
      <w:r w:rsidRPr="0052437D">
        <w:rPr>
          <w:rFonts w:eastAsia="Arial" w:cs="Arial"/>
          <w:i/>
          <w:spacing w:val="66"/>
          <w:sz w:val="18"/>
          <w:szCs w:val="18"/>
          <w:lang w:val="en-US"/>
        </w:rPr>
        <w:t xml:space="preserve"> </w:t>
      </w:r>
      <w:r w:rsidRPr="0052437D">
        <w:rPr>
          <w:rFonts w:eastAsia="Arial" w:cs="Arial"/>
          <w:i/>
          <w:sz w:val="18"/>
          <w:szCs w:val="18"/>
          <w:lang w:val="en-US"/>
        </w:rPr>
        <w:t>should not, however,</w:t>
      </w:r>
      <w:r w:rsidRPr="0052437D">
        <w:rPr>
          <w:rFonts w:eastAsia="Arial" w:cs="Arial"/>
          <w:i/>
          <w:spacing w:val="15"/>
          <w:sz w:val="18"/>
          <w:szCs w:val="18"/>
          <w:lang w:val="en-US"/>
        </w:rPr>
        <w:t xml:space="preserve"> </w:t>
      </w:r>
      <w:r w:rsidRPr="0052437D">
        <w:rPr>
          <w:rFonts w:eastAsia="Arial" w:cs="Arial"/>
          <w:i/>
          <w:sz w:val="18"/>
          <w:szCs w:val="18"/>
          <w:lang w:val="en-US"/>
        </w:rPr>
        <w:t>be</w:t>
      </w:r>
      <w:r w:rsidRPr="0052437D">
        <w:rPr>
          <w:rFonts w:eastAsia="Arial" w:cs="Arial"/>
          <w:i/>
          <w:spacing w:val="58"/>
          <w:sz w:val="18"/>
          <w:szCs w:val="18"/>
          <w:lang w:val="en-US"/>
        </w:rPr>
        <w:t xml:space="preserve"> </w:t>
      </w:r>
      <w:r w:rsidRPr="0052437D">
        <w:rPr>
          <w:rFonts w:eastAsia="Arial" w:cs="Arial"/>
          <w:i/>
          <w:sz w:val="18"/>
          <w:szCs w:val="18"/>
          <w:lang w:val="en-US"/>
        </w:rPr>
        <w:t>so</w:t>
      </w:r>
      <w:r w:rsidRPr="0052437D">
        <w:rPr>
          <w:rFonts w:eastAsia="Arial" w:cs="Arial"/>
          <w:i/>
          <w:spacing w:val="46"/>
          <w:sz w:val="18"/>
          <w:szCs w:val="18"/>
          <w:lang w:val="en-US"/>
        </w:rPr>
        <w:t xml:space="preserve"> </w:t>
      </w:r>
      <w:r w:rsidRPr="0052437D">
        <w:rPr>
          <w:rFonts w:eastAsia="Arial" w:cs="Arial"/>
          <w:i/>
          <w:sz w:val="18"/>
          <w:szCs w:val="18"/>
          <w:lang w:val="en-US"/>
        </w:rPr>
        <w:t>high</w:t>
      </w:r>
      <w:r w:rsidRPr="0052437D">
        <w:rPr>
          <w:rFonts w:eastAsia="Arial" w:cs="Arial"/>
          <w:i/>
          <w:spacing w:val="24"/>
          <w:sz w:val="18"/>
          <w:szCs w:val="18"/>
          <w:lang w:val="en-US"/>
        </w:rPr>
        <w:t xml:space="preserve"> </w:t>
      </w:r>
      <w:r w:rsidRPr="0052437D">
        <w:rPr>
          <w:rFonts w:eastAsia="Arial" w:cs="Arial"/>
          <w:i/>
          <w:sz w:val="18"/>
          <w:szCs w:val="18"/>
          <w:lang w:val="en-US"/>
        </w:rPr>
        <w:t>that</w:t>
      </w:r>
      <w:r w:rsidRPr="0052437D">
        <w:rPr>
          <w:rFonts w:eastAsia="Arial" w:cs="Arial"/>
          <w:i/>
          <w:spacing w:val="33"/>
          <w:sz w:val="18"/>
          <w:szCs w:val="18"/>
          <w:lang w:val="en-US"/>
        </w:rPr>
        <w:t xml:space="preserve"> </w:t>
      </w:r>
      <w:r w:rsidRPr="0052437D">
        <w:rPr>
          <w:rFonts w:eastAsia="Arial" w:cs="Arial"/>
          <w:i/>
          <w:sz w:val="18"/>
          <w:szCs w:val="18"/>
          <w:lang w:val="en-US"/>
        </w:rPr>
        <w:t>the</w:t>
      </w:r>
      <w:r w:rsidRPr="0052437D">
        <w:rPr>
          <w:rFonts w:eastAsia="Arial" w:cs="Arial"/>
          <w:i/>
          <w:spacing w:val="18"/>
          <w:sz w:val="18"/>
          <w:szCs w:val="18"/>
          <w:lang w:val="en-US"/>
        </w:rPr>
        <w:t xml:space="preserve"> </w:t>
      </w:r>
      <w:r w:rsidRPr="0052437D">
        <w:rPr>
          <w:rFonts w:eastAsia="Arial" w:cs="Arial"/>
          <w:i/>
          <w:sz w:val="18"/>
          <w:szCs w:val="18"/>
          <w:lang w:val="en-US"/>
        </w:rPr>
        <w:t>remuneration</w:t>
      </w:r>
      <w:r w:rsidRPr="0052437D">
        <w:rPr>
          <w:rFonts w:eastAsia="Arial" w:cs="Arial"/>
          <w:i/>
          <w:spacing w:val="44"/>
          <w:sz w:val="18"/>
          <w:szCs w:val="18"/>
          <w:lang w:val="en-US"/>
        </w:rPr>
        <w:t xml:space="preserve"> </w:t>
      </w:r>
      <w:r w:rsidRPr="0052437D">
        <w:rPr>
          <w:rFonts w:eastAsia="Arial" w:cs="Arial"/>
          <w:i/>
          <w:sz w:val="18"/>
          <w:szCs w:val="18"/>
          <w:lang w:val="en-US"/>
        </w:rPr>
        <w:t xml:space="preserve">itself </w:t>
      </w:r>
      <w:r w:rsidRPr="0052437D">
        <w:rPr>
          <w:rFonts w:eastAsia="Arial" w:cs="Arial"/>
          <w:i/>
          <w:spacing w:val="31"/>
          <w:sz w:val="18"/>
          <w:szCs w:val="18"/>
          <w:lang w:val="en-US"/>
        </w:rPr>
        <w:t xml:space="preserve"> </w:t>
      </w:r>
      <w:r w:rsidRPr="0052437D">
        <w:rPr>
          <w:rFonts w:eastAsia="Arial" w:cs="Arial"/>
          <w:i/>
          <w:sz w:val="18"/>
          <w:szCs w:val="18"/>
          <w:lang w:val="en-US"/>
        </w:rPr>
        <w:t xml:space="preserve">becomes </w:t>
      </w:r>
      <w:r w:rsidRPr="0052437D">
        <w:rPr>
          <w:rFonts w:eastAsia="Arial" w:cs="Arial"/>
          <w:i/>
          <w:spacing w:val="11"/>
          <w:sz w:val="18"/>
          <w:szCs w:val="18"/>
          <w:lang w:val="en-US"/>
        </w:rPr>
        <w:t xml:space="preserve"> </w:t>
      </w:r>
      <w:r w:rsidRPr="0052437D">
        <w:rPr>
          <w:rFonts w:eastAsia="Arial" w:cs="Arial"/>
          <w:i/>
          <w:sz w:val="18"/>
          <w:szCs w:val="18"/>
          <w:lang w:val="en-US"/>
        </w:rPr>
        <w:t>the overriding</w:t>
      </w:r>
      <w:r w:rsidRPr="0052437D">
        <w:rPr>
          <w:rFonts w:eastAsia="Arial" w:cs="Arial"/>
          <w:i/>
          <w:spacing w:val="62"/>
          <w:sz w:val="18"/>
          <w:szCs w:val="18"/>
          <w:lang w:val="en-US"/>
        </w:rPr>
        <w:t xml:space="preserve"> </w:t>
      </w:r>
      <w:r w:rsidR="0052437D">
        <w:rPr>
          <w:rFonts w:eastAsia="Arial" w:cs="Arial"/>
          <w:i/>
          <w:sz w:val="18"/>
          <w:szCs w:val="18"/>
          <w:lang w:val="en-US"/>
        </w:rPr>
        <w:t>attraction</w:t>
      </w:r>
      <w:r w:rsidRPr="0052437D">
        <w:rPr>
          <w:rFonts w:eastAsia="Arial" w:cs="Arial"/>
          <w:i/>
          <w:spacing w:val="8"/>
          <w:sz w:val="18"/>
          <w:szCs w:val="18"/>
          <w:lang w:val="en-US"/>
        </w:rPr>
        <w:t xml:space="preserve"> </w:t>
      </w:r>
      <w:r w:rsidRPr="0052437D">
        <w:rPr>
          <w:rFonts w:eastAsia="Arial" w:cs="Arial"/>
          <w:i/>
          <w:sz w:val="18"/>
          <w:szCs w:val="18"/>
          <w:lang w:val="en-US"/>
        </w:rPr>
        <w:t xml:space="preserve">with </w:t>
      </w:r>
      <w:r w:rsidR="0052437D">
        <w:rPr>
          <w:rFonts w:eastAsia="Arial" w:cs="Arial"/>
          <w:i/>
          <w:sz w:val="18"/>
          <w:szCs w:val="18"/>
          <w:lang w:val="en-US"/>
        </w:rPr>
        <w:t>no</w:t>
      </w:r>
      <w:r w:rsidRPr="0052437D">
        <w:rPr>
          <w:rFonts w:eastAsia="Arial" w:cs="Arial"/>
          <w:i/>
          <w:spacing w:val="14"/>
          <w:sz w:val="18"/>
          <w:szCs w:val="18"/>
          <w:lang w:val="en-US"/>
        </w:rPr>
        <w:t xml:space="preserve"> </w:t>
      </w:r>
      <w:r w:rsidR="0052437D">
        <w:rPr>
          <w:rFonts w:eastAsia="Arial" w:cs="Arial"/>
          <w:i/>
          <w:sz w:val="18"/>
          <w:szCs w:val="18"/>
          <w:lang w:val="en-US"/>
        </w:rPr>
        <w:t>regard</w:t>
      </w:r>
      <w:r w:rsidRPr="0052437D">
        <w:rPr>
          <w:rFonts w:eastAsia="Arial" w:cs="Arial"/>
          <w:i/>
          <w:spacing w:val="43"/>
          <w:sz w:val="18"/>
          <w:szCs w:val="18"/>
          <w:lang w:val="en-US"/>
        </w:rPr>
        <w:t xml:space="preserve"> </w:t>
      </w:r>
      <w:r w:rsidR="0052437D">
        <w:rPr>
          <w:rFonts w:eastAsia="Arial" w:cs="Arial"/>
          <w:i/>
          <w:sz w:val="18"/>
          <w:szCs w:val="18"/>
          <w:lang w:val="en-US"/>
        </w:rPr>
        <w:t>for</w:t>
      </w:r>
      <w:r w:rsidRPr="0052437D">
        <w:rPr>
          <w:rFonts w:eastAsia="Arial" w:cs="Arial"/>
          <w:i/>
          <w:spacing w:val="38"/>
          <w:sz w:val="18"/>
          <w:szCs w:val="18"/>
          <w:lang w:val="en-US"/>
        </w:rPr>
        <w:t xml:space="preserve"> </w:t>
      </w:r>
      <w:r w:rsidRPr="0052437D">
        <w:rPr>
          <w:rFonts w:eastAsia="Arial" w:cs="Arial"/>
          <w:i/>
          <w:sz w:val="18"/>
          <w:szCs w:val="18"/>
          <w:lang w:val="en-US"/>
        </w:rPr>
        <w:t>the concept</w:t>
      </w:r>
      <w:r w:rsidRPr="0052437D">
        <w:rPr>
          <w:rFonts w:eastAsia="Arial" w:cs="Arial"/>
          <w:i/>
          <w:spacing w:val="35"/>
          <w:sz w:val="18"/>
          <w:szCs w:val="18"/>
          <w:lang w:val="en-US"/>
        </w:rPr>
        <w:t xml:space="preserve"> </w:t>
      </w:r>
      <w:r w:rsidRPr="0052437D">
        <w:rPr>
          <w:rFonts w:eastAsia="Arial" w:cs="Arial"/>
          <w:i/>
          <w:sz w:val="18"/>
          <w:szCs w:val="18"/>
          <w:lang w:val="en-US"/>
        </w:rPr>
        <w:t>of public service;</w:t>
      </w:r>
    </w:p>
    <w:p w:rsidR="008B77A9" w:rsidRPr="0052437D" w:rsidRDefault="008B77A9" w:rsidP="008B77A9">
      <w:pPr>
        <w:widowControl w:val="0"/>
        <w:spacing w:after="120"/>
        <w:ind w:left="1134" w:right="249" w:hanging="350"/>
        <w:jc w:val="both"/>
        <w:rPr>
          <w:rFonts w:eastAsia="Arial" w:cs="Arial"/>
          <w:sz w:val="18"/>
          <w:szCs w:val="18"/>
          <w:lang w:val="en-US"/>
        </w:rPr>
      </w:pPr>
      <w:r w:rsidRPr="0052437D">
        <w:rPr>
          <w:rFonts w:eastAsia="Arial" w:cs="Arial"/>
          <w:sz w:val="18"/>
          <w:szCs w:val="18"/>
          <w:lang w:val="en-US"/>
        </w:rPr>
        <w:t>•</w:t>
      </w:r>
      <w:r w:rsidRPr="0052437D">
        <w:rPr>
          <w:rFonts w:eastAsia="Arial" w:cs="Arial"/>
          <w:sz w:val="18"/>
          <w:szCs w:val="18"/>
          <w:lang w:val="en-US"/>
        </w:rPr>
        <w:tab/>
      </w:r>
      <w:r w:rsidRPr="0052437D">
        <w:rPr>
          <w:rFonts w:eastAsia="Arial" w:cs="Arial"/>
          <w:i/>
          <w:sz w:val="18"/>
          <w:szCs w:val="18"/>
          <w:lang w:val="en-US"/>
        </w:rPr>
        <w:t>parliamentary</w:t>
      </w:r>
      <w:r w:rsidRPr="0052437D">
        <w:rPr>
          <w:rFonts w:eastAsia="Arial" w:cs="Arial"/>
          <w:i/>
          <w:spacing w:val="14"/>
          <w:sz w:val="18"/>
          <w:szCs w:val="18"/>
          <w:lang w:val="en-US"/>
        </w:rPr>
        <w:t xml:space="preserve"> </w:t>
      </w:r>
      <w:r w:rsidRPr="0052437D">
        <w:rPr>
          <w:rFonts w:eastAsia="Arial" w:cs="Arial"/>
          <w:i/>
          <w:sz w:val="18"/>
          <w:szCs w:val="18"/>
          <w:lang w:val="en-US"/>
        </w:rPr>
        <w:t>remuneration</w:t>
      </w:r>
      <w:r w:rsidRPr="0052437D">
        <w:rPr>
          <w:rFonts w:eastAsia="Arial" w:cs="Arial"/>
          <w:i/>
          <w:spacing w:val="18"/>
          <w:sz w:val="18"/>
          <w:szCs w:val="18"/>
          <w:lang w:val="en-US"/>
        </w:rPr>
        <w:t xml:space="preserve"> </w:t>
      </w:r>
      <w:r w:rsidRPr="0052437D">
        <w:rPr>
          <w:rFonts w:eastAsia="Arial" w:cs="Arial"/>
          <w:i/>
          <w:sz w:val="18"/>
          <w:szCs w:val="18"/>
          <w:lang w:val="en-US"/>
        </w:rPr>
        <w:t>should</w:t>
      </w:r>
      <w:r w:rsidRPr="0052437D">
        <w:rPr>
          <w:rFonts w:eastAsia="Arial" w:cs="Arial"/>
          <w:i/>
          <w:spacing w:val="55"/>
          <w:sz w:val="18"/>
          <w:szCs w:val="18"/>
          <w:lang w:val="en-US"/>
        </w:rPr>
        <w:t xml:space="preserve"> </w:t>
      </w:r>
      <w:r w:rsidRPr="0052437D">
        <w:rPr>
          <w:rFonts w:eastAsia="Arial" w:cs="Arial"/>
          <w:i/>
          <w:sz w:val="18"/>
          <w:szCs w:val="18"/>
          <w:lang w:val="en-US"/>
        </w:rPr>
        <w:t>be</w:t>
      </w:r>
      <w:r w:rsidRPr="0052437D">
        <w:rPr>
          <w:rFonts w:eastAsia="Arial" w:cs="Arial"/>
          <w:i/>
          <w:spacing w:val="32"/>
          <w:sz w:val="18"/>
          <w:szCs w:val="18"/>
          <w:lang w:val="en-US"/>
        </w:rPr>
        <w:t xml:space="preserve"> </w:t>
      </w:r>
      <w:r w:rsidRPr="0052437D">
        <w:rPr>
          <w:rFonts w:eastAsia="Arial" w:cs="Arial"/>
          <w:i/>
          <w:sz w:val="18"/>
          <w:szCs w:val="18"/>
          <w:lang w:val="en-US"/>
        </w:rPr>
        <w:t xml:space="preserve">clearly </w:t>
      </w:r>
      <w:r w:rsidRPr="0052437D">
        <w:rPr>
          <w:rFonts w:eastAsia="Arial" w:cs="Arial"/>
          <w:i/>
          <w:spacing w:val="12"/>
          <w:sz w:val="18"/>
          <w:szCs w:val="18"/>
          <w:lang w:val="en-US"/>
        </w:rPr>
        <w:t xml:space="preserve"> </w:t>
      </w:r>
      <w:r w:rsidRPr="0052437D">
        <w:rPr>
          <w:rFonts w:eastAsia="Arial" w:cs="Arial"/>
          <w:i/>
          <w:sz w:val="18"/>
          <w:szCs w:val="18"/>
          <w:lang w:val="en-US"/>
        </w:rPr>
        <w:t>expressed</w:t>
      </w:r>
      <w:r w:rsidRPr="0052437D">
        <w:rPr>
          <w:rFonts w:eastAsia="Arial" w:cs="Arial"/>
          <w:i/>
          <w:spacing w:val="8"/>
          <w:sz w:val="18"/>
          <w:szCs w:val="18"/>
          <w:lang w:val="en-US"/>
        </w:rPr>
        <w:t xml:space="preserve"> </w:t>
      </w:r>
      <w:r w:rsidRPr="0052437D">
        <w:rPr>
          <w:rFonts w:eastAsia="Arial" w:cs="Arial"/>
          <w:sz w:val="18"/>
          <w:szCs w:val="18"/>
          <w:lang w:val="en-US"/>
        </w:rPr>
        <w:t>-</w:t>
      </w:r>
      <w:r w:rsidRPr="0052437D">
        <w:rPr>
          <w:rFonts w:eastAsia="Arial" w:cs="Arial"/>
          <w:spacing w:val="-20"/>
          <w:sz w:val="18"/>
          <w:szCs w:val="18"/>
          <w:lang w:val="en-US"/>
        </w:rPr>
        <w:t xml:space="preserve"> </w:t>
      </w:r>
      <w:r w:rsidRPr="0052437D">
        <w:rPr>
          <w:rFonts w:eastAsia="Arial" w:cs="Arial"/>
          <w:i/>
          <w:sz w:val="18"/>
          <w:szCs w:val="18"/>
          <w:lang w:val="en-US"/>
        </w:rPr>
        <w:t>there should</w:t>
      </w:r>
      <w:r w:rsidRPr="0052437D">
        <w:rPr>
          <w:rFonts w:eastAsia="Arial" w:cs="Arial"/>
          <w:i/>
          <w:spacing w:val="47"/>
          <w:sz w:val="18"/>
          <w:szCs w:val="18"/>
          <w:lang w:val="en-US"/>
        </w:rPr>
        <w:t xml:space="preserve"> </w:t>
      </w:r>
      <w:r w:rsidRPr="0052437D">
        <w:rPr>
          <w:rFonts w:eastAsia="Arial" w:cs="Arial"/>
          <w:i/>
          <w:sz w:val="18"/>
          <w:szCs w:val="18"/>
          <w:lang w:val="en-US"/>
        </w:rPr>
        <w:t>not</w:t>
      </w:r>
      <w:r w:rsidRPr="0052437D">
        <w:rPr>
          <w:rFonts w:eastAsia="Arial" w:cs="Arial"/>
          <w:i/>
          <w:spacing w:val="41"/>
          <w:sz w:val="18"/>
          <w:szCs w:val="18"/>
          <w:lang w:val="en-US"/>
        </w:rPr>
        <w:t xml:space="preserve"> </w:t>
      </w:r>
      <w:r w:rsidRPr="0052437D">
        <w:rPr>
          <w:rFonts w:eastAsia="Arial" w:cs="Arial"/>
          <w:i/>
          <w:sz w:val="18"/>
          <w:szCs w:val="18"/>
          <w:lang w:val="en-US"/>
        </w:rPr>
        <w:t>be</w:t>
      </w:r>
      <w:r w:rsidRPr="0052437D">
        <w:rPr>
          <w:rFonts w:eastAsia="Arial" w:cs="Arial"/>
          <w:i/>
          <w:spacing w:val="21"/>
          <w:sz w:val="18"/>
          <w:szCs w:val="18"/>
          <w:lang w:val="en-US"/>
        </w:rPr>
        <w:t xml:space="preserve"> </w:t>
      </w:r>
      <w:r w:rsidRPr="0052437D">
        <w:rPr>
          <w:rFonts w:eastAsia="Arial" w:cs="Arial"/>
          <w:i/>
          <w:sz w:val="18"/>
          <w:szCs w:val="18"/>
          <w:lang w:val="en-US"/>
        </w:rPr>
        <w:t>any</w:t>
      </w:r>
      <w:r w:rsidRPr="0052437D">
        <w:rPr>
          <w:rFonts w:eastAsia="Arial" w:cs="Arial"/>
          <w:i/>
          <w:spacing w:val="31"/>
          <w:sz w:val="18"/>
          <w:szCs w:val="18"/>
          <w:lang w:val="en-US"/>
        </w:rPr>
        <w:t xml:space="preserve"> </w:t>
      </w:r>
      <w:r w:rsidRPr="0052437D">
        <w:rPr>
          <w:rFonts w:eastAsia="Arial" w:cs="Arial"/>
          <w:i/>
          <w:sz w:val="18"/>
          <w:szCs w:val="18"/>
          <w:lang w:val="en-US"/>
        </w:rPr>
        <w:t>hidden</w:t>
      </w:r>
      <w:r w:rsidRPr="0052437D">
        <w:rPr>
          <w:rFonts w:eastAsia="Arial" w:cs="Arial"/>
          <w:i/>
          <w:spacing w:val="52"/>
          <w:sz w:val="18"/>
          <w:szCs w:val="18"/>
          <w:lang w:val="en-US"/>
        </w:rPr>
        <w:t xml:space="preserve"> </w:t>
      </w:r>
      <w:r w:rsidRPr="0052437D">
        <w:rPr>
          <w:rFonts w:eastAsia="Arial" w:cs="Arial"/>
          <w:i/>
          <w:sz w:val="18"/>
          <w:szCs w:val="18"/>
          <w:lang w:val="en-US"/>
        </w:rPr>
        <w:t>benefits;</w:t>
      </w:r>
    </w:p>
    <w:p w:rsidR="008B77A9" w:rsidRPr="0052437D" w:rsidRDefault="008B77A9" w:rsidP="008B77A9">
      <w:pPr>
        <w:widowControl w:val="0"/>
        <w:spacing w:after="120"/>
        <w:ind w:left="1134" w:right="233" w:hanging="346"/>
        <w:jc w:val="both"/>
        <w:rPr>
          <w:rFonts w:eastAsia="Arial" w:cs="Arial"/>
          <w:sz w:val="18"/>
          <w:szCs w:val="18"/>
          <w:lang w:val="en-US"/>
        </w:rPr>
      </w:pPr>
      <w:r w:rsidRPr="0052437D">
        <w:rPr>
          <w:rFonts w:eastAsia="Arial" w:cs="Arial"/>
          <w:sz w:val="18"/>
          <w:szCs w:val="18"/>
          <w:lang w:val="en-US"/>
        </w:rPr>
        <w:t>•</w:t>
      </w:r>
      <w:r w:rsidRPr="0052437D">
        <w:rPr>
          <w:rFonts w:eastAsia="Arial" w:cs="Arial"/>
          <w:sz w:val="18"/>
          <w:szCs w:val="18"/>
          <w:lang w:val="en-US"/>
        </w:rPr>
        <w:tab/>
      </w:r>
      <w:r w:rsidRPr="0052437D">
        <w:rPr>
          <w:rFonts w:eastAsia="Arial" w:cs="Arial"/>
          <w:i/>
          <w:sz w:val="18"/>
          <w:szCs w:val="18"/>
          <w:lang w:val="en-US"/>
        </w:rPr>
        <w:t xml:space="preserve">funding </w:t>
      </w:r>
      <w:r w:rsidRPr="0052437D">
        <w:rPr>
          <w:rFonts w:eastAsia="Arial" w:cs="Arial"/>
          <w:i/>
          <w:spacing w:val="10"/>
          <w:sz w:val="18"/>
          <w:szCs w:val="18"/>
          <w:lang w:val="en-US"/>
        </w:rPr>
        <w:t xml:space="preserve"> </w:t>
      </w:r>
      <w:r w:rsidRPr="0052437D">
        <w:rPr>
          <w:rFonts w:eastAsia="Arial" w:cs="Arial"/>
          <w:i/>
          <w:sz w:val="18"/>
          <w:szCs w:val="18"/>
          <w:lang w:val="en-US"/>
        </w:rPr>
        <w:t>for</w:t>
      </w:r>
      <w:r w:rsidRPr="0052437D">
        <w:rPr>
          <w:rFonts w:eastAsia="Arial" w:cs="Arial"/>
          <w:i/>
          <w:spacing w:val="49"/>
          <w:sz w:val="18"/>
          <w:szCs w:val="18"/>
          <w:lang w:val="en-US"/>
        </w:rPr>
        <w:t xml:space="preserve"> </w:t>
      </w:r>
      <w:r w:rsidRPr="0052437D">
        <w:rPr>
          <w:rFonts w:eastAsia="Arial" w:cs="Arial"/>
          <w:i/>
          <w:sz w:val="18"/>
          <w:szCs w:val="18"/>
          <w:lang w:val="en-US"/>
        </w:rPr>
        <w:t>the</w:t>
      </w:r>
      <w:r w:rsidRPr="0052437D">
        <w:rPr>
          <w:rFonts w:eastAsia="Arial" w:cs="Arial"/>
          <w:i/>
          <w:spacing w:val="47"/>
          <w:sz w:val="18"/>
          <w:szCs w:val="18"/>
          <w:lang w:val="en-US"/>
        </w:rPr>
        <w:t xml:space="preserve"> </w:t>
      </w:r>
      <w:r w:rsidRPr="0052437D">
        <w:rPr>
          <w:rFonts w:eastAsia="Arial" w:cs="Arial"/>
          <w:i/>
          <w:sz w:val="18"/>
          <w:szCs w:val="18"/>
          <w:lang w:val="en-US"/>
        </w:rPr>
        <w:t>business</w:t>
      </w:r>
      <w:r w:rsidRPr="0052437D">
        <w:rPr>
          <w:rFonts w:eastAsia="Arial" w:cs="Arial"/>
          <w:i/>
          <w:spacing w:val="46"/>
          <w:sz w:val="18"/>
          <w:szCs w:val="18"/>
          <w:lang w:val="en-US"/>
        </w:rPr>
        <w:t xml:space="preserve"> </w:t>
      </w:r>
      <w:r w:rsidRPr="0052437D">
        <w:rPr>
          <w:rFonts w:eastAsia="Arial" w:cs="Arial"/>
          <w:i/>
          <w:sz w:val="18"/>
          <w:szCs w:val="18"/>
          <w:lang w:val="en-US"/>
        </w:rPr>
        <w:t>expenses</w:t>
      </w:r>
      <w:r w:rsidRPr="0052437D">
        <w:rPr>
          <w:rFonts w:eastAsia="Arial" w:cs="Arial"/>
          <w:i/>
          <w:spacing w:val="45"/>
          <w:sz w:val="18"/>
          <w:szCs w:val="18"/>
          <w:lang w:val="en-US"/>
        </w:rPr>
        <w:t xml:space="preserve"> </w:t>
      </w:r>
      <w:r w:rsidRPr="0052437D">
        <w:rPr>
          <w:rFonts w:eastAsia="Arial" w:cs="Arial"/>
          <w:i/>
          <w:sz w:val="18"/>
          <w:szCs w:val="18"/>
          <w:lang w:val="en-US"/>
        </w:rPr>
        <w:t>of</w:t>
      </w:r>
      <w:r w:rsidRPr="0052437D">
        <w:rPr>
          <w:rFonts w:eastAsia="Arial" w:cs="Arial"/>
          <w:i/>
          <w:spacing w:val="35"/>
          <w:sz w:val="18"/>
          <w:szCs w:val="18"/>
          <w:lang w:val="en-US"/>
        </w:rPr>
        <w:t xml:space="preserve"> </w:t>
      </w:r>
      <w:r w:rsidRPr="0052437D">
        <w:rPr>
          <w:rFonts w:eastAsia="Arial" w:cs="Arial"/>
          <w:i/>
          <w:sz w:val="18"/>
          <w:szCs w:val="18"/>
          <w:lang w:val="en-US"/>
        </w:rPr>
        <w:t>parliamentarians</w:t>
      </w:r>
      <w:r w:rsidRPr="0052437D">
        <w:rPr>
          <w:rFonts w:eastAsia="Arial" w:cs="Arial"/>
          <w:i/>
          <w:spacing w:val="10"/>
          <w:sz w:val="18"/>
          <w:szCs w:val="18"/>
          <w:lang w:val="en-US"/>
        </w:rPr>
        <w:t xml:space="preserve"> </w:t>
      </w:r>
      <w:r w:rsidRPr="0052437D">
        <w:rPr>
          <w:rFonts w:eastAsia="Arial" w:cs="Arial"/>
          <w:i/>
          <w:sz w:val="18"/>
          <w:szCs w:val="18"/>
          <w:lang w:val="en-US"/>
        </w:rPr>
        <w:t>should</w:t>
      </w:r>
      <w:r w:rsidRPr="0052437D">
        <w:rPr>
          <w:rFonts w:eastAsia="Arial" w:cs="Arial"/>
          <w:i/>
          <w:spacing w:val="56"/>
          <w:sz w:val="18"/>
          <w:szCs w:val="18"/>
          <w:lang w:val="en-US"/>
        </w:rPr>
        <w:t xml:space="preserve"> </w:t>
      </w:r>
      <w:r w:rsidRPr="0052437D">
        <w:rPr>
          <w:rFonts w:eastAsia="Arial" w:cs="Arial"/>
          <w:i/>
          <w:sz w:val="18"/>
          <w:szCs w:val="18"/>
          <w:lang w:val="en-US"/>
        </w:rPr>
        <w:t>be sufficient so</w:t>
      </w:r>
      <w:r w:rsidRPr="0052437D">
        <w:rPr>
          <w:rFonts w:eastAsia="Arial" w:cs="Arial"/>
          <w:i/>
          <w:spacing w:val="15"/>
          <w:sz w:val="18"/>
          <w:szCs w:val="18"/>
          <w:lang w:val="en-US"/>
        </w:rPr>
        <w:t xml:space="preserve"> </w:t>
      </w:r>
      <w:r w:rsidRPr="0052437D">
        <w:rPr>
          <w:rFonts w:eastAsia="Arial" w:cs="Arial"/>
          <w:i/>
          <w:sz w:val="18"/>
          <w:szCs w:val="18"/>
          <w:lang w:val="en-US"/>
        </w:rPr>
        <w:t>that</w:t>
      </w:r>
      <w:r w:rsidRPr="0052437D">
        <w:rPr>
          <w:rFonts w:eastAsia="Arial" w:cs="Arial"/>
          <w:i/>
          <w:spacing w:val="54"/>
          <w:sz w:val="18"/>
          <w:szCs w:val="18"/>
          <w:lang w:val="en-US"/>
        </w:rPr>
        <w:t xml:space="preserve"> </w:t>
      </w:r>
      <w:r w:rsidRPr="0052437D">
        <w:rPr>
          <w:rFonts w:eastAsia="Arial" w:cs="Arial"/>
          <w:i/>
          <w:sz w:val="18"/>
          <w:szCs w:val="18"/>
          <w:lang w:val="en-US"/>
        </w:rPr>
        <w:t>parliamentarians</w:t>
      </w:r>
      <w:r w:rsidRPr="0052437D">
        <w:rPr>
          <w:rFonts w:eastAsia="Arial" w:cs="Arial"/>
          <w:i/>
          <w:spacing w:val="7"/>
          <w:sz w:val="18"/>
          <w:szCs w:val="18"/>
          <w:lang w:val="en-US"/>
        </w:rPr>
        <w:t xml:space="preserve"> </w:t>
      </w:r>
      <w:r w:rsidRPr="0052437D">
        <w:rPr>
          <w:rFonts w:eastAsia="Arial" w:cs="Arial"/>
          <w:i/>
          <w:sz w:val="18"/>
          <w:szCs w:val="18"/>
          <w:lang w:val="en-US"/>
        </w:rPr>
        <w:t>can</w:t>
      </w:r>
      <w:r w:rsidRPr="0052437D">
        <w:rPr>
          <w:rFonts w:eastAsia="Arial" w:cs="Arial"/>
          <w:i/>
          <w:spacing w:val="17"/>
          <w:sz w:val="18"/>
          <w:szCs w:val="18"/>
          <w:lang w:val="en-US"/>
        </w:rPr>
        <w:t xml:space="preserve"> </w:t>
      </w:r>
      <w:r w:rsidRPr="0052437D">
        <w:rPr>
          <w:rFonts w:eastAsia="Arial" w:cs="Arial"/>
          <w:i/>
          <w:sz w:val="18"/>
          <w:szCs w:val="18"/>
          <w:lang w:val="en-US"/>
        </w:rPr>
        <w:t>fulfill</w:t>
      </w:r>
      <w:r w:rsidRPr="0052437D">
        <w:rPr>
          <w:rFonts w:eastAsia="Arial" w:cs="Arial"/>
          <w:i/>
          <w:spacing w:val="21"/>
          <w:sz w:val="18"/>
          <w:szCs w:val="18"/>
          <w:lang w:val="en-US"/>
        </w:rPr>
        <w:t xml:space="preserve"> </w:t>
      </w:r>
      <w:r w:rsidRPr="0052437D">
        <w:rPr>
          <w:rFonts w:eastAsia="Arial" w:cs="Arial"/>
          <w:i/>
          <w:sz w:val="18"/>
          <w:szCs w:val="18"/>
          <w:lang w:val="en-US"/>
        </w:rPr>
        <w:t>their</w:t>
      </w:r>
      <w:r w:rsidRPr="0052437D">
        <w:rPr>
          <w:rFonts w:eastAsia="Arial" w:cs="Arial"/>
          <w:i/>
          <w:spacing w:val="58"/>
          <w:sz w:val="18"/>
          <w:szCs w:val="18"/>
          <w:lang w:val="en-US"/>
        </w:rPr>
        <w:t xml:space="preserve"> </w:t>
      </w:r>
      <w:r w:rsidRPr="0052437D">
        <w:rPr>
          <w:rFonts w:eastAsia="Arial" w:cs="Arial"/>
          <w:i/>
          <w:sz w:val="18"/>
          <w:szCs w:val="18"/>
          <w:lang w:val="en-US"/>
        </w:rPr>
        <w:t>functions adequately</w:t>
      </w:r>
      <w:r w:rsidRPr="0052437D">
        <w:rPr>
          <w:rFonts w:eastAsia="Arial" w:cs="Arial"/>
          <w:i/>
          <w:spacing w:val="27"/>
          <w:sz w:val="18"/>
          <w:szCs w:val="18"/>
          <w:lang w:val="en-US"/>
        </w:rPr>
        <w:t xml:space="preserve"> </w:t>
      </w:r>
      <w:r w:rsidRPr="0052437D">
        <w:rPr>
          <w:rFonts w:eastAsia="Arial" w:cs="Arial"/>
          <w:i/>
          <w:sz w:val="18"/>
          <w:szCs w:val="18"/>
          <w:lang w:val="en-US"/>
        </w:rPr>
        <w:t>without</w:t>
      </w:r>
      <w:r w:rsidRPr="0052437D">
        <w:rPr>
          <w:rFonts w:eastAsia="Arial" w:cs="Arial"/>
          <w:i/>
          <w:spacing w:val="4"/>
          <w:sz w:val="18"/>
          <w:szCs w:val="18"/>
          <w:lang w:val="en-US"/>
        </w:rPr>
        <w:t xml:space="preserve"> </w:t>
      </w:r>
      <w:r w:rsidRPr="0052437D">
        <w:rPr>
          <w:rFonts w:eastAsia="Arial" w:cs="Arial"/>
          <w:i/>
          <w:sz w:val="18"/>
          <w:szCs w:val="18"/>
          <w:lang w:val="en-US"/>
        </w:rPr>
        <w:t>having</w:t>
      </w:r>
      <w:r w:rsidRPr="0052437D">
        <w:rPr>
          <w:rFonts w:eastAsia="Arial" w:cs="Arial"/>
          <w:i/>
          <w:spacing w:val="10"/>
          <w:sz w:val="18"/>
          <w:szCs w:val="18"/>
          <w:lang w:val="en-US"/>
        </w:rPr>
        <w:t xml:space="preserve"> </w:t>
      </w:r>
      <w:r w:rsidRPr="0052437D">
        <w:rPr>
          <w:rFonts w:eastAsia="Arial" w:cs="Arial"/>
          <w:i/>
          <w:sz w:val="18"/>
          <w:szCs w:val="18"/>
          <w:lang w:val="en-US"/>
        </w:rPr>
        <w:t>to</w:t>
      </w:r>
      <w:r w:rsidRPr="0052437D">
        <w:rPr>
          <w:rFonts w:eastAsia="Arial" w:cs="Arial"/>
          <w:i/>
          <w:spacing w:val="28"/>
          <w:sz w:val="18"/>
          <w:szCs w:val="18"/>
          <w:lang w:val="en-US"/>
        </w:rPr>
        <w:t xml:space="preserve"> </w:t>
      </w:r>
      <w:r w:rsidRPr="0052437D">
        <w:rPr>
          <w:rFonts w:eastAsia="Arial" w:cs="Arial"/>
          <w:i/>
          <w:sz w:val="18"/>
          <w:szCs w:val="18"/>
          <w:lang w:val="en-US"/>
        </w:rPr>
        <w:t>fund</w:t>
      </w:r>
      <w:r w:rsidRPr="0052437D">
        <w:rPr>
          <w:rFonts w:eastAsia="Arial" w:cs="Arial"/>
          <w:i/>
          <w:spacing w:val="46"/>
          <w:sz w:val="18"/>
          <w:szCs w:val="18"/>
          <w:lang w:val="en-US"/>
        </w:rPr>
        <w:t xml:space="preserve"> </w:t>
      </w:r>
      <w:r w:rsidRPr="0052437D">
        <w:rPr>
          <w:rFonts w:eastAsia="Arial" w:cs="Arial"/>
          <w:i/>
          <w:sz w:val="18"/>
          <w:szCs w:val="18"/>
          <w:lang w:val="en-US"/>
        </w:rPr>
        <w:t>their  parliamentary</w:t>
      </w:r>
      <w:r w:rsidRPr="0052437D">
        <w:rPr>
          <w:rFonts w:eastAsia="Arial" w:cs="Arial"/>
          <w:i/>
          <w:spacing w:val="28"/>
          <w:sz w:val="18"/>
          <w:szCs w:val="18"/>
          <w:lang w:val="en-US"/>
        </w:rPr>
        <w:t xml:space="preserve"> </w:t>
      </w:r>
      <w:r w:rsidR="0052437D">
        <w:rPr>
          <w:rFonts w:eastAsia="Arial" w:cs="Arial"/>
          <w:i/>
          <w:sz w:val="18"/>
          <w:szCs w:val="18"/>
          <w:lang w:val="en-US"/>
        </w:rPr>
        <w:t>and electorate</w:t>
      </w:r>
      <w:r w:rsidRPr="0052437D">
        <w:rPr>
          <w:rFonts w:eastAsia="Arial" w:cs="Arial"/>
          <w:i/>
          <w:spacing w:val="18"/>
          <w:sz w:val="18"/>
          <w:szCs w:val="18"/>
          <w:lang w:val="en-US"/>
        </w:rPr>
        <w:t xml:space="preserve"> </w:t>
      </w:r>
      <w:r w:rsidRPr="0052437D">
        <w:rPr>
          <w:rFonts w:eastAsia="Arial" w:cs="Arial"/>
          <w:i/>
          <w:sz w:val="18"/>
          <w:szCs w:val="18"/>
          <w:lang w:val="en-US"/>
        </w:rPr>
        <w:t>expenses</w:t>
      </w:r>
      <w:r w:rsidRPr="0052437D">
        <w:rPr>
          <w:rFonts w:eastAsia="Arial" w:cs="Arial"/>
          <w:i/>
          <w:spacing w:val="26"/>
          <w:sz w:val="18"/>
          <w:szCs w:val="18"/>
          <w:lang w:val="en-US"/>
        </w:rPr>
        <w:t xml:space="preserve"> </w:t>
      </w:r>
      <w:r w:rsidRPr="0052437D">
        <w:rPr>
          <w:rFonts w:eastAsia="Arial" w:cs="Arial"/>
          <w:i/>
          <w:sz w:val="18"/>
          <w:szCs w:val="18"/>
          <w:lang w:val="en-US"/>
        </w:rPr>
        <w:t>from</w:t>
      </w:r>
      <w:r w:rsidRPr="0052437D">
        <w:rPr>
          <w:rFonts w:eastAsia="Arial" w:cs="Arial"/>
          <w:i/>
          <w:spacing w:val="57"/>
          <w:sz w:val="18"/>
          <w:szCs w:val="18"/>
          <w:lang w:val="en-US"/>
        </w:rPr>
        <w:t xml:space="preserve"> </w:t>
      </w:r>
      <w:r w:rsidRPr="0052437D">
        <w:rPr>
          <w:rFonts w:eastAsia="Arial" w:cs="Arial"/>
          <w:i/>
          <w:sz w:val="18"/>
          <w:szCs w:val="18"/>
          <w:lang w:val="en-US"/>
        </w:rPr>
        <w:t>their</w:t>
      </w:r>
      <w:r w:rsidRPr="0052437D">
        <w:rPr>
          <w:rFonts w:eastAsia="Arial" w:cs="Arial"/>
          <w:i/>
          <w:spacing w:val="5"/>
          <w:sz w:val="18"/>
          <w:szCs w:val="18"/>
          <w:lang w:val="en-US"/>
        </w:rPr>
        <w:t xml:space="preserve"> </w:t>
      </w:r>
      <w:r w:rsidRPr="0052437D">
        <w:rPr>
          <w:rFonts w:eastAsia="Arial" w:cs="Arial"/>
          <w:i/>
          <w:sz w:val="18"/>
          <w:szCs w:val="18"/>
          <w:lang w:val="en-US"/>
        </w:rPr>
        <w:t>own</w:t>
      </w:r>
      <w:r w:rsidRPr="0052437D">
        <w:rPr>
          <w:rFonts w:eastAsia="Arial" w:cs="Arial"/>
          <w:i/>
          <w:spacing w:val="28"/>
          <w:sz w:val="18"/>
          <w:szCs w:val="18"/>
          <w:lang w:val="en-US"/>
        </w:rPr>
        <w:t xml:space="preserve"> </w:t>
      </w:r>
      <w:r w:rsidRPr="0052437D">
        <w:rPr>
          <w:rFonts w:eastAsia="Arial" w:cs="Arial"/>
          <w:i/>
          <w:sz w:val="18"/>
          <w:szCs w:val="18"/>
          <w:lang w:val="en-US"/>
        </w:rPr>
        <w:t>pockets;</w:t>
      </w:r>
    </w:p>
    <w:p w:rsidR="008B77A9" w:rsidRPr="0052437D" w:rsidRDefault="008B77A9" w:rsidP="008B77A9">
      <w:pPr>
        <w:widowControl w:val="0"/>
        <w:spacing w:after="120"/>
        <w:ind w:left="1134" w:right="237" w:hanging="346"/>
        <w:jc w:val="both"/>
        <w:rPr>
          <w:rFonts w:eastAsia="Arial" w:cs="Arial"/>
          <w:sz w:val="18"/>
          <w:szCs w:val="18"/>
          <w:lang w:val="en-US"/>
        </w:rPr>
      </w:pPr>
      <w:r w:rsidRPr="0052437D">
        <w:rPr>
          <w:rFonts w:eastAsia="Arial" w:cs="Arial"/>
          <w:sz w:val="18"/>
          <w:szCs w:val="18"/>
          <w:lang w:val="en-US"/>
        </w:rPr>
        <w:lastRenderedPageBreak/>
        <w:t>•</w:t>
      </w:r>
      <w:r w:rsidRPr="0052437D">
        <w:rPr>
          <w:rFonts w:eastAsia="Arial" w:cs="Arial"/>
          <w:sz w:val="18"/>
          <w:szCs w:val="18"/>
          <w:lang w:val="en-US"/>
        </w:rPr>
        <w:tab/>
      </w:r>
      <w:r w:rsidRPr="0052437D">
        <w:rPr>
          <w:rFonts w:eastAsia="Arial" w:cs="Arial"/>
          <w:i/>
          <w:sz w:val="18"/>
          <w:szCs w:val="18"/>
          <w:lang w:val="en-US"/>
        </w:rPr>
        <w:t>available</w:t>
      </w:r>
      <w:r w:rsidRPr="0052437D">
        <w:rPr>
          <w:rFonts w:eastAsia="Arial" w:cs="Arial"/>
          <w:i/>
          <w:spacing w:val="46"/>
          <w:sz w:val="18"/>
          <w:szCs w:val="18"/>
          <w:lang w:val="en-US"/>
        </w:rPr>
        <w:t xml:space="preserve"> </w:t>
      </w:r>
      <w:r w:rsidRPr="0052437D">
        <w:rPr>
          <w:rFonts w:eastAsia="Arial" w:cs="Arial"/>
          <w:i/>
          <w:sz w:val="18"/>
          <w:szCs w:val="18"/>
          <w:lang w:val="en-US"/>
        </w:rPr>
        <w:t>funding</w:t>
      </w:r>
      <w:r w:rsidRPr="0052437D">
        <w:rPr>
          <w:rFonts w:eastAsia="Arial" w:cs="Arial"/>
          <w:i/>
          <w:spacing w:val="1"/>
          <w:sz w:val="18"/>
          <w:szCs w:val="18"/>
          <w:lang w:val="en-US"/>
        </w:rPr>
        <w:t xml:space="preserve"> </w:t>
      </w:r>
      <w:r w:rsidRPr="0052437D">
        <w:rPr>
          <w:rFonts w:eastAsia="Arial" w:cs="Arial"/>
          <w:i/>
          <w:sz w:val="18"/>
          <w:szCs w:val="18"/>
          <w:lang w:val="en-US"/>
        </w:rPr>
        <w:t>should</w:t>
      </w:r>
      <w:r w:rsidRPr="0052437D">
        <w:rPr>
          <w:rFonts w:eastAsia="Arial" w:cs="Arial"/>
          <w:i/>
          <w:spacing w:val="35"/>
          <w:sz w:val="18"/>
          <w:szCs w:val="18"/>
          <w:lang w:val="en-US"/>
        </w:rPr>
        <w:t xml:space="preserve"> </w:t>
      </w:r>
      <w:r w:rsidRPr="0052437D">
        <w:rPr>
          <w:rFonts w:eastAsia="Arial" w:cs="Arial"/>
          <w:i/>
          <w:sz w:val="18"/>
          <w:szCs w:val="18"/>
          <w:lang w:val="en-US"/>
        </w:rPr>
        <w:t>be</w:t>
      </w:r>
      <w:r w:rsidRPr="0052437D">
        <w:rPr>
          <w:rFonts w:eastAsia="Arial" w:cs="Arial"/>
          <w:i/>
          <w:spacing w:val="11"/>
          <w:sz w:val="18"/>
          <w:szCs w:val="18"/>
          <w:lang w:val="en-US"/>
        </w:rPr>
        <w:t xml:space="preserve"> </w:t>
      </w:r>
      <w:r w:rsidRPr="0052437D">
        <w:rPr>
          <w:rFonts w:eastAsia="Arial" w:cs="Arial"/>
          <w:i/>
          <w:sz w:val="18"/>
          <w:szCs w:val="18"/>
          <w:lang w:val="en-US"/>
        </w:rPr>
        <w:t>clear</w:t>
      </w:r>
      <w:r w:rsidRPr="0052437D">
        <w:rPr>
          <w:rFonts w:eastAsia="Arial" w:cs="Arial"/>
          <w:i/>
          <w:spacing w:val="31"/>
          <w:sz w:val="18"/>
          <w:szCs w:val="18"/>
          <w:lang w:val="en-US"/>
        </w:rPr>
        <w:t xml:space="preserve"> </w:t>
      </w:r>
      <w:r w:rsidRPr="0052437D">
        <w:rPr>
          <w:rFonts w:eastAsia="Arial" w:cs="Arial"/>
          <w:i/>
          <w:sz w:val="18"/>
          <w:szCs w:val="18"/>
          <w:lang w:val="en-US"/>
        </w:rPr>
        <w:t>and</w:t>
      </w:r>
      <w:r w:rsidRPr="0052437D">
        <w:rPr>
          <w:rFonts w:eastAsia="Arial" w:cs="Arial"/>
          <w:i/>
          <w:spacing w:val="25"/>
          <w:sz w:val="18"/>
          <w:szCs w:val="18"/>
          <w:lang w:val="en-US"/>
        </w:rPr>
        <w:t xml:space="preserve"> </w:t>
      </w:r>
      <w:r w:rsidRPr="0052437D">
        <w:rPr>
          <w:rFonts w:eastAsia="Arial" w:cs="Arial"/>
          <w:i/>
          <w:sz w:val="18"/>
          <w:szCs w:val="18"/>
          <w:lang w:val="en-US"/>
        </w:rPr>
        <w:t>easy</w:t>
      </w:r>
      <w:r w:rsidRPr="0052437D">
        <w:rPr>
          <w:rFonts w:eastAsia="Arial" w:cs="Arial"/>
          <w:i/>
          <w:spacing w:val="15"/>
          <w:sz w:val="18"/>
          <w:szCs w:val="18"/>
          <w:lang w:val="en-US"/>
        </w:rPr>
        <w:t xml:space="preserve"> </w:t>
      </w:r>
      <w:r w:rsidRPr="0052437D">
        <w:rPr>
          <w:rFonts w:eastAsia="Arial" w:cs="Arial"/>
          <w:i/>
          <w:sz w:val="18"/>
          <w:szCs w:val="18"/>
          <w:lang w:val="en-US"/>
        </w:rPr>
        <w:t>to</w:t>
      </w:r>
      <w:r w:rsidRPr="0052437D">
        <w:rPr>
          <w:rFonts w:eastAsia="Arial" w:cs="Arial"/>
          <w:i/>
          <w:spacing w:val="26"/>
          <w:sz w:val="18"/>
          <w:szCs w:val="18"/>
          <w:lang w:val="en-US"/>
        </w:rPr>
        <w:t xml:space="preserve"> </w:t>
      </w:r>
      <w:r w:rsidRPr="0052437D">
        <w:rPr>
          <w:rFonts w:eastAsia="Arial" w:cs="Arial"/>
          <w:i/>
          <w:sz w:val="18"/>
          <w:szCs w:val="18"/>
          <w:lang w:val="en-US"/>
        </w:rPr>
        <w:t>understand</w:t>
      </w:r>
      <w:r w:rsidRPr="0052437D">
        <w:rPr>
          <w:rFonts w:eastAsia="Arial" w:cs="Arial"/>
          <w:i/>
          <w:spacing w:val="7"/>
          <w:sz w:val="18"/>
          <w:szCs w:val="18"/>
          <w:lang w:val="en-US"/>
        </w:rPr>
        <w:t xml:space="preserve"> </w:t>
      </w:r>
      <w:r w:rsidRPr="0052437D">
        <w:rPr>
          <w:rFonts w:eastAsia="Arial" w:cs="Arial"/>
          <w:i/>
          <w:sz w:val="18"/>
          <w:szCs w:val="18"/>
          <w:lang w:val="en-US"/>
        </w:rPr>
        <w:t>for parliamentarians,</w:t>
      </w:r>
      <w:r w:rsidRPr="0052437D">
        <w:rPr>
          <w:rFonts w:eastAsia="Arial" w:cs="Arial"/>
          <w:i/>
          <w:spacing w:val="1"/>
          <w:sz w:val="18"/>
          <w:szCs w:val="18"/>
          <w:lang w:val="en-US"/>
        </w:rPr>
        <w:t xml:space="preserve"> </w:t>
      </w:r>
      <w:r w:rsidRPr="0052437D">
        <w:rPr>
          <w:rFonts w:eastAsia="Arial" w:cs="Arial"/>
          <w:i/>
          <w:sz w:val="18"/>
          <w:szCs w:val="18"/>
          <w:lang w:val="en-US"/>
        </w:rPr>
        <w:t>those</w:t>
      </w:r>
      <w:r w:rsidRPr="0052437D">
        <w:rPr>
          <w:rFonts w:eastAsia="Arial" w:cs="Arial"/>
          <w:i/>
          <w:spacing w:val="12"/>
          <w:sz w:val="18"/>
          <w:szCs w:val="18"/>
          <w:lang w:val="en-US"/>
        </w:rPr>
        <w:t xml:space="preserve"> </w:t>
      </w:r>
      <w:r w:rsidRPr="0052437D">
        <w:rPr>
          <w:rFonts w:eastAsia="Arial" w:cs="Arial"/>
          <w:i/>
          <w:sz w:val="18"/>
          <w:szCs w:val="18"/>
          <w:lang w:val="en-US"/>
        </w:rPr>
        <w:t>administering the</w:t>
      </w:r>
      <w:r w:rsidRPr="0052437D">
        <w:rPr>
          <w:rFonts w:eastAsia="Arial" w:cs="Arial"/>
          <w:i/>
          <w:spacing w:val="23"/>
          <w:sz w:val="18"/>
          <w:szCs w:val="18"/>
          <w:lang w:val="en-US"/>
        </w:rPr>
        <w:t xml:space="preserve"> </w:t>
      </w:r>
      <w:r w:rsidRPr="0052437D">
        <w:rPr>
          <w:rFonts w:eastAsia="Arial" w:cs="Arial"/>
          <w:i/>
          <w:sz w:val="18"/>
          <w:szCs w:val="18"/>
          <w:lang w:val="en-US"/>
        </w:rPr>
        <w:t>funding, and</w:t>
      </w:r>
      <w:r w:rsidRPr="0052437D">
        <w:rPr>
          <w:rFonts w:eastAsia="Arial" w:cs="Arial"/>
          <w:i/>
          <w:spacing w:val="24"/>
          <w:sz w:val="18"/>
          <w:szCs w:val="18"/>
          <w:lang w:val="en-US"/>
        </w:rPr>
        <w:t xml:space="preserve"> </w:t>
      </w:r>
      <w:r w:rsidRPr="0052437D">
        <w:rPr>
          <w:rFonts w:eastAsia="Arial" w:cs="Arial"/>
          <w:i/>
          <w:sz w:val="18"/>
          <w:szCs w:val="18"/>
          <w:lang w:val="en-US"/>
        </w:rPr>
        <w:t>the public</w:t>
      </w:r>
      <w:r w:rsidRPr="0052437D">
        <w:rPr>
          <w:rFonts w:eastAsia="Arial" w:cs="Arial"/>
          <w:i/>
          <w:spacing w:val="39"/>
          <w:sz w:val="18"/>
          <w:szCs w:val="18"/>
          <w:lang w:val="en-US"/>
        </w:rPr>
        <w:t xml:space="preserve"> </w:t>
      </w:r>
      <w:r w:rsidRPr="0052437D">
        <w:rPr>
          <w:rFonts w:eastAsia="Arial" w:cs="Arial"/>
          <w:i/>
          <w:sz w:val="18"/>
          <w:szCs w:val="18"/>
          <w:lang w:val="en-US"/>
        </w:rPr>
        <w:t>at</w:t>
      </w:r>
      <w:r w:rsidRPr="0052437D">
        <w:rPr>
          <w:rFonts w:eastAsia="Arial" w:cs="Arial"/>
          <w:i/>
          <w:spacing w:val="34"/>
          <w:sz w:val="18"/>
          <w:szCs w:val="18"/>
          <w:lang w:val="en-US"/>
        </w:rPr>
        <w:t xml:space="preserve"> </w:t>
      </w:r>
      <w:r w:rsidRPr="0052437D">
        <w:rPr>
          <w:rFonts w:eastAsia="Arial" w:cs="Arial"/>
          <w:i/>
          <w:sz w:val="18"/>
          <w:szCs w:val="18"/>
          <w:lang w:val="en-US"/>
        </w:rPr>
        <w:t>large;</w:t>
      </w:r>
      <w:r w:rsidRPr="0052437D">
        <w:rPr>
          <w:rFonts w:eastAsia="Arial" w:cs="Arial"/>
          <w:i/>
          <w:spacing w:val="5"/>
          <w:sz w:val="18"/>
          <w:szCs w:val="18"/>
          <w:lang w:val="en-US"/>
        </w:rPr>
        <w:t xml:space="preserve"> </w:t>
      </w:r>
      <w:r w:rsidRPr="0052437D">
        <w:rPr>
          <w:rFonts w:eastAsia="Arial" w:cs="Arial"/>
          <w:i/>
          <w:sz w:val="18"/>
          <w:szCs w:val="18"/>
          <w:lang w:val="en-US"/>
        </w:rPr>
        <w:t>and</w:t>
      </w:r>
    </w:p>
    <w:p w:rsidR="008B77A9" w:rsidRPr="0052437D" w:rsidRDefault="008B77A9" w:rsidP="008B77A9">
      <w:pPr>
        <w:widowControl w:val="0"/>
        <w:spacing w:after="120"/>
        <w:ind w:left="1134" w:right="235" w:hanging="341"/>
        <w:jc w:val="both"/>
        <w:rPr>
          <w:rFonts w:eastAsia="Arial" w:cs="Arial"/>
          <w:sz w:val="18"/>
          <w:szCs w:val="18"/>
          <w:lang w:val="en-US"/>
        </w:rPr>
      </w:pPr>
      <w:r w:rsidRPr="0052437D">
        <w:rPr>
          <w:rFonts w:eastAsia="Arial" w:cs="Arial"/>
          <w:sz w:val="18"/>
          <w:szCs w:val="18"/>
          <w:lang w:val="en-US"/>
        </w:rPr>
        <w:t>•</w:t>
      </w:r>
      <w:r w:rsidRPr="0052437D">
        <w:rPr>
          <w:rFonts w:eastAsia="Arial" w:cs="Arial"/>
          <w:sz w:val="18"/>
          <w:szCs w:val="18"/>
          <w:lang w:val="en-US"/>
        </w:rPr>
        <w:tab/>
      </w:r>
      <w:r w:rsidRPr="0052437D">
        <w:rPr>
          <w:rFonts w:eastAsia="Arial" w:cs="Arial"/>
          <w:i/>
          <w:sz w:val="18"/>
          <w:szCs w:val="18"/>
          <w:lang w:val="en-US"/>
        </w:rPr>
        <w:t>in setting</w:t>
      </w:r>
      <w:r w:rsidRPr="0052437D">
        <w:rPr>
          <w:rFonts w:eastAsia="Arial" w:cs="Arial"/>
          <w:i/>
          <w:spacing w:val="37"/>
          <w:sz w:val="18"/>
          <w:szCs w:val="18"/>
          <w:lang w:val="en-US"/>
        </w:rPr>
        <w:t xml:space="preserve"> </w:t>
      </w:r>
      <w:r w:rsidRPr="0052437D">
        <w:rPr>
          <w:rFonts w:eastAsia="Arial" w:cs="Arial"/>
          <w:i/>
          <w:sz w:val="18"/>
          <w:szCs w:val="18"/>
          <w:lang w:val="en-US"/>
        </w:rPr>
        <w:t>funding</w:t>
      </w:r>
      <w:r w:rsidRPr="0052437D">
        <w:rPr>
          <w:rFonts w:eastAsia="Arial" w:cs="Arial"/>
          <w:i/>
          <w:spacing w:val="18"/>
          <w:sz w:val="18"/>
          <w:szCs w:val="18"/>
          <w:lang w:val="en-US"/>
        </w:rPr>
        <w:t xml:space="preserve"> </w:t>
      </w:r>
      <w:r w:rsidRPr="0052437D">
        <w:rPr>
          <w:rFonts w:eastAsia="Arial" w:cs="Arial"/>
          <w:i/>
          <w:sz w:val="18"/>
          <w:szCs w:val="18"/>
          <w:lang w:val="en-US"/>
        </w:rPr>
        <w:t>levels the Australian experience,</w:t>
      </w:r>
      <w:r w:rsidRPr="0052437D">
        <w:rPr>
          <w:rFonts w:eastAsia="Arial" w:cs="Arial"/>
          <w:i/>
          <w:spacing w:val="25"/>
          <w:sz w:val="18"/>
          <w:szCs w:val="18"/>
          <w:lang w:val="en-US"/>
        </w:rPr>
        <w:t xml:space="preserve"> </w:t>
      </w:r>
      <w:r w:rsidRPr="0052437D">
        <w:rPr>
          <w:rFonts w:eastAsia="Arial" w:cs="Arial"/>
          <w:i/>
          <w:sz w:val="18"/>
          <w:szCs w:val="18"/>
          <w:lang w:val="en-US"/>
        </w:rPr>
        <w:t>that parliamentarians</w:t>
      </w:r>
      <w:r w:rsidRPr="0052437D">
        <w:rPr>
          <w:rFonts w:eastAsia="Arial" w:cs="Arial"/>
          <w:i/>
          <w:spacing w:val="57"/>
          <w:sz w:val="18"/>
          <w:szCs w:val="18"/>
          <w:lang w:val="en-US"/>
        </w:rPr>
        <w:t xml:space="preserve"> </w:t>
      </w:r>
      <w:r w:rsidRPr="0052437D">
        <w:rPr>
          <w:rFonts w:eastAsia="Arial" w:cs="Arial"/>
          <w:i/>
          <w:sz w:val="18"/>
          <w:szCs w:val="18"/>
          <w:lang w:val="en-US"/>
        </w:rPr>
        <w:t>from different electorates across</w:t>
      </w:r>
      <w:r w:rsidRPr="0052437D">
        <w:rPr>
          <w:rFonts w:eastAsia="Arial" w:cs="Arial"/>
          <w:i/>
          <w:spacing w:val="21"/>
          <w:sz w:val="18"/>
          <w:szCs w:val="18"/>
          <w:lang w:val="en-US"/>
        </w:rPr>
        <w:t xml:space="preserve"> </w:t>
      </w:r>
      <w:r w:rsidRPr="0052437D">
        <w:rPr>
          <w:rFonts w:eastAsia="Arial" w:cs="Arial"/>
          <w:i/>
          <w:sz w:val="18"/>
          <w:szCs w:val="18"/>
          <w:lang w:val="en-US"/>
        </w:rPr>
        <w:t xml:space="preserve">the </w:t>
      </w:r>
      <w:r w:rsidRPr="0052437D">
        <w:rPr>
          <w:rFonts w:eastAsia="Arial" w:cs="Arial"/>
          <w:i/>
          <w:spacing w:val="27"/>
          <w:sz w:val="18"/>
          <w:szCs w:val="18"/>
          <w:lang w:val="en-US"/>
        </w:rPr>
        <w:t xml:space="preserve"> </w:t>
      </w:r>
      <w:r w:rsidRPr="0052437D">
        <w:rPr>
          <w:rFonts w:eastAsia="Arial" w:cs="Arial"/>
          <w:i/>
          <w:sz w:val="18"/>
          <w:szCs w:val="18"/>
          <w:lang w:val="en-US"/>
        </w:rPr>
        <w:t>country have</w:t>
      </w:r>
      <w:r w:rsidRPr="0052437D">
        <w:rPr>
          <w:rFonts w:eastAsia="Arial" w:cs="Arial"/>
          <w:i/>
          <w:spacing w:val="32"/>
          <w:sz w:val="18"/>
          <w:szCs w:val="18"/>
          <w:lang w:val="en-US"/>
        </w:rPr>
        <w:t xml:space="preserve"> </w:t>
      </w:r>
      <w:r w:rsidRPr="0052437D">
        <w:rPr>
          <w:rFonts w:eastAsia="Arial" w:cs="Arial"/>
          <w:i/>
          <w:sz w:val="18"/>
          <w:szCs w:val="18"/>
          <w:lang w:val="en-US"/>
        </w:rPr>
        <w:t>vastly different</w:t>
      </w:r>
      <w:r w:rsidRPr="0052437D">
        <w:rPr>
          <w:rFonts w:eastAsia="Arial" w:cs="Arial"/>
          <w:i/>
          <w:spacing w:val="56"/>
          <w:sz w:val="18"/>
          <w:szCs w:val="18"/>
          <w:lang w:val="en-US"/>
        </w:rPr>
        <w:t xml:space="preserve"> </w:t>
      </w:r>
      <w:r w:rsidRPr="0052437D">
        <w:rPr>
          <w:rFonts w:eastAsia="Arial" w:cs="Arial"/>
          <w:i/>
          <w:sz w:val="18"/>
          <w:szCs w:val="18"/>
          <w:lang w:val="en-US"/>
        </w:rPr>
        <w:t>challenges</w:t>
      </w:r>
      <w:r w:rsidRPr="0052437D">
        <w:rPr>
          <w:rFonts w:eastAsia="Arial" w:cs="Arial"/>
          <w:i/>
          <w:spacing w:val="45"/>
          <w:sz w:val="18"/>
          <w:szCs w:val="18"/>
          <w:lang w:val="en-US"/>
        </w:rPr>
        <w:t xml:space="preserve"> </w:t>
      </w:r>
      <w:r w:rsidRPr="0052437D">
        <w:rPr>
          <w:rFonts w:eastAsia="Arial" w:cs="Arial"/>
          <w:i/>
          <w:sz w:val="18"/>
          <w:szCs w:val="18"/>
          <w:lang w:val="en-US"/>
        </w:rPr>
        <w:t>in servicing</w:t>
      </w:r>
      <w:r w:rsidRPr="0052437D">
        <w:rPr>
          <w:rFonts w:eastAsia="Arial" w:cs="Arial"/>
          <w:i/>
          <w:spacing w:val="6"/>
          <w:sz w:val="18"/>
          <w:szCs w:val="18"/>
          <w:lang w:val="en-US"/>
        </w:rPr>
        <w:t xml:space="preserve"> </w:t>
      </w:r>
      <w:r w:rsidRPr="0052437D">
        <w:rPr>
          <w:rFonts w:eastAsia="Arial" w:cs="Arial"/>
          <w:i/>
          <w:sz w:val="18"/>
          <w:szCs w:val="18"/>
          <w:lang w:val="en-US"/>
        </w:rPr>
        <w:t>their electorates, must</w:t>
      </w:r>
      <w:r w:rsidRPr="0052437D">
        <w:rPr>
          <w:rFonts w:eastAsia="Arial" w:cs="Arial"/>
          <w:i/>
          <w:spacing w:val="54"/>
          <w:sz w:val="18"/>
          <w:szCs w:val="18"/>
          <w:lang w:val="en-US"/>
        </w:rPr>
        <w:t xml:space="preserve"> </w:t>
      </w:r>
      <w:r w:rsidRPr="0052437D">
        <w:rPr>
          <w:rFonts w:eastAsia="Arial" w:cs="Arial"/>
          <w:i/>
          <w:sz w:val="18"/>
          <w:szCs w:val="18"/>
          <w:lang w:val="en-US"/>
        </w:rPr>
        <w:t>be</w:t>
      </w:r>
      <w:r w:rsidRPr="0052437D">
        <w:rPr>
          <w:rFonts w:eastAsia="Arial" w:cs="Arial"/>
          <w:i/>
          <w:spacing w:val="17"/>
          <w:sz w:val="18"/>
          <w:szCs w:val="18"/>
          <w:lang w:val="en-US"/>
        </w:rPr>
        <w:t xml:space="preserve"> </w:t>
      </w:r>
      <w:r w:rsidRPr="0052437D">
        <w:rPr>
          <w:rFonts w:eastAsia="Arial" w:cs="Arial"/>
          <w:i/>
          <w:sz w:val="18"/>
          <w:szCs w:val="18"/>
          <w:lang w:val="en-US"/>
        </w:rPr>
        <w:t>taken</w:t>
      </w:r>
      <w:r w:rsidRPr="0052437D">
        <w:rPr>
          <w:rFonts w:eastAsia="Arial" w:cs="Arial"/>
          <w:i/>
          <w:spacing w:val="52"/>
          <w:sz w:val="18"/>
          <w:szCs w:val="18"/>
          <w:lang w:val="en-US"/>
        </w:rPr>
        <w:t xml:space="preserve"> </w:t>
      </w:r>
      <w:r w:rsidRPr="0052437D">
        <w:rPr>
          <w:rFonts w:eastAsia="Arial" w:cs="Arial"/>
          <w:i/>
          <w:sz w:val="18"/>
          <w:szCs w:val="18"/>
          <w:lang w:val="en-US"/>
        </w:rPr>
        <w:t>into</w:t>
      </w:r>
      <w:r w:rsidRPr="0052437D">
        <w:rPr>
          <w:rFonts w:eastAsia="Arial" w:cs="Arial"/>
          <w:i/>
          <w:spacing w:val="46"/>
          <w:sz w:val="18"/>
          <w:szCs w:val="18"/>
          <w:lang w:val="en-US"/>
        </w:rPr>
        <w:t xml:space="preserve"> </w:t>
      </w:r>
      <w:r w:rsidRPr="0052437D">
        <w:rPr>
          <w:rFonts w:eastAsia="Arial" w:cs="Arial"/>
          <w:i/>
          <w:sz w:val="18"/>
          <w:szCs w:val="18"/>
          <w:lang w:val="en-US"/>
        </w:rPr>
        <w:t>account."</w:t>
      </w:r>
    </w:p>
    <w:p w:rsidR="008B77A9" w:rsidRPr="0052437D" w:rsidRDefault="008B77A9" w:rsidP="008B77A9">
      <w:pPr>
        <w:widowControl w:val="0"/>
        <w:spacing w:after="120"/>
        <w:ind w:right="223"/>
        <w:jc w:val="both"/>
        <w:rPr>
          <w:rFonts w:eastAsia="Arial" w:cs="Arial"/>
          <w:sz w:val="18"/>
          <w:szCs w:val="18"/>
          <w:lang w:val="en-US"/>
        </w:rPr>
      </w:pPr>
      <w:r w:rsidRPr="0052437D">
        <w:rPr>
          <w:rFonts w:eastAsia="Arial" w:cs="Arial"/>
          <w:sz w:val="18"/>
          <w:szCs w:val="18"/>
          <w:lang w:val="en-US"/>
        </w:rPr>
        <w:t>In a similar vein the Western Australian Salaries and Allowances Tribunal in its August 2013 report observed:</w:t>
      </w:r>
    </w:p>
    <w:p w:rsidR="008B77A9" w:rsidRPr="0052437D" w:rsidRDefault="008B77A9" w:rsidP="008B77A9">
      <w:pPr>
        <w:widowControl w:val="0"/>
        <w:spacing w:after="120"/>
        <w:ind w:left="567" w:right="237" w:hanging="141"/>
        <w:jc w:val="both"/>
        <w:rPr>
          <w:rFonts w:eastAsia="Arial" w:cs="Arial"/>
          <w:sz w:val="18"/>
          <w:szCs w:val="18"/>
          <w:lang w:val="en-US"/>
        </w:rPr>
      </w:pPr>
      <w:r w:rsidRPr="0052437D">
        <w:rPr>
          <w:rFonts w:eastAsia="Arial" w:cs="Arial"/>
          <w:i/>
          <w:sz w:val="18"/>
          <w:szCs w:val="18"/>
          <w:lang w:val="en-US"/>
        </w:rPr>
        <w:t>"</w:t>
      </w:r>
      <w:r w:rsidRPr="0052437D">
        <w:rPr>
          <w:rFonts w:eastAsia="Arial" w:cs="Arial"/>
          <w:i/>
          <w:sz w:val="18"/>
          <w:szCs w:val="18"/>
          <w:lang w:val="en-US"/>
        </w:rPr>
        <w:tab/>
        <w:t>In exercising</w:t>
      </w:r>
      <w:r w:rsidRPr="0052437D">
        <w:rPr>
          <w:rFonts w:eastAsia="Arial" w:cs="Arial"/>
          <w:i/>
          <w:spacing w:val="44"/>
          <w:sz w:val="18"/>
          <w:szCs w:val="18"/>
          <w:lang w:val="en-US"/>
        </w:rPr>
        <w:t xml:space="preserve"> </w:t>
      </w:r>
      <w:r w:rsidRPr="0052437D">
        <w:rPr>
          <w:rFonts w:eastAsia="Arial" w:cs="Arial"/>
          <w:i/>
          <w:sz w:val="18"/>
          <w:szCs w:val="18"/>
          <w:lang w:val="en-US"/>
        </w:rPr>
        <w:t>its</w:t>
      </w:r>
      <w:r w:rsidRPr="0052437D">
        <w:rPr>
          <w:rFonts w:eastAsia="Arial" w:cs="Arial"/>
          <w:i/>
          <w:spacing w:val="11"/>
          <w:sz w:val="18"/>
          <w:szCs w:val="18"/>
          <w:lang w:val="en-US"/>
        </w:rPr>
        <w:t xml:space="preserve"> </w:t>
      </w:r>
      <w:r w:rsidRPr="0052437D">
        <w:rPr>
          <w:rFonts w:eastAsia="Arial" w:cs="Arial"/>
          <w:i/>
          <w:sz w:val="18"/>
          <w:szCs w:val="18"/>
          <w:lang w:val="en-US"/>
        </w:rPr>
        <w:t>statutory</w:t>
      </w:r>
      <w:r w:rsidRPr="0052437D">
        <w:rPr>
          <w:rFonts w:eastAsia="Arial" w:cs="Arial"/>
          <w:i/>
          <w:spacing w:val="10"/>
          <w:sz w:val="18"/>
          <w:szCs w:val="18"/>
          <w:lang w:val="en-US"/>
        </w:rPr>
        <w:t xml:space="preserve"> </w:t>
      </w:r>
      <w:r w:rsidRPr="0052437D">
        <w:rPr>
          <w:rFonts w:eastAsia="Arial" w:cs="Arial"/>
          <w:i/>
          <w:sz w:val="18"/>
          <w:szCs w:val="18"/>
          <w:lang w:val="en-US"/>
        </w:rPr>
        <w:t>responsibilities,</w:t>
      </w:r>
      <w:r w:rsidRPr="0052437D">
        <w:rPr>
          <w:rFonts w:eastAsia="Arial" w:cs="Arial"/>
          <w:i/>
          <w:spacing w:val="7"/>
          <w:sz w:val="18"/>
          <w:szCs w:val="18"/>
          <w:lang w:val="en-US"/>
        </w:rPr>
        <w:t xml:space="preserve"> </w:t>
      </w:r>
      <w:r w:rsidRPr="0052437D">
        <w:rPr>
          <w:rFonts w:eastAsia="Arial" w:cs="Arial"/>
          <w:i/>
          <w:sz w:val="18"/>
          <w:szCs w:val="18"/>
          <w:lang w:val="en-US"/>
        </w:rPr>
        <w:t>the Tribunal</w:t>
      </w:r>
      <w:r w:rsidRPr="0052437D">
        <w:rPr>
          <w:rFonts w:eastAsia="Arial" w:cs="Arial"/>
          <w:i/>
          <w:spacing w:val="37"/>
          <w:sz w:val="18"/>
          <w:szCs w:val="18"/>
          <w:lang w:val="en-US"/>
        </w:rPr>
        <w:t xml:space="preserve"> </w:t>
      </w:r>
      <w:r w:rsidRPr="0052437D">
        <w:rPr>
          <w:rFonts w:eastAsia="Arial" w:cs="Arial"/>
          <w:i/>
          <w:sz w:val="18"/>
          <w:szCs w:val="18"/>
          <w:lang w:val="en-US"/>
        </w:rPr>
        <w:t>applies broad principles upon</w:t>
      </w:r>
      <w:r w:rsidRPr="0052437D">
        <w:rPr>
          <w:rFonts w:eastAsia="Arial" w:cs="Arial"/>
          <w:i/>
          <w:spacing w:val="4"/>
          <w:sz w:val="18"/>
          <w:szCs w:val="18"/>
          <w:lang w:val="en-US"/>
        </w:rPr>
        <w:t xml:space="preserve"> </w:t>
      </w:r>
      <w:r w:rsidRPr="0052437D">
        <w:rPr>
          <w:rFonts w:eastAsia="Arial" w:cs="Arial"/>
          <w:i/>
          <w:sz w:val="18"/>
          <w:szCs w:val="18"/>
          <w:lang w:val="en-US"/>
        </w:rPr>
        <w:t>which</w:t>
      </w:r>
      <w:r w:rsidRPr="0052437D">
        <w:rPr>
          <w:rFonts w:eastAsia="Arial" w:cs="Arial"/>
          <w:i/>
          <w:spacing w:val="44"/>
          <w:sz w:val="18"/>
          <w:szCs w:val="18"/>
          <w:lang w:val="en-US"/>
        </w:rPr>
        <w:t xml:space="preserve"> </w:t>
      </w:r>
      <w:r w:rsidRPr="0052437D">
        <w:rPr>
          <w:rFonts w:eastAsia="Arial" w:cs="Arial"/>
          <w:i/>
          <w:sz w:val="18"/>
          <w:szCs w:val="18"/>
          <w:lang w:val="en-US"/>
        </w:rPr>
        <w:t>levels</w:t>
      </w:r>
      <w:r w:rsidRPr="0052437D">
        <w:rPr>
          <w:rFonts w:eastAsia="Arial" w:cs="Arial"/>
          <w:i/>
          <w:spacing w:val="31"/>
          <w:sz w:val="18"/>
          <w:szCs w:val="18"/>
          <w:lang w:val="en-US"/>
        </w:rPr>
        <w:t xml:space="preserve"> </w:t>
      </w:r>
      <w:r w:rsidRPr="0052437D">
        <w:rPr>
          <w:rFonts w:eastAsia="Arial" w:cs="Arial"/>
          <w:i/>
          <w:sz w:val="18"/>
          <w:szCs w:val="18"/>
          <w:lang w:val="en-US"/>
        </w:rPr>
        <w:t>of</w:t>
      </w:r>
      <w:r w:rsidRPr="0052437D">
        <w:rPr>
          <w:rFonts w:eastAsia="Arial" w:cs="Arial"/>
          <w:i/>
          <w:spacing w:val="21"/>
          <w:sz w:val="18"/>
          <w:szCs w:val="18"/>
          <w:lang w:val="en-US"/>
        </w:rPr>
        <w:t xml:space="preserve"> </w:t>
      </w:r>
      <w:r w:rsidRPr="0052437D">
        <w:rPr>
          <w:rFonts w:eastAsia="Arial" w:cs="Arial"/>
          <w:i/>
          <w:sz w:val="18"/>
          <w:szCs w:val="18"/>
          <w:lang w:val="en-US"/>
        </w:rPr>
        <w:t>remuneration</w:t>
      </w:r>
      <w:r w:rsidRPr="0052437D">
        <w:rPr>
          <w:rFonts w:eastAsia="Arial" w:cs="Arial"/>
          <w:i/>
          <w:spacing w:val="61"/>
          <w:sz w:val="18"/>
          <w:szCs w:val="18"/>
          <w:lang w:val="en-US"/>
        </w:rPr>
        <w:t xml:space="preserve"> </w:t>
      </w:r>
      <w:r w:rsidRPr="0052437D">
        <w:rPr>
          <w:rFonts w:eastAsia="Arial" w:cs="Arial"/>
          <w:i/>
          <w:sz w:val="18"/>
          <w:szCs w:val="18"/>
          <w:lang w:val="en-US"/>
        </w:rPr>
        <w:t>are</w:t>
      </w:r>
      <w:r w:rsidRPr="0052437D">
        <w:rPr>
          <w:rFonts w:eastAsia="Arial" w:cs="Arial"/>
          <w:i/>
          <w:spacing w:val="34"/>
          <w:sz w:val="18"/>
          <w:szCs w:val="18"/>
          <w:lang w:val="en-US"/>
        </w:rPr>
        <w:t xml:space="preserve"> </w:t>
      </w:r>
      <w:r w:rsidRPr="0052437D">
        <w:rPr>
          <w:rFonts w:eastAsia="Arial" w:cs="Arial"/>
          <w:i/>
          <w:sz w:val="18"/>
          <w:szCs w:val="18"/>
          <w:lang w:val="en-US"/>
        </w:rPr>
        <w:t>determined for all categories</w:t>
      </w:r>
      <w:r w:rsidRPr="0052437D">
        <w:rPr>
          <w:rFonts w:eastAsia="Arial" w:cs="Arial"/>
          <w:i/>
          <w:spacing w:val="2"/>
          <w:sz w:val="18"/>
          <w:szCs w:val="18"/>
          <w:lang w:val="en-US"/>
        </w:rPr>
        <w:t xml:space="preserve"> </w:t>
      </w:r>
      <w:r w:rsidRPr="0052437D">
        <w:rPr>
          <w:rFonts w:eastAsia="Arial" w:cs="Arial"/>
          <w:i/>
          <w:sz w:val="18"/>
          <w:szCs w:val="18"/>
          <w:lang w:val="en-US"/>
        </w:rPr>
        <w:t>of</w:t>
      </w:r>
      <w:r w:rsidRPr="0052437D">
        <w:rPr>
          <w:rFonts w:eastAsia="Arial" w:cs="Arial"/>
          <w:i/>
          <w:spacing w:val="30"/>
          <w:sz w:val="18"/>
          <w:szCs w:val="18"/>
          <w:lang w:val="en-US"/>
        </w:rPr>
        <w:t xml:space="preserve"> </w:t>
      </w:r>
      <w:r w:rsidRPr="0052437D">
        <w:rPr>
          <w:rFonts w:eastAsia="Arial" w:cs="Arial"/>
          <w:i/>
          <w:sz w:val="18"/>
          <w:szCs w:val="18"/>
          <w:lang w:val="en-US"/>
        </w:rPr>
        <w:t>offices</w:t>
      </w:r>
      <w:r w:rsidRPr="0052437D">
        <w:rPr>
          <w:rFonts w:eastAsia="Arial" w:cs="Arial"/>
          <w:i/>
          <w:spacing w:val="29"/>
          <w:sz w:val="18"/>
          <w:szCs w:val="18"/>
          <w:lang w:val="en-US"/>
        </w:rPr>
        <w:t xml:space="preserve"> </w:t>
      </w:r>
      <w:r w:rsidRPr="0052437D">
        <w:rPr>
          <w:rFonts w:eastAsia="Arial" w:cs="Arial"/>
          <w:i/>
          <w:sz w:val="18"/>
          <w:szCs w:val="18"/>
          <w:lang w:val="en-US"/>
        </w:rPr>
        <w:t>and positions within</w:t>
      </w:r>
      <w:r w:rsidRPr="0052437D">
        <w:rPr>
          <w:rFonts w:eastAsia="Arial" w:cs="Arial"/>
          <w:i/>
          <w:spacing w:val="55"/>
          <w:sz w:val="18"/>
          <w:szCs w:val="18"/>
          <w:lang w:val="en-US"/>
        </w:rPr>
        <w:t xml:space="preserve"> </w:t>
      </w:r>
      <w:r w:rsidRPr="0052437D">
        <w:rPr>
          <w:rFonts w:eastAsia="Arial" w:cs="Arial"/>
          <w:i/>
          <w:sz w:val="18"/>
          <w:szCs w:val="18"/>
          <w:lang w:val="en-US"/>
        </w:rPr>
        <w:t>the scope of</w:t>
      </w:r>
      <w:r w:rsidRPr="0052437D">
        <w:rPr>
          <w:rFonts w:eastAsia="Arial" w:cs="Arial"/>
          <w:i/>
          <w:spacing w:val="15"/>
          <w:sz w:val="18"/>
          <w:szCs w:val="18"/>
          <w:lang w:val="en-US"/>
        </w:rPr>
        <w:t xml:space="preserve"> </w:t>
      </w:r>
      <w:r w:rsidRPr="0052437D">
        <w:rPr>
          <w:rFonts w:eastAsia="Arial" w:cs="Arial"/>
          <w:i/>
          <w:sz w:val="18"/>
          <w:szCs w:val="18"/>
          <w:lang w:val="en-US"/>
        </w:rPr>
        <w:t>the</w:t>
      </w:r>
      <w:r w:rsidRPr="0052437D">
        <w:rPr>
          <w:rFonts w:eastAsia="Arial" w:cs="Arial"/>
          <w:i/>
          <w:spacing w:val="22"/>
          <w:sz w:val="18"/>
          <w:szCs w:val="18"/>
          <w:lang w:val="en-US"/>
        </w:rPr>
        <w:t xml:space="preserve"> </w:t>
      </w:r>
      <w:r w:rsidR="0052437D">
        <w:rPr>
          <w:rFonts w:eastAsia="Arial" w:cs="Arial"/>
          <w:i/>
          <w:sz w:val="18"/>
          <w:szCs w:val="18"/>
          <w:lang w:val="en-US"/>
        </w:rPr>
        <w:t>SAA</w:t>
      </w:r>
      <w:r w:rsidRPr="0052437D">
        <w:rPr>
          <w:rFonts w:eastAsia="Arial" w:cs="Arial"/>
          <w:i/>
          <w:spacing w:val="2"/>
          <w:sz w:val="18"/>
          <w:szCs w:val="18"/>
          <w:lang w:val="en-US"/>
        </w:rPr>
        <w:t xml:space="preserve"> </w:t>
      </w:r>
      <w:r w:rsidRPr="0052437D">
        <w:rPr>
          <w:rFonts w:eastAsia="Arial" w:cs="Arial"/>
          <w:i/>
          <w:sz w:val="18"/>
          <w:szCs w:val="18"/>
          <w:lang w:val="en-US"/>
        </w:rPr>
        <w:t>Act. These</w:t>
      </w:r>
      <w:r w:rsidRPr="0052437D">
        <w:rPr>
          <w:rFonts w:eastAsia="Arial" w:cs="Arial"/>
          <w:i/>
          <w:spacing w:val="3"/>
          <w:sz w:val="18"/>
          <w:szCs w:val="18"/>
          <w:lang w:val="en-US"/>
        </w:rPr>
        <w:t xml:space="preserve"> </w:t>
      </w:r>
      <w:r w:rsidRPr="0052437D">
        <w:rPr>
          <w:rFonts w:eastAsia="Arial" w:cs="Arial"/>
          <w:i/>
          <w:sz w:val="18"/>
          <w:szCs w:val="18"/>
          <w:lang w:val="en-US"/>
        </w:rPr>
        <w:t>principles,</w:t>
      </w:r>
      <w:r w:rsidRPr="0052437D">
        <w:rPr>
          <w:rFonts w:eastAsia="Arial" w:cs="Arial"/>
          <w:i/>
          <w:spacing w:val="26"/>
          <w:sz w:val="18"/>
          <w:szCs w:val="18"/>
          <w:lang w:val="en-US"/>
        </w:rPr>
        <w:t xml:space="preserve"> </w:t>
      </w:r>
      <w:r w:rsidRPr="0052437D">
        <w:rPr>
          <w:rFonts w:eastAsia="Arial" w:cs="Arial"/>
          <w:i/>
          <w:sz w:val="18"/>
          <w:szCs w:val="18"/>
          <w:lang w:val="en-US"/>
        </w:rPr>
        <w:t>particularized</w:t>
      </w:r>
      <w:r w:rsidRPr="0052437D">
        <w:rPr>
          <w:rFonts w:eastAsia="Arial" w:cs="Arial"/>
          <w:i/>
          <w:spacing w:val="39"/>
          <w:sz w:val="18"/>
          <w:szCs w:val="18"/>
          <w:lang w:val="en-US"/>
        </w:rPr>
        <w:t xml:space="preserve"> </w:t>
      </w:r>
      <w:r w:rsidRPr="0052437D">
        <w:rPr>
          <w:rFonts w:eastAsia="Arial" w:cs="Arial"/>
          <w:i/>
          <w:sz w:val="18"/>
          <w:szCs w:val="18"/>
          <w:lang w:val="en-US"/>
        </w:rPr>
        <w:t>to Members of</w:t>
      </w:r>
      <w:r w:rsidRPr="0052437D">
        <w:rPr>
          <w:rFonts w:eastAsia="Arial" w:cs="Arial"/>
          <w:i/>
          <w:spacing w:val="12"/>
          <w:sz w:val="18"/>
          <w:szCs w:val="18"/>
          <w:lang w:val="en-US"/>
        </w:rPr>
        <w:t xml:space="preserve"> </w:t>
      </w:r>
      <w:r w:rsidRPr="0052437D">
        <w:rPr>
          <w:rFonts w:eastAsia="Arial" w:cs="Arial"/>
          <w:i/>
          <w:sz w:val="18"/>
          <w:szCs w:val="18"/>
          <w:lang w:val="en-US"/>
        </w:rPr>
        <w:t>Parliament, have been applied</w:t>
      </w:r>
      <w:r w:rsidRPr="0052437D">
        <w:rPr>
          <w:rFonts w:eastAsia="Arial" w:cs="Arial"/>
          <w:i/>
          <w:spacing w:val="40"/>
          <w:sz w:val="18"/>
          <w:szCs w:val="18"/>
          <w:lang w:val="en-US"/>
        </w:rPr>
        <w:t xml:space="preserve"> </w:t>
      </w:r>
      <w:r w:rsidRPr="0052437D">
        <w:rPr>
          <w:rFonts w:eastAsia="Arial" w:cs="Arial"/>
          <w:i/>
          <w:sz w:val="18"/>
          <w:szCs w:val="18"/>
          <w:lang w:val="en-US"/>
        </w:rPr>
        <w:t>by the Tribunal to</w:t>
      </w:r>
      <w:r w:rsidRPr="0052437D">
        <w:rPr>
          <w:rFonts w:eastAsia="Arial" w:cs="Arial"/>
          <w:i/>
          <w:spacing w:val="11"/>
          <w:sz w:val="18"/>
          <w:szCs w:val="18"/>
          <w:lang w:val="en-US"/>
        </w:rPr>
        <w:t xml:space="preserve"> </w:t>
      </w:r>
      <w:r w:rsidRPr="0052437D">
        <w:rPr>
          <w:rFonts w:eastAsia="Arial" w:cs="Arial"/>
          <w:i/>
          <w:sz w:val="18"/>
          <w:szCs w:val="18"/>
          <w:lang w:val="en-US"/>
        </w:rPr>
        <w:t>make judgments</w:t>
      </w:r>
      <w:r w:rsidRPr="0052437D">
        <w:rPr>
          <w:rFonts w:eastAsia="Arial" w:cs="Arial"/>
          <w:i/>
          <w:spacing w:val="41"/>
          <w:sz w:val="18"/>
          <w:szCs w:val="18"/>
          <w:lang w:val="en-US"/>
        </w:rPr>
        <w:t xml:space="preserve"> </w:t>
      </w:r>
      <w:r w:rsidRPr="0052437D">
        <w:rPr>
          <w:rFonts w:eastAsia="Arial" w:cs="Arial"/>
          <w:i/>
          <w:sz w:val="18"/>
          <w:szCs w:val="18"/>
          <w:lang w:val="en-US"/>
        </w:rPr>
        <w:t>with</w:t>
      </w:r>
      <w:r w:rsidRPr="0052437D">
        <w:rPr>
          <w:rFonts w:eastAsia="Arial" w:cs="Arial"/>
          <w:i/>
          <w:spacing w:val="21"/>
          <w:sz w:val="18"/>
          <w:szCs w:val="18"/>
          <w:lang w:val="en-US"/>
        </w:rPr>
        <w:t xml:space="preserve"> </w:t>
      </w:r>
      <w:r w:rsidRPr="0052437D">
        <w:rPr>
          <w:rFonts w:eastAsia="Arial" w:cs="Arial"/>
          <w:i/>
          <w:sz w:val="18"/>
          <w:szCs w:val="18"/>
          <w:lang w:val="en-US"/>
        </w:rPr>
        <w:t>respect</w:t>
      </w:r>
      <w:r w:rsidRPr="0052437D">
        <w:rPr>
          <w:rFonts w:eastAsia="Arial" w:cs="Arial"/>
          <w:i/>
          <w:spacing w:val="27"/>
          <w:sz w:val="18"/>
          <w:szCs w:val="18"/>
          <w:lang w:val="en-US"/>
        </w:rPr>
        <w:t xml:space="preserve"> </w:t>
      </w:r>
      <w:r w:rsidRPr="0052437D">
        <w:rPr>
          <w:rFonts w:eastAsia="Arial" w:cs="Arial"/>
          <w:i/>
          <w:sz w:val="18"/>
          <w:szCs w:val="18"/>
          <w:lang w:val="en-US"/>
        </w:rPr>
        <w:t>to</w:t>
      </w:r>
      <w:r w:rsidRPr="0052437D">
        <w:rPr>
          <w:rFonts w:eastAsia="Arial" w:cs="Arial"/>
          <w:i/>
          <w:spacing w:val="11"/>
          <w:sz w:val="18"/>
          <w:szCs w:val="18"/>
          <w:lang w:val="en-US"/>
        </w:rPr>
        <w:t xml:space="preserve"> </w:t>
      </w:r>
      <w:r w:rsidRPr="0052437D">
        <w:rPr>
          <w:rFonts w:eastAsia="Arial" w:cs="Arial"/>
          <w:i/>
          <w:sz w:val="18"/>
          <w:szCs w:val="18"/>
          <w:lang w:val="en-US"/>
        </w:rPr>
        <w:t>the remuneration</w:t>
      </w:r>
      <w:r w:rsidRPr="0052437D">
        <w:rPr>
          <w:rFonts w:eastAsia="Arial" w:cs="Arial"/>
          <w:i/>
          <w:spacing w:val="11"/>
          <w:sz w:val="18"/>
          <w:szCs w:val="18"/>
          <w:lang w:val="en-US"/>
        </w:rPr>
        <w:t xml:space="preserve"> </w:t>
      </w:r>
      <w:r w:rsidRPr="0052437D">
        <w:rPr>
          <w:rFonts w:eastAsia="Arial" w:cs="Arial"/>
          <w:i/>
          <w:sz w:val="18"/>
          <w:szCs w:val="18"/>
          <w:lang w:val="en-US"/>
        </w:rPr>
        <w:t>in</w:t>
      </w:r>
      <w:r w:rsidRPr="0052437D">
        <w:rPr>
          <w:rFonts w:eastAsia="Arial" w:cs="Arial"/>
          <w:i/>
          <w:spacing w:val="31"/>
          <w:sz w:val="18"/>
          <w:szCs w:val="18"/>
          <w:lang w:val="en-US"/>
        </w:rPr>
        <w:t xml:space="preserve"> </w:t>
      </w:r>
      <w:r w:rsidRPr="0052437D">
        <w:rPr>
          <w:rFonts w:eastAsia="Arial" w:cs="Arial"/>
          <w:i/>
          <w:sz w:val="18"/>
          <w:szCs w:val="18"/>
          <w:lang w:val="en-US"/>
        </w:rPr>
        <w:t>this</w:t>
      </w:r>
      <w:r w:rsidRPr="0052437D">
        <w:rPr>
          <w:rFonts w:eastAsia="Arial" w:cs="Arial"/>
          <w:i/>
          <w:spacing w:val="46"/>
          <w:sz w:val="18"/>
          <w:szCs w:val="18"/>
          <w:lang w:val="en-US"/>
        </w:rPr>
        <w:t xml:space="preserve"> </w:t>
      </w:r>
      <w:r w:rsidRPr="0052437D">
        <w:rPr>
          <w:rFonts w:eastAsia="Arial" w:cs="Arial"/>
          <w:i/>
          <w:sz w:val="18"/>
          <w:szCs w:val="18"/>
          <w:lang w:val="en-US"/>
        </w:rPr>
        <w:t>determination.</w:t>
      </w:r>
      <w:r w:rsidRPr="0052437D">
        <w:rPr>
          <w:rFonts w:eastAsia="Arial" w:cs="Arial"/>
          <w:i/>
          <w:spacing w:val="-18"/>
          <w:sz w:val="18"/>
          <w:szCs w:val="18"/>
          <w:lang w:val="en-US"/>
        </w:rPr>
        <w:t xml:space="preserve"> </w:t>
      </w:r>
      <w:r w:rsidRPr="0052437D">
        <w:rPr>
          <w:rFonts w:eastAsia="Arial" w:cs="Arial"/>
          <w:i/>
          <w:sz w:val="18"/>
          <w:szCs w:val="18"/>
          <w:lang w:val="en-US"/>
        </w:rPr>
        <w:t>These</w:t>
      </w:r>
      <w:r w:rsidRPr="0052437D">
        <w:rPr>
          <w:rFonts w:eastAsia="Arial" w:cs="Arial"/>
          <w:i/>
          <w:spacing w:val="29"/>
          <w:sz w:val="18"/>
          <w:szCs w:val="18"/>
          <w:lang w:val="en-US"/>
        </w:rPr>
        <w:t xml:space="preserve"> </w:t>
      </w:r>
      <w:r w:rsidRPr="0052437D">
        <w:rPr>
          <w:rFonts w:eastAsia="Arial" w:cs="Arial"/>
          <w:i/>
          <w:sz w:val="18"/>
          <w:szCs w:val="18"/>
          <w:lang w:val="en-US"/>
        </w:rPr>
        <w:t>principles</w:t>
      </w:r>
      <w:r w:rsidRPr="0052437D">
        <w:rPr>
          <w:rFonts w:eastAsia="Arial" w:cs="Arial"/>
          <w:i/>
          <w:spacing w:val="-6"/>
          <w:sz w:val="18"/>
          <w:szCs w:val="18"/>
          <w:lang w:val="en-US"/>
        </w:rPr>
        <w:t xml:space="preserve"> </w:t>
      </w:r>
      <w:r w:rsidRPr="0052437D">
        <w:rPr>
          <w:rFonts w:eastAsia="Arial" w:cs="Arial"/>
          <w:i/>
          <w:sz w:val="18"/>
          <w:szCs w:val="18"/>
          <w:lang w:val="en-US"/>
        </w:rPr>
        <w:t>are:</w:t>
      </w:r>
    </w:p>
    <w:p w:rsidR="008B77A9" w:rsidRPr="0052437D" w:rsidRDefault="008B77A9" w:rsidP="008B77A9">
      <w:pPr>
        <w:widowControl w:val="0"/>
        <w:spacing w:after="120"/>
        <w:ind w:left="1134" w:right="54" w:hanging="358"/>
        <w:jc w:val="both"/>
        <w:rPr>
          <w:rFonts w:eastAsia="Arial" w:cs="Arial"/>
          <w:sz w:val="18"/>
          <w:szCs w:val="18"/>
          <w:lang w:val="en-US"/>
        </w:rPr>
      </w:pPr>
      <w:r w:rsidRPr="0052437D">
        <w:rPr>
          <w:rFonts w:eastAsia="Arial" w:cs="Arial"/>
          <w:sz w:val="18"/>
          <w:szCs w:val="18"/>
          <w:lang w:val="en-US"/>
        </w:rPr>
        <w:t>•</w:t>
      </w:r>
      <w:r w:rsidRPr="0052437D">
        <w:rPr>
          <w:rFonts w:eastAsia="Arial" w:cs="Arial"/>
          <w:sz w:val="18"/>
          <w:szCs w:val="18"/>
          <w:lang w:val="en-US"/>
        </w:rPr>
        <w:tab/>
      </w:r>
      <w:r w:rsidRPr="0052437D">
        <w:rPr>
          <w:rFonts w:eastAsia="Arial" w:cs="Arial"/>
          <w:i/>
          <w:sz w:val="18"/>
          <w:szCs w:val="18"/>
          <w:lang w:val="en-US"/>
        </w:rPr>
        <w:t>the value of a parliamentary</w:t>
      </w:r>
      <w:r w:rsidRPr="0052437D">
        <w:rPr>
          <w:rFonts w:eastAsia="Arial" w:cs="Arial"/>
          <w:i/>
          <w:spacing w:val="58"/>
          <w:sz w:val="18"/>
          <w:szCs w:val="18"/>
          <w:lang w:val="en-US"/>
        </w:rPr>
        <w:t xml:space="preserve"> </w:t>
      </w:r>
      <w:r w:rsidRPr="0052437D">
        <w:rPr>
          <w:rFonts w:eastAsia="Arial" w:cs="Arial"/>
          <w:i/>
          <w:sz w:val="18"/>
          <w:szCs w:val="18"/>
          <w:lang w:val="en-US"/>
        </w:rPr>
        <w:t>position</w:t>
      </w:r>
      <w:r w:rsidRPr="0052437D">
        <w:rPr>
          <w:rFonts w:eastAsia="Arial" w:cs="Arial"/>
          <w:i/>
          <w:spacing w:val="16"/>
          <w:sz w:val="18"/>
          <w:szCs w:val="18"/>
          <w:lang w:val="en-US"/>
        </w:rPr>
        <w:t xml:space="preserve"> </w:t>
      </w:r>
      <w:r w:rsidRPr="0052437D">
        <w:rPr>
          <w:rFonts w:eastAsia="Arial" w:cs="Arial"/>
          <w:i/>
          <w:sz w:val="18"/>
          <w:szCs w:val="18"/>
          <w:lang w:val="en-US"/>
        </w:rPr>
        <w:t>to the State under</w:t>
      </w:r>
      <w:r w:rsidRPr="0052437D">
        <w:rPr>
          <w:rFonts w:eastAsia="Arial" w:cs="Arial"/>
          <w:i/>
          <w:spacing w:val="46"/>
          <w:sz w:val="18"/>
          <w:szCs w:val="18"/>
          <w:lang w:val="en-US"/>
        </w:rPr>
        <w:t xml:space="preserve"> </w:t>
      </w:r>
      <w:r w:rsidRPr="0052437D">
        <w:rPr>
          <w:rFonts w:eastAsia="Arial" w:cs="Arial"/>
          <w:i/>
          <w:sz w:val="18"/>
          <w:szCs w:val="18"/>
          <w:lang w:val="en-US"/>
        </w:rPr>
        <w:t>our democratic</w:t>
      </w:r>
      <w:r w:rsidRPr="0052437D">
        <w:rPr>
          <w:rFonts w:eastAsia="Arial" w:cs="Arial"/>
          <w:i/>
          <w:spacing w:val="-3"/>
          <w:sz w:val="18"/>
          <w:szCs w:val="18"/>
          <w:lang w:val="en-US"/>
        </w:rPr>
        <w:t xml:space="preserve"> </w:t>
      </w:r>
      <w:r w:rsidRPr="0052437D">
        <w:rPr>
          <w:rFonts w:eastAsia="Arial" w:cs="Arial"/>
          <w:i/>
          <w:sz w:val="18"/>
          <w:szCs w:val="18"/>
          <w:lang w:val="en-US"/>
        </w:rPr>
        <w:t>system</w:t>
      </w:r>
      <w:r w:rsidRPr="0052437D">
        <w:rPr>
          <w:rFonts w:eastAsia="Arial" w:cs="Arial"/>
          <w:i/>
          <w:spacing w:val="54"/>
          <w:sz w:val="18"/>
          <w:szCs w:val="18"/>
          <w:lang w:val="en-US"/>
        </w:rPr>
        <w:t xml:space="preserve"> </w:t>
      </w:r>
      <w:r w:rsidRPr="0052437D">
        <w:rPr>
          <w:rFonts w:eastAsia="Arial" w:cs="Arial"/>
          <w:i/>
          <w:sz w:val="18"/>
          <w:szCs w:val="18"/>
          <w:lang w:val="en-US"/>
        </w:rPr>
        <w:t>of</w:t>
      </w:r>
      <w:r w:rsidRPr="0052437D">
        <w:rPr>
          <w:rFonts w:eastAsia="Arial" w:cs="Arial"/>
          <w:i/>
          <w:spacing w:val="26"/>
          <w:sz w:val="18"/>
          <w:szCs w:val="18"/>
          <w:lang w:val="en-US"/>
        </w:rPr>
        <w:t xml:space="preserve"> </w:t>
      </w:r>
      <w:r w:rsidRPr="0052437D">
        <w:rPr>
          <w:rFonts w:eastAsia="Arial" w:cs="Arial"/>
          <w:i/>
          <w:sz w:val="18"/>
          <w:szCs w:val="18"/>
          <w:lang w:val="en-US"/>
        </w:rPr>
        <w:t>government:</w:t>
      </w:r>
    </w:p>
    <w:p w:rsidR="008B77A9" w:rsidRPr="0052437D" w:rsidRDefault="008B77A9" w:rsidP="008B77A9">
      <w:pPr>
        <w:widowControl w:val="0"/>
        <w:spacing w:after="120"/>
        <w:ind w:left="1134" w:right="80" w:hanging="363"/>
        <w:jc w:val="both"/>
        <w:rPr>
          <w:rFonts w:eastAsia="Arial" w:cs="Arial"/>
          <w:sz w:val="18"/>
          <w:szCs w:val="18"/>
          <w:lang w:val="en-US"/>
        </w:rPr>
      </w:pPr>
      <w:r w:rsidRPr="0052437D">
        <w:rPr>
          <w:rFonts w:eastAsia="Arial" w:cs="Arial"/>
          <w:sz w:val="18"/>
          <w:szCs w:val="18"/>
          <w:lang w:val="en-US"/>
        </w:rPr>
        <w:t>•</w:t>
      </w:r>
      <w:r w:rsidRPr="0052437D">
        <w:rPr>
          <w:rFonts w:eastAsia="Arial" w:cs="Arial"/>
          <w:sz w:val="18"/>
          <w:szCs w:val="18"/>
          <w:lang w:val="en-US"/>
        </w:rPr>
        <w:tab/>
      </w:r>
      <w:r w:rsidRPr="0052437D">
        <w:rPr>
          <w:rFonts w:eastAsia="Arial" w:cs="Arial"/>
          <w:i/>
          <w:sz w:val="18"/>
          <w:szCs w:val="18"/>
          <w:lang w:val="en-US"/>
        </w:rPr>
        <w:t>measures of the</w:t>
      </w:r>
      <w:r w:rsidRPr="0052437D">
        <w:rPr>
          <w:rFonts w:eastAsia="Arial" w:cs="Arial"/>
          <w:i/>
          <w:spacing w:val="34"/>
          <w:sz w:val="18"/>
          <w:szCs w:val="18"/>
          <w:lang w:val="en-US"/>
        </w:rPr>
        <w:t xml:space="preserve"> </w:t>
      </w:r>
      <w:r w:rsidRPr="0052437D">
        <w:rPr>
          <w:rFonts w:eastAsia="Arial" w:cs="Arial"/>
          <w:i/>
          <w:sz w:val="18"/>
          <w:szCs w:val="18"/>
          <w:lang w:val="en-US"/>
        </w:rPr>
        <w:t>'work</w:t>
      </w:r>
      <w:r w:rsidRPr="0052437D">
        <w:rPr>
          <w:rFonts w:eastAsia="Arial" w:cs="Arial"/>
          <w:i/>
          <w:spacing w:val="23"/>
          <w:sz w:val="18"/>
          <w:szCs w:val="18"/>
          <w:lang w:val="en-US"/>
        </w:rPr>
        <w:t xml:space="preserve"> </w:t>
      </w:r>
      <w:r w:rsidRPr="0052437D">
        <w:rPr>
          <w:rFonts w:eastAsia="Arial" w:cs="Arial"/>
          <w:i/>
          <w:sz w:val="18"/>
          <w:szCs w:val="18"/>
          <w:lang w:val="en-US"/>
        </w:rPr>
        <w:t>value'</w:t>
      </w:r>
      <w:r w:rsidRPr="0052437D">
        <w:rPr>
          <w:rFonts w:eastAsia="Arial" w:cs="Arial"/>
          <w:i/>
          <w:spacing w:val="48"/>
          <w:sz w:val="18"/>
          <w:szCs w:val="18"/>
          <w:lang w:val="en-US"/>
        </w:rPr>
        <w:t xml:space="preserve"> </w:t>
      </w:r>
      <w:r w:rsidRPr="0052437D">
        <w:rPr>
          <w:rFonts w:eastAsia="Arial" w:cs="Arial"/>
          <w:i/>
          <w:sz w:val="18"/>
          <w:szCs w:val="18"/>
          <w:lang w:val="en-US"/>
        </w:rPr>
        <w:t>of Members</w:t>
      </w:r>
      <w:r w:rsidRPr="0052437D">
        <w:rPr>
          <w:rFonts w:eastAsia="Arial" w:cs="Arial"/>
          <w:i/>
          <w:spacing w:val="41"/>
          <w:sz w:val="18"/>
          <w:szCs w:val="18"/>
          <w:lang w:val="en-US"/>
        </w:rPr>
        <w:t xml:space="preserve"> </w:t>
      </w:r>
      <w:r w:rsidRPr="0052437D">
        <w:rPr>
          <w:rFonts w:eastAsia="Arial" w:cs="Arial"/>
          <w:i/>
          <w:sz w:val="18"/>
          <w:szCs w:val="18"/>
          <w:lang w:val="en-US"/>
        </w:rPr>
        <w:t>of Parliament and various offices</w:t>
      </w:r>
      <w:r w:rsidRPr="0052437D">
        <w:rPr>
          <w:rFonts w:eastAsia="Arial" w:cs="Arial"/>
          <w:i/>
          <w:spacing w:val="37"/>
          <w:sz w:val="18"/>
          <w:szCs w:val="18"/>
          <w:lang w:val="en-US"/>
        </w:rPr>
        <w:t xml:space="preserve"> </w:t>
      </w:r>
      <w:r w:rsidRPr="0052437D">
        <w:rPr>
          <w:rFonts w:eastAsia="Arial" w:cs="Arial"/>
          <w:i/>
          <w:sz w:val="18"/>
          <w:szCs w:val="18"/>
          <w:lang w:val="en-US"/>
        </w:rPr>
        <w:t>held</w:t>
      </w:r>
      <w:r w:rsidRPr="0052437D">
        <w:rPr>
          <w:rFonts w:eastAsia="Arial" w:cs="Arial"/>
          <w:i/>
          <w:spacing w:val="36"/>
          <w:sz w:val="18"/>
          <w:szCs w:val="18"/>
          <w:lang w:val="en-US"/>
        </w:rPr>
        <w:t xml:space="preserve"> </w:t>
      </w:r>
      <w:r w:rsidRPr="0052437D">
        <w:rPr>
          <w:rFonts w:eastAsia="Arial" w:cs="Arial"/>
          <w:i/>
          <w:sz w:val="18"/>
          <w:szCs w:val="18"/>
          <w:lang w:val="en-US"/>
        </w:rPr>
        <w:t>by</w:t>
      </w:r>
      <w:r w:rsidRPr="0052437D">
        <w:rPr>
          <w:rFonts w:eastAsia="Arial" w:cs="Arial"/>
          <w:i/>
          <w:spacing w:val="37"/>
          <w:sz w:val="18"/>
          <w:szCs w:val="18"/>
          <w:lang w:val="en-US"/>
        </w:rPr>
        <w:t xml:space="preserve"> </w:t>
      </w:r>
      <w:r w:rsidRPr="0052437D">
        <w:rPr>
          <w:rFonts w:eastAsia="Arial" w:cs="Arial"/>
          <w:i/>
          <w:sz w:val="18"/>
          <w:szCs w:val="18"/>
          <w:lang w:val="en-US"/>
        </w:rPr>
        <w:t>Members</w:t>
      </w:r>
      <w:r w:rsidRPr="0052437D">
        <w:rPr>
          <w:rFonts w:eastAsia="Arial" w:cs="Arial"/>
          <w:i/>
          <w:spacing w:val="50"/>
          <w:sz w:val="18"/>
          <w:szCs w:val="18"/>
          <w:lang w:val="en-US"/>
        </w:rPr>
        <w:t xml:space="preserve"> </w:t>
      </w:r>
      <w:r w:rsidRPr="0052437D">
        <w:rPr>
          <w:rFonts w:eastAsia="Arial" w:cs="Arial"/>
          <w:i/>
          <w:sz w:val="18"/>
          <w:szCs w:val="18"/>
          <w:lang w:val="en-US"/>
        </w:rPr>
        <w:t>in</w:t>
      </w:r>
      <w:r w:rsidRPr="0052437D">
        <w:rPr>
          <w:rFonts w:eastAsia="Arial" w:cs="Arial"/>
          <w:i/>
          <w:spacing w:val="31"/>
          <w:sz w:val="18"/>
          <w:szCs w:val="18"/>
          <w:lang w:val="en-US"/>
        </w:rPr>
        <w:t xml:space="preserve"> </w:t>
      </w:r>
      <w:r w:rsidRPr="0052437D">
        <w:rPr>
          <w:rFonts w:eastAsia="Arial" w:cs="Arial"/>
          <w:i/>
          <w:sz w:val="18"/>
          <w:szCs w:val="18"/>
          <w:lang w:val="en-US"/>
        </w:rPr>
        <w:t>the</w:t>
      </w:r>
      <w:r w:rsidRPr="0052437D">
        <w:rPr>
          <w:rFonts w:eastAsia="Arial" w:cs="Arial"/>
          <w:i/>
          <w:spacing w:val="55"/>
          <w:sz w:val="18"/>
          <w:szCs w:val="18"/>
          <w:lang w:val="en-US"/>
        </w:rPr>
        <w:t xml:space="preserve"> </w:t>
      </w:r>
      <w:r w:rsidRPr="0052437D">
        <w:rPr>
          <w:rFonts w:eastAsia="Arial" w:cs="Arial"/>
          <w:i/>
          <w:sz w:val="18"/>
          <w:szCs w:val="18"/>
          <w:lang w:val="en-US"/>
        </w:rPr>
        <w:t>Parliament;</w:t>
      </w:r>
      <w:r w:rsidRPr="0052437D">
        <w:rPr>
          <w:rFonts w:eastAsia="Arial" w:cs="Arial"/>
          <w:i/>
          <w:spacing w:val="18"/>
          <w:sz w:val="18"/>
          <w:szCs w:val="18"/>
          <w:lang w:val="en-US"/>
        </w:rPr>
        <w:t xml:space="preserve"> </w:t>
      </w:r>
      <w:r w:rsidRPr="0052437D">
        <w:rPr>
          <w:rFonts w:eastAsia="Arial" w:cs="Arial"/>
          <w:i/>
          <w:sz w:val="18"/>
          <w:szCs w:val="18"/>
          <w:lang w:val="en-US"/>
        </w:rPr>
        <w:t>and</w:t>
      </w:r>
    </w:p>
    <w:p w:rsidR="008B77A9" w:rsidRPr="0052437D" w:rsidRDefault="008B77A9" w:rsidP="008B77A9">
      <w:pPr>
        <w:widowControl w:val="0"/>
        <w:spacing w:after="120"/>
        <w:ind w:left="1134" w:right="55" w:hanging="358"/>
        <w:jc w:val="both"/>
        <w:rPr>
          <w:rFonts w:eastAsia="Arial" w:cs="Arial"/>
          <w:sz w:val="18"/>
          <w:szCs w:val="18"/>
          <w:lang w:val="en-US"/>
        </w:rPr>
      </w:pPr>
      <w:r w:rsidRPr="0052437D">
        <w:rPr>
          <w:rFonts w:eastAsia="Arial" w:cs="Arial"/>
          <w:sz w:val="18"/>
          <w:szCs w:val="18"/>
          <w:lang w:val="en-US"/>
        </w:rPr>
        <w:t>•</w:t>
      </w:r>
      <w:r w:rsidRPr="0052437D">
        <w:rPr>
          <w:rFonts w:eastAsia="Arial" w:cs="Arial"/>
          <w:sz w:val="18"/>
          <w:szCs w:val="18"/>
          <w:lang w:val="en-US"/>
        </w:rPr>
        <w:tab/>
      </w:r>
      <w:r w:rsidRPr="0052437D">
        <w:rPr>
          <w:rFonts w:eastAsia="Arial" w:cs="Arial"/>
          <w:i/>
          <w:sz w:val="18"/>
          <w:szCs w:val="18"/>
          <w:lang w:val="en-US"/>
        </w:rPr>
        <w:t>the</w:t>
      </w:r>
      <w:r w:rsidRPr="0052437D">
        <w:rPr>
          <w:rFonts w:eastAsia="Arial" w:cs="Arial"/>
          <w:i/>
          <w:spacing w:val="7"/>
          <w:sz w:val="18"/>
          <w:szCs w:val="18"/>
          <w:lang w:val="en-US"/>
        </w:rPr>
        <w:t xml:space="preserve"> </w:t>
      </w:r>
      <w:r w:rsidRPr="0052437D">
        <w:rPr>
          <w:rFonts w:eastAsia="Arial" w:cs="Arial"/>
          <w:i/>
          <w:sz w:val="18"/>
          <w:szCs w:val="18"/>
          <w:lang w:val="en-US"/>
        </w:rPr>
        <w:t>level</w:t>
      </w:r>
      <w:r w:rsidRPr="0052437D">
        <w:rPr>
          <w:rFonts w:eastAsia="Arial" w:cs="Arial"/>
          <w:i/>
          <w:spacing w:val="13"/>
          <w:sz w:val="18"/>
          <w:szCs w:val="18"/>
          <w:lang w:val="en-US"/>
        </w:rPr>
        <w:t xml:space="preserve"> </w:t>
      </w:r>
      <w:r w:rsidRPr="0052437D">
        <w:rPr>
          <w:rFonts w:eastAsia="Arial" w:cs="Arial"/>
          <w:i/>
          <w:sz w:val="18"/>
          <w:szCs w:val="18"/>
          <w:lang w:val="en-US"/>
        </w:rPr>
        <w:t>of</w:t>
      </w:r>
      <w:r w:rsidRPr="0052437D">
        <w:rPr>
          <w:rFonts w:eastAsia="Arial" w:cs="Arial"/>
          <w:i/>
          <w:spacing w:val="48"/>
          <w:sz w:val="18"/>
          <w:szCs w:val="18"/>
          <w:lang w:val="en-US"/>
        </w:rPr>
        <w:t xml:space="preserve"> </w:t>
      </w:r>
      <w:r w:rsidRPr="0052437D">
        <w:rPr>
          <w:rFonts w:eastAsia="Arial" w:cs="Arial"/>
          <w:i/>
          <w:sz w:val="18"/>
          <w:szCs w:val="18"/>
          <w:lang w:val="en-US"/>
        </w:rPr>
        <w:t>remuneration</w:t>
      </w:r>
      <w:r w:rsidRPr="0052437D">
        <w:rPr>
          <w:rFonts w:eastAsia="Arial" w:cs="Arial"/>
          <w:i/>
          <w:spacing w:val="26"/>
          <w:sz w:val="18"/>
          <w:szCs w:val="18"/>
          <w:lang w:val="en-US"/>
        </w:rPr>
        <w:t xml:space="preserve"> </w:t>
      </w:r>
      <w:r w:rsidRPr="0052437D">
        <w:rPr>
          <w:rFonts w:eastAsia="Arial" w:cs="Arial"/>
          <w:i/>
          <w:sz w:val="18"/>
          <w:szCs w:val="18"/>
          <w:lang w:val="en-US"/>
        </w:rPr>
        <w:t>of</w:t>
      </w:r>
      <w:r w:rsidRPr="0052437D">
        <w:rPr>
          <w:rFonts w:eastAsia="Arial" w:cs="Arial"/>
          <w:i/>
          <w:spacing w:val="48"/>
          <w:sz w:val="18"/>
          <w:szCs w:val="18"/>
          <w:lang w:val="en-US"/>
        </w:rPr>
        <w:t xml:space="preserve"> </w:t>
      </w:r>
      <w:r w:rsidRPr="0052437D">
        <w:rPr>
          <w:rFonts w:eastAsia="Arial" w:cs="Arial"/>
          <w:i/>
          <w:sz w:val="18"/>
          <w:szCs w:val="18"/>
          <w:lang w:val="en-US"/>
        </w:rPr>
        <w:t>Members within the context of</w:t>
      </w:r>
      <w:r w:rsidRPr="0052437D">
        <w:rPr>
          <w:rFonts w:eastAsia="Arial" w:cs="Arial"/>
          <w:i/>
          <w:spacing w:val="54"/>
          <w:sz w:val="18"/>
          <w:szCs w:val="18"/>
          <w:lang w:val="en-US"/>
        </w:rPr>
        <w:t xml:space="preserve"> </w:t>
      </w:r>
      <w:r w:rsidRPr="0052437D">
        <w:rPr>
          <w:rFonts w:eastAsia="Arial" w:cs="Arial"/>
          <w:i/>
          <w:sz w:val="18"/>
          <w:szCs w:val="18"/>
          <w:lang w:val="en-US"/>
        </w:rPr>
        <w:t>the environment of</w:t>
      </w:r>
      <w:r w:rsidRPr="0052437D">
        <w:rPr>
          <w:rFonts w:eastAsia="Arial" w:cs="Arial"/>
          <w:i/>
          <w:spacing w:val="13"/>
          <w:sz w:val="18"/>
          <w:szCs w:val="18"/>
          <w:lang w:val="en-US"/>
        </w:rPr>
        <w:t xml:space="preserve"> </w:t>
      </w:r>
      <w:r w:rsidRPr="0052437D">
        <w:rPr>
          <w:rFonts w:eastAsia="Arial" w:cs="Arial"/>
          <w:i/>
          <w:sz w:val="18"/>
          <w:szCs w:val="18"/>
          <w:lang w:val="en-US"/>
        </w:rPr>
        <w:t>wage</w:t>
      </w:r>
      <w:r w:rsidRPr="0052437D">
        <w:rPr>
          <w:rFonts w:eastAsia="Arial" w:cs="Arial"/>
          <w:i/>
          <w:spacing w:val="11"/>
          <w:sz w:val="18"/>
          <w:szCs w:val="18"/>
          <w:lang w:val="en-US"/>
        </w:rPr>
        <w:t xml:space="preserve"> </w:t>
      </w:r>
      <w:r w:rsidRPr="0052437D">
        <w:rPr>
          <w:rFonts w:eastAsia="Arial" w:cs="Arial"/>
          <w:i/>
          <w:sz w:val="18"/>
          <w:szCs w:val="18"/>
          <w:lang w:val="en-US"/>
        </w:rPr>
        <w:t>and</w:t>
      </w:r>
      <w:r w:rsidRPr="0052437D">
        <w:rPr>
          <w:rFonts w:eastAsia="Arial" w:cs="Arial"/>
          <w:i/>
          <w:spacing w:val="15"/>
          <w:sz w:val="18"/>
          <w:szCs w:val="18"/>
          <w:lang w:val="en-US"/>
        </w:rPr>
        <w:t xml:space="preserve"> </w:t>
      </w:r>
      <w:r w:rsidRPr="0052437D">
        <w:rPr>
          <w:rFonts w:eastAsia="Arial" w:cs="Arial"/>
          <w:i/>
          <w:sz w:val="18"/>
          <w:szCs w:val="18"/>
          <w:lang w:val="en-US"/>
        </w:rPr>
        <w:t>salary</w:t>
      </w:r>
      <w:r w:rsidRPr="0052437D">
        <w:rPr>
          <w:rFonts w:eastAsia="Arial" w:cs="Arial"/>
          <w:i/>
          <w:spacing w:val="41"/>
          <w:sz w:val="18"/>
          <w:szCs w:val="18"/>
          <w:lang w:val="en-US"/>
        </w:rPr>
        <w:t xml:space="preserve"> </w:t>
      </w:r>
      <w:r w:rsidRPr="0052437D">
        <w:rPr>
          <w:rFonts w:eastAsia="Arial" w:cs="Arial"/>
          <w:i/>
          <w:sz w:val="18"/>
          <w:szCs w:val="18"/>
          <w:lang w:val="en-US"/>
        </w:rPr>
        <w:t>rates</w:t>
      </w:r>
      <w:r w:rsidRPr="0052437D">
        <w:rPr>
          <w:rFonts w:eastAsia="Arial" w:cs="Arial"/>
          <w:i/>
          <w:spacing w:val="35"/>
          <w:sz w:val="18"/>
          <w:szCs w:val="18"/>
          <w:lang w:val="en-US"/>
        </w:rPr>
        <w:t xml:space="preserve"> </w:t>
      </w:r>
      <w:r w:rsidRPr="0052437D">
        <w:rPr>
          <w:rFonts w:eastAsia="Arial" w:cs="Arial"/>
          <w:i/>
          <w:sz w:val="18"/>
          <w:szCs w:val="18"/>
          <w:lang w:val="en-US"/>
        </w:rPr>
        <w:t>applying</w:t>
      </w:r>
      <w:r w:rsidRPr="0052437D">
        <w:rPr>
          <w:rFonts w:eastAsia="Arial" w:cs="Arial"/>
          <w:i/>
          <w:spacing w:val="52"/>
          <w:sz w:val="18"/>
          <w:szCs w:val="18"/>
          <w:lang w:val="en-US"/>
        </w:rPr>
        <w:t xml:space="preserve"> </w:t>
      </w:r>
      <w:r w:rsidRPr="0052437D">
        <w:rPr>
          <w:rFonts w:eastAsia="Arial" w:cs="Arial"/>
          <w:i/>
          <w:sz w:val="18"/>
          <w:szCs w:val="18"/>
          <w:lang w:val="en-US"/>
        </w:rPr>
        <w:t>generally</w:t>
      </w:r>
      <w:r w:rsidRPr="0052437D">
        <w:rPr>
          <w:rFonts w:eastAsia="Arial" w:cs="Arial"/>
          <w:i/>
          <w:spacing w:val="53"/>
          <w:sz w:val="18"/>
          <w:szCs w:val="18"/>
          <w:lang w:val="en-US"/>
        </w:rPr>
        <w:t xml:space="preserve"> </w:t>
      </w:r>
      <w:r w:rsidRPr="0052437D">
        <w:rPr>
          <w:rFonts w:eastAsia="Arial" w:cs="Arial"/>
          <w:i/>
          <w:sz w:val="18"/>
          <w:szCs w:val="18"/>
          <w:lang w:val="en-US"/>
        </w:rPr>
        <w:t>in</w:t>
      </w:r>
      <w:r w:rsidRPr="0052437D">
        <w:rPr>
          <w:rFonts w:eastAsia="Arial" w:cs="Arial"/>
          <w:i/>
          <w:spacing w:val="19"/>
          <w:sz w:val="18"/>
          <w:szCs w:val="18"/>
          <w:lang w:val="en-US"/>
        </w:rPr>
        <w:t xml:space="preserve"> </w:t>
      </w:r>
      <w:r w:rsidRPr="0052437D">
        <w:rPr>
          <w:rFonts w:eastAsia="Arial" w:cs="Arial"/>
          <w:i/>
          <w:sz w:val="18"/>
          <w:szCs w:val="18"/>
          <w:lang w:val="en-US"/>
        </w:rPr>
        <w:t>the community.</w:t>
      </w:r>
    </w:p>
    <w:p w:rsidR="008B77A9" w:rsidRPr="0052437D" w:rsidRDefault="008B77A9" w:rsidP="008B77A9">
      <w:pPr>
        <w:widowControl w:val="0"/>
        <w:spacing w:after="120"/>
        <w:ind w:left="567" w:right="59" w:firstLine="13"/>
        <w:jc w:val="both"/>
        <w:rPr>
          <w:rFonts w:eastAsia="Arial" w:cs="Arial"/>
          <w:sz w:val="18"/>
          <w:szCs w:val="18"/>
          <w:lang w:val="en-US"/>
        </w:rPr>
      </w:pPr>
      <w:r w:rsidRPr="0052437D">
        <w:rPr>
          <w:rFonts w:eastAsia="Arial" w:cs="Arial"/>
          <w:i/>
          <w:sz w:val="18"/>
          <w:szCs w:val="18"/>
          <w:lang w:val="en-US"/>
        </w:rPr>
        <w:t>The</w:t>
      </w:r>
      <w:r w:rsidRPr="0052437D">
        <w:rPr>
          <w:rFonts w:eastAsia="Arial" w:cs="Arial"/>
          <w:i/>
          <w:spacing w:val="8"/>
          <w:sz w:val="18"/>
          <w:szCs w:val="18"/>
          <w:lang w:val="en-US"/>
        </w:rPr>
        <w:t xml:space="preserve"> </w:t>
      </w:r>
      <w:r w:rsidRPr="0052437D">
        <w:rPr>
          <w:rFonts w:eastAsia="Arial" w:cs="Arial"/>
          <w:i/>
          <w:sz w:val="18"/>
          <w:szCs w:val="18"/>
          <w:lang w:val="en-US"/>
        </w:rPr>
        <w:t>Tribunal is</w:t>
      </w:r>
      <w:r w:rsidRPr="0052437D">
        <w:rPr>
          <w:rFonts w:eastAsia="Arial" w:cs="Arial"/>
          <w:i/>
          <w:spacing w:val="4"/>
          <w:sz w:val="18"/>
          <w:szCs w:val="18"/>
          <w:lang w:val="en-US"/>
        </w:rPr>
        <w:t xml:space="preserve"> </w:t>
      </w:r>
      <w:r w:rsidRPr="0052437D">
        <w:rPr>
          <w:rFonts w:eastAsia="Arial" w:cs="Arial"/>
          <w:i/>
          <w:sz w:val="18"/>
          <w:szCs w:val="18"/>
          <w:lang w:val="en-US"/>
        </w:rPr>
        <w:t>conscious</w:t>
      </w:r>
      <w:r w:rsidRPr="0052437D">
        <w:rPr>
          <w:rFonts w:eastAsia="Arial" w:cs="Arial"/>
          <w:i/>
          <w:spacing w:val="31"/>
          <w:sz w:val="18"/>
          <w:szCs w:val="18"/>
          <w:lang w:val="en-US"/>
        </w:rPr>
        <w:t xml:space="preserve"> </w:t>
      </w:r>
      <w:r w:rsidRPr="0052437D">
        <w:rPr>
          <w:rFonts w:eastAsia="Arial" w:cs="Arial"/>
          <w:i/>
          <w:sz w:val="18"/>
          <w:szCs w:val="18"/>
          <w:lang w:val="en-US"/>
        </w:rPr>
        <w:t>of</w:t>
      </w:r>
      <w:r w:rsidRPr="0052437D">
        <w:rPr>
          <w:rFonts w:eastAsia="Arial" w:cs="Arial"/>
          <w:i/>
          <w:spacing w:val="25"/>
          <w:sz w:val="18"/>
          <w:szCs w:val="18"/>
          <w:lang w:val="en-US"/>
        </w:rPr>
        <w:t xml:space="preserve"> </w:t>
      </w:r>
      <w:r w:rsidRPr="0052437D">
        <w:rPr>
          <w:rFonts w:eastAsia="Arial" w:cs="Arial"/>
          <w:i/>
          <w:sz w:val="18"/>
          <w:szCs w:val="18"/>
          <w:lang w:val="en-US"/>
        </w:rPr>
        <w:t>the</w:t>
      </w:r>
      <w:r w:rsidRPr="0052437D">
        <w:rPr>
          <w:rFonts w:eastAsia="Arial" w:cs="Arial"/>
          <w:i/>
          <w:spacing w:val="30"/>
          <w:sz w:val="18"/>
          <w:szCs w:val="18"/>
          <w:lang w:val="en-US"/>
        </w:rPr>
        <w:t xml:space="preserve"> </w:t>
      </w:r>
      <w:r w:rsidRPr="0052437D">
        <w:rPr>
          <w:rFonts w:eastAsia="Arial" w:cs="Arial"/>
          <w:i/>
          <w:sz w:val="18"/>
          <w:szCs w:val="18"/>
          <w:lang w:val="en-US"/>
        </w:rPr>
        <w:t>position of</w:t>
      </w:r>
      <w:r w:rsidRPr="0052437D">
        <w:rPr>
          <w:rFonts w:eastAsia="Arial" w:cs="Arial"/>
          <w:i/>
          <w:spacing w:val="23"/>
          <w:sz w:val="18"/>
          <w:szCs w:val="18"/>
          <w:lang w:val="en-US"/>
        </w:rPr>
        <w:t xml:space="preserve"> </w:t>
      </w:r>
      <w:r w:rsidRPr="0052437D">
        <w:rPr>
          <w:rFonts w:eastAsia="Arial" w:cs="Arial"/>
          <w:i/>
          <w:sz w:val="18"/>
          <w:szCs w:val="18"/>
          <w:lang w:val="en-US"/>
        </w:rPr>
        <w:t>Parliamentarians in</w:t>
      </w:r>
      <w:r w:rsidRPr="0052437D">
        <w:rPr>
          <w:rFonts w:eastAsia="Arial" w:cs="Arial"/>
          <w:i/>
          <w:spacing w:val="18"/>
          <w:sz w:val="18"/>
          <w:szCs w:val="18"/>
          <w:lang w:val="en-US"/>
        </w:rPr>
        <w:t xml:space="preserve"> </w:t>
      </w:r>
      <w:r w:rsidRPr="0052437D">
        <w:rPr>
          <w:rFonts w:eastAsia="Arial" w:cs="Arial"/>
          <w:i/>
          <w:sz w:val="18"/>
          <w:szCs w:val="18"/>
          <w:lang w:val="en-US"/>
        </w:rPr>
        <w:t>our democratic system</w:t>
      </w:r>
      <w:r w:rsidRPr="0052437D">
        <w:rPr>
          <w:rFonts w:eastAsia="Arial" w:cs="Arial"/>
          <w:i/>
          <w:spacing w:val="6"/>
          <w:sz w:val="18"/>
          <w:szCs w:val="18"/>
          <w:lang w:val="en-US"/>
        </w:rPr>
        <w:t xml:space="preserve"> </w:t>
      </w:r>
      <w:r w:rsidRPr="0052437D">
        <w:rPr>
          <w:rFonts w:eastAsia="Arial" w:cs="Arial"/>
          <w:i/>
          <w:sz w:val="18"/>
          <w:szCs w:val="18"/>
          <w:lang w:val="en-US"/>
        </w:rPr>
        <w:t>and</w:t>
      </w:r>
      <w:r w:rsidRPr="0052437D">
        <w:rPr>
          <w:rFonts w:eastAsia="Arial" w:cs="Arial"/>
          <w:i/>
          <w:spacing w:val="35"/>
          <w:sz w:val="18"/>
          <w:szCs w:val="18"/>
          <w:lang w:val="en-US"/>
        </w:rPr>
        <w:t xml:space="preserve"> </w:t>
      </w:r>
      <w:r w:rsidRPr="0052437D">
        <w:rPr>
          <w:rFonts w:eastAsia="Arial" w:cs="Arial"/>
          <w:i/>
          <w:sz w:val="18"/>
          <w:szCs w:val="18"/>
          <w:lang w:val="en-US"/>
        </w:rPr>
        <w:t>that</w:t>
      </w:r>
      <w:r w:rsidRPr="0052437D">
        <w:rPr>
          <w:rFonts w:eastAsia="Arial" w:cs="Arial"/>
          <w:i/>
          <w:spacing w:val="55"/>
          <w:sz w:val="18"/>
          <w:szCs w:val="18"/>
          <w:lang w:val="en-US"/>
        </w:rPr>
        <w:t xml:space="preserve"> </w:t>
      </w:r>
      <w:r w:rsidRPr="0052437D">
        <w:rPr>
          <w:rFonts w:eastAsia="Arial" w:cs="Arial"/>
          <w:i/>
          <w:sz w:val="18"/>
          <w:szCs w:val="18"/>
          <w:lang w:val="en-US"/>
        </w:rPr>
        <w:t>the</w:t>
      </w:r>
      <w:r w:rsidRPr="0052437D">
        <w:rPr>
          <w:rFonts w:eastAsia="Arial" w:cs="Arial"/>
          <w:i/>
          <w:spacing w:val="38"/>
          <w:sz w:val="18"/>
          <w:szCs w:val="18"/>
          <w:lang w:val="en-US"/>
        </w:rPr>
        <w:t xml:space="preserve"> </w:t>
      </w:r>
      <w:r w:rsidRPr="0052437D">
        <w:rPr>
          <w:rFonts w:eastAsia="Arial" w:cs="Arial"/>
          <w:i/>
          <w:sz w:val="18"/>
          <w:szCs w:val="18"/>
          <w:lang w:val="en-US"/>
        </w:rPr>
        <w:t>remuneration</w:t>
      </w:r>
      <w:r w:rsidRPr="0052437D">
        <w:rPr>
          <w:rFonts w:eastAsia="Arial" w:cs="Arial"/>
          <w:i/>
          <w:spacing w:val="7"/>
          <w:sz w:val="18"/>
          <w:szCs w:val="18"/>
          <w:lang w:val="en-US"/>
        </w:rPr>
        <w:t xml:space="preserve"> </w:t>
      </w:r>
      <w:r w:rsidRPr="0052437D">
        <w:rPr>
          <w:rFonts w:eastAsia="Arial" w:cs="Arial"/>
          <w:i/>
          <w:sz w:val="18"/>
          <w:szCs w:val="18"/>
          <w:lang w:val="en-US"/>
        </w:rPr>
        <w:t>of</w:t>
      </w:r>
      <w:r w:rsidRPr="0052437D">
        <w:rPr>
          <w:rFonts w:eastAsia="Arial" w:cs="Arial"/>
          <w:i/>
          <w:spacing w:val="17"/>
          <w:sz w:val="18"/>
          <w:szCs w:val="18"/>
          <w:lang w:val="en-US"/>
        </w:rPr>
        <w:t xml:space="preserve"> </w:t>
      </w:r>
      <w:r w:rsidRPr="0052437D">
        <w:rPr>
          <w:rFonts w:eastAsia="Arial" w:cs="Arial"/>
          <w:i/>
          <w:sz w:val="18"/>
          <w:szCs w:val="18"/>
          <w:lang w:val="en-US"/>
        </w:rPr>
        <w:t>Members</w:t>
      </w:r>
      <w:r w:rsidRPr="0052437D">
        <w:rPr>
          <w:rFonts w:eastAsia="Arial" w:cs="Arial"/>
          <w:i/>
          <w:spacing w:val="35"/>
          <w:sz w:val="18"/>
          <w:szCs w:val="18"/>
          <w:lang w:val="en-US"/>
        </w:rPr>
        <w:t xml:space="preserve"> </w:t>
      </w:r>
      <w:r w:rsidRPr="0052437D">
        <w:rPr>
          <w:rFonts w:eastAsia="Arial" w:cs="Arial"/>
          <w:i/>
          <w:sz w:val="18"/>
          <w:szCs w:val="18"/>
          <w:lang w:val="en-US"/>
        </w:rPr>
        <w:t>should</w:t>
      </w:r>
      <w:r w:rsidRPr="0052437D">
        <w:rPr>
          <w:rFonts w:eastAsia="Arial" w:cs="Arial"/>
          <w:i/>
          <w:spacing w:val="47"/>
          <w:sz w:val="18"/>
          <w:szCs w:val="18"/>
          <w:lang w:val="en-US"/>
        </w:rPr>
        <w:t xml:space="preserve"> </w:t>
      </w:r>
      <w:r w:rsidRPr="0052437D">
        <w:rPr>
          <w:rFonts w:eastAsia="Arial" w:cs="Arial"/>
          <w:i/>
          <w:sz w:val="18"/>
          <w:szCs w:val="18"/>
          <w:lang w:val="en-US"/>
        </w:rPr>
        <w:t>not preclude</w:t>
      </w:r>
      <w:r w:rsidRPr="0052437D">
        <w:rPr>
          <w:rFonts w:eastAsia="Arial" w:cs="Arial"/>
          <w:i/>
          <w:spacing w:val="10"/>
          <w:sz w:val="18"/>
          <w:szCs w:val="18"/>
          <w:lang w:val="en-US"/>
        </w:rPr>
        <w:t xml:space="preserve"> </w:t>
      </w:r>
      <w:r w:rsidRPr="0052437D">
        <w:rPr>
          <w:rFonts w:eastAsia="Arial" w:cs="Arial"/>
          <w:i/>
          <w:sz w:val="18"/>
          <w:szCs w:val="18"/>
          <w:lang w:val="en-US"/>
        </w:rPr>
        <w:t>people</w:t>
      </w:r>
      <w:r w:rsidRPr="0052437D">
        <w:rPr>
          <w:rFonts w:eastAsia="Arial" w:cs="Arial"/>
          <w:i/>
          <w:spacing w:val="42"/>
          <w:sz w:val="18"/>
          <w:szCs w:val="18"/>
          <w:lang w:val="en-US"/>
        </w:rPr>
        <w:t xml:space="preserve"> </w:t>
      </w:r>
      <w:r w:rsidRPr="0052437D">
        <w:rPr>
          <w:rFonts w:eastAsia="Arial" w:cs="Arial"/>
          <w:i/>
          <w:sz w:val="18"/>
          <w:szCs w:val="18"/>
          <w:lang w:val="en-US"/>
        </w:rPr>
        <w:t xml:space="preserve">from </w:t>
      </w:r>
      <w:r w:rsidRPr="0052437D">
        <w:rPr>
          <w:rFonts w:eastAsia="Arial" w:cs="Arial"/>
          <w:i/>
          <w:spacing w:val="6"/>
          <w:sz w:val="18"/>
          <w:szCs w:val="18"/>
          <w:lang w:val="en-US"/>
        </w:rPr>
        <w:t xml:space="preserve"> </w:t>
      </w:r>
      <w:r w:rsidRPr="0052437D">
        <w:rPr>
          <w:rFonts w:eastAsia="Arial" w:cs="Arial"/>
          <w:i/>
          <w:sz w:val="18"/>
          <w:szCs w:val="18"/>
          <w:lang w:val="en-US"/>
        </w:rPr>
        <w:t>all</w:t>
      </w:r>
      <w:r w:rsidRPr="0052437D">
        <w:rPr>
          <w:rFonts w:eastAsia="Arial" w:cs="Arial"/>
          <w:i/>
          <w:spacing w:val="35"/>
          <w:sz w:val="18"/>
          <w:szCs w:val="18"/>
          <w:lang w:val="en-US"/>
        </w:rPr>
        <w:t xml:space="preserve"> </w:t>
      </w:r>
      <w:r w:rsidRPr="0052437D">
        <w:rPr>
          <w:rFonts w:eastAsia="Arial" w:cs="Arial"/>
          <w:i/>
          <w:sz w:val="18"/>
          <w:szCs w:val="18"/>
          <w:lang w:val="en-US"/>
        </w:rPr>
        <w:t>walks</w:t>
      </w:r>
      <w:r w:rsidRPr="0052437D">
        <w:rPr>
          <w:rFonts w:eastAsia="Arial" w:cs="Arial"/>
          <w:i/>
          <w:spacing w:val="43"/>
          <w:sz w:val="18"/>
          <w:szCs w:val="18"/>
          <w:lang w:val="en-US"/>
        </w:rPr>
        <w:t xml:space="preserve"> </w:t>
      </w:r>
      <w:r w:rsidRPr="0052437D">
        <w:rPr>
          <w:rFonts w:eastAsia="Arial" w:cs="Arial"/>
          <w:i/>
          <w:sz w:val="18"/>
          <w:szCs w:val="18"/>
          <w:lang w:val="en-US"/>
        </w:rPr>
        <w:t>of</w:t>
      </w:r>
      <w:r w:rsidRPr="0052437D">
        <w:rPr>
          <w:rFonts w:eastAsia="Arial" w:cs="Arial"/>
          <w:i/>
          <w:spacing w:val="22"/>
          <w:sz w:val="18"/>
          <w:szCs w:val="18"/>
          <w:lang w:val="en-US"/>
        </w:rPr>
        <w:t xml:space="preserve"> </w:t>
      </w:r>
      <w:r w:rsidRPr="0052437D">
        <w:rPr>
          <w:rFonts w:eastAsia="Arial" w:cs="Arial"/>
          <w:i/>
          <w:sz w:val="18"/>
          <w:szCs w:val="18"/>
          <w:lang w:val="en-US"/>
        </w:rPr>
        <w:t>life</w:t>
      </w:r>
      <w:r w:rsidRPr="0052437D">
        <w:rPr>
          <w:rFonts w:eastAsia="Arial" w:cs="Arial"/>
          <w:i/>
          <w:spacing w:val="47"/>
          <w:sz w:val="18"/>
          <w:szCs w:val="18"/>
          <w:lang w:val="en-US"/>
        </w:rPr>
        <w:t xml:space="preserve"> </w:t>
      </w:r>
      <w:r w:rsidRPr="0052437D">
        <w:rPr>
          <w:rFonts w:eastAsia="Arial" w:cs="Arial"/>
          <w:i/>
          <w:sz w:val="18"/>
          <w:szCs w:val="18"/>
          <w:lang w:val="en-US"/>
        </w:rPr>
        <w:t xml:space="preserve">from </w:t>
      </w:r>
      <w:r w:rsidRPr="0052437D">
        <w:rPr>
          <w:rFonts w:eastAsia="Arial" w:cs="Arial"/>
          <w:i/>
          <w:spacing w:val="2"/>
          <w:sz w:val="18"/>
          <w:szCs w:val="18"/>
          <w:lang w:val="en-US"/>
        </w:rPr>
        <w:t xml:space="preserve"> </w:t>
      </w:r>
      <w:r w:rsidRPr="0052437D">
        <w:rPr>
          <w:rFonts w:eastAsia="Arial" w:cs="Arial"/>
          <w:i/>
          <w:sz w:val="18"/>
          <w:szCs w:val="18"/>
          <w:lang w:val="en-US"/>
        </w:rPr>
        <w:t xml:space="preserve">aspiring </w:t>
      </w:r>
      <w:r w:rsidRPr="0052437D">
        <w:rPr>
          <w:rFonts w:eastAsia="Arial" w:cs="Arial"/>
          <w:i/>
          <w:spacing w:val="16"/>
          <w:sz w:val="18"/>
          <w:szCs w:val="18"/>
          <w:lang w:val="en-US"/>
        </w:rPr>
        <w:t xml:space="preserve"> </w:t>
      </w:r>
      <w:r w:rsidRPr="0052437D">
        <w:rPr>
          <w:rFonts w:eastAsia="Arial" w:cs="Arial"/>
          <w:i/>
          <w:sz w:val="18"/>
          <w:szCs w:val="18"/>
          <w:lang w:val="en-US"/>
        </w:rPr>
        <w:t>to</w:t>
      </w:r>
      <w:r w:rsidRPr="0052437D">
        <w:rPr>
          <w:rFonts w:eastAsia="Arial" w:cs="Arial"/>
          <w:i/>
          <w:spacing w:val="37"/>
          <w:sz w:val="18"/>
          <w:szCs w:val="18"/>
          <w:lang w:val="en-US"/>
        </w:rPr>
        <w:t xml:space="preserve"> </w:t>
      </w:r>
      <w:r w:rsidRPr="0052437D">
        <w:rPr>
          <w:rFonts w:eastAsia="Arial" w:cs="Arial"/>
          <w:i/>
          <w:sz w:val="18"/>
          <w:szCs w:val="18"/>
          <w:lang w:val="en-US"/>
        </w:rPr>
        <w:t>enter</w:t>
      </w:r>
      <w:r w:rsidRPr="0052437D">
        <w:rPr>
          <w:rFonts w:eastAsia="Arial" w:cs="Arial"/>
          <w:i/>
          <w:spacing w:val="49"/>
          <w:sz w:val="18"/>
          <w:szCs w:val="18"/>
          <w:lang w:val="en-US"/>
        </w:rPr>
        <w:t xml:space="preserve"> </w:t>
      </w:r>
      <w:r w:rsidRPr="0052437D">
        <w:rPr>
          <w:rFonts w:eastAsia="Arial" w:cs="Arial"/>
          <w:i/>
          <w:sz w:val="18"/>
          <w:szCs w:val="18"/>
          <w:lang w:val="en-US"/>
        </w:rPr>
        <w:t>Parliament."</w:t>
      </w:r>
    </w:p>
    <w:p w:rsidR="008B77A9" w:rsidRPr="0052437D" w:rsidRDefault="008B77A9" w:rsidP="008B77A9">
      <w:pPr>
        <w:widowControl w:val="0"/>
        <w:tabs>
          <w:tab w:val="left" w:pos="760"/>
        </w:tabs>
        <w:spacing w:after="120"/>
        <w:ind w:right="100"/>
        <w:jc w:val="both"/>
        <w:rPr>
          <w:rFonts w:eastAsia="Arial" w:cs="Arial"/>
          <w:sz w:val="18"/>
          <w:szCs w:val="18"/>
          <w:lang w:val="en-US"/>
        </w:rPr>
      </w:pPr>
      <w:r w:rsidRPr="0052437D">
        <w:rPr>
          <w:rFonts w:eastAsia="Arial" w:cs="Arial"/>
          <w:sz w:val="18"/>
          <w:szCs w:val="18"/>
          <w:lang w:val="en-US"/>
        </w:rPr>
        <w:t>The Remuneration Tribunal Report 2011 was based on a comprehensive work­value assessment of a Federal backbench MP. Key findings include:</w:t>
      </w:r>
    </w:p>
    <w:p w:rsidR="008B77A9" w:rsidRPr="0052437D" w:rsidRDefault="008B77A9" w:rsidP="008B77A9">
      <w:pPr>
        <w:widowControl w:val="0"/>
        <w:spacing w:after="120"/>
        <w:ind w:left="1134" w:right="74" w:hanging="363"/>
        <w:jc w:val="both"/>
        <w:rPr>
          <w:rFonts w:eastAsia="Arial" w:cs="Arial"/>
          <w:sz w:val="18"/>
          <w:szCs w:val="18"/>
          <w:lang w:val="en-US"/>
        </w:rPr>
      </w:pPr>
      <w:r w:rsidRPr="0052437D">
        <w:rPr>
          <w:rFonts w:eastAsia="Arial" w:cs="Arial"/>
          <w:sz w:val="18"/>
          <w:szCs w:val="18"/>
          <w:lang w:val="en-US"/>
        </w:rPr>
        <w:t>•</w:t>
      </w:r>
      <w:r w:rsidRPr="0052437D">
        <w:rPr>
          <w:rFonts w:eastAsia="Arial" w:cs="Arial"/>
          <w:sz w:val="18"/>
          <w:szCs w:val="18"/>
          <w:lang w:val="en-US"/>
        </w:rPr>
        <w:tab/>
        <w:t>The majority of members have post-secondary or tertiary education, with a significant number having experience in business, in agriculture or a profession prior to entering Parliament.</w:t>
      </w:r>
    </w:p>
    <w:p w:rsidR="008B77A9" w:rsidRPr="0052437D" w:rsidRDefault="008B77A9" w:rsidP="008B77A9">
      <w:pPr>
        <w:widowControl w:val="0"/>
        <w:spacing w:after="120"/>
        <w:ind w:left="1134" w:right="-20" w:hanging="363"/>
        <w:jc w:val="both"/>
        <w:rPr>
          <w:rFonts w:eastAsia="Arial" w:cs="Arial"/>
          <w:sz w:val="18"/>
          <w:szCs w:val="18"/>
          <w:lang w:val="en-US"/>
        </w:rPr>
      </w:pPr>
      <w:r w:rsidRPr="0052437D">
        <w:rPr>
          <w:rFonts w:eastAsia="Arial" w:cs="Arial"/>
          <w:sz w:val="18"/>
          <w:szCs w:val="18"/>
          <w:lang w:val="en-US"/>
        </w:rPr>
        <w:t>•</w:t>
      </w:r>
      <w:r w:rsidRPr="0052437D">
        <w:rPr>
          <w:rFonts w:eastAsia="Arial" w:cs="Arial"/>
          <w:sz w:val="18"/>
          <w:szCs w:val="18"/>
          <w:lang w:val="en-US"/>
        </w:rPr>
        <w:tab/>
        <w:t>MPs on average work 70 hours per week.</w:t>
      </w:r>
    </w:p>
    <w:p w:rsidR="008B77A9" w:rsidRPr="0052437D" w:rsidRDefault="008B77A9" w:rsidP="008B77A9">
      <w:pPr>
        <w:widowControl w:val="0"/>
        <w:spacing w:after="120"/>
        <w:ind w:left="1134" w:right="87" w:hanging="363"/>
        <w:jc w:val="both"/>
        <w:rPr>
          <w:rFonts w:eastAsia="Arial" w:cs="Arial"/>
          <w:sz w:val="18"/>
          <w:szCs w:val="18"/>
          <w:lang w:val="en-US"/>
        </w:rPr>
      </w:pPr>
      <w:r w:rsidRPr="0052437D">
        <w:rPr>
          <w:rFonts w:eastAsia="Arial" w:cs="Arial"/>
          <w:sz w:val="18"/>
          <w:szCs w:val="18"/>
          <w:lang w:val="en-US"/>
        </w:rPr>
        <w:t>•</w:t>
      </w:r>
      <w:r w:rsidRPr="0052437D">
        <w:rPr>
          <w:rFonts w:eastAsia="Arial" w:cs="Arial"/>
          <w:sz w:val="18"/>
          <w:szCs w:val="18"/>
          <w:lang w:val="en-US"/>
        </w:rPr>
        <w:tab/>
        <w:t>A Backbencher needs computing skills and a capacity to prepare correspondence and respond to constituents, who send on average, over 1</w:t>
      </w:r>
      <w:r w:rsidR="0052437D">
        <w:rPr>
          <w:rFonts w:eastAsia="Arial" w:cs="Arial"/>
          <w:sz w:val="18"/>
          <w:szCs w:val="18"/>
          <w:lang w:val="en-US"/>
        </w:rPr>
        <w:t xml:space="preserve"> </w:t>
      </w:r>
      <w:r w:rsidRPr="0052437D">
        <w:rPr>
          <w:rFonts w:eastAsia="Arial" w:cs="Arial"/>
          <w:sz w:val="18"/>
          <w:szCs w:val="18"/>
          <w:lang w:val="en-US"/>
        </w:rPr>
        <w:t>000 emails each week.</w:t>
      </w:r>
    </w:p>
    <w:p w:rsidR="008B77A9" w:rsidRPr="0052437D" w:rsidRDefault="008B77A9" w:rsidP="008B77A9">
      <w:pPr>
        <w:widowControl w:val="0"/>
        <w:spacing w:after="120"/>
        <w:ind w:left="1134" w:right="87" w:hanging="363"/>
        <w:jc w:val="both"/>
        <w:rPr>
          <w:rFonts w:eastAsia="Arial" w:cs="Arial"/>
          <w:sz w:val="18"/>
          <w:szCs w:val="18"/>
          <w:lang w:val="en-US"/>
        </w:rPr>
      </w:pPr>
      <w:r w:rsidRPr="0052437D">
        <w:rPr>
          <w:rFonts w:eastAsia="Times New Roman"/>
          <w:sz w:val="18"/>
          <w:szCs w:val="18"/>
          <w:lang w:val="en-US"/>
        </w:rPr>
        <w:t>•</w:t>
      </w:r>
      <w:r w:rsidRPr="0052437D">
        <w:rPr>
          <w:rFonts w:eastAsia="Times New Roman"/>
          <w:sz w:val="18"/>
          <w:szCs w:val="18"/>
          <w:lang w:val="en-US"/>
        </w:rPr>
        <w:tab/>
        <w:t xml:space="preserve">A </w:t>
      </w:r>
      <w:r w:rsidRPr="0052437D">
        <w:rPr>
          <w:rFonts w:eastAsia="Arial" w:cs="Arial"/>
          <w:sz w:val="18"/>
          <w:szCs w:val="18"/>
          <w:lang w:val="en-US"/>
        </w:rPr>
        <w:t>Backbencher is responsible and accountable for at least four staff and</w:t>
      </w:r>
      <w:r w:rsidR="0052437D">
        <w:rPr>
          <w:rFonts w:eastAsia="Arial" w:cs="Arial"/>
          <w:sz w:val="18"/>
          <w:szCs w:val="18"/>
          <w:lang w:val="en-US"/>
        </w:rPr>
        <w:t xml:space="preserve"> an E</w:t>
      </w:r>
      <w:r w:rsidRPr="0052437D">
        <w:rPr>
          <w:rFonts w:eastAsia="Arial" w:cs="Arial"/>
          <w:sz w:val="18"/>
          <w:szCs w:val="18"/>
          <w:lang w:val="en-US"/>
        </w:rPr>
        <w:t xml:space="preserve">lectorate Office budget of between $500 000 </w:t>
      </w:r>
      <w:r w:rsidR="0052437D">
        <w:rPr>
          <w:rFonts w:eastAsia="Arial" w:cs="Arial"/>
          <w:sz w:val="18"/>
          <w:szCs w:val="18"/>
          <w:lang w:val="en-US"/>
        </w:rPr>
        <w:t>and</w:t>
      </w:r>
      <w:r w:rsidRPr="0052437D">
        <w:rPr>
          <w:rFonts w:eastAsia="Arial" w:cs="Arial"/>
          <w:sz w:val="18"/>
          <w:szCs w:val="18"/>
          <w:lang w:val="en-US"/>
        </w:rPr>
        <w:t xml:space="preserve"> $1m.</w:t>
      </w:r>
    </w:p>
    <w:p w:rsidR="008B77A9" w:rsidRPr="0052437D" w:rsidRDefault="008B77A9" w:rsidP="008B77A9">
      <w:pPr>
        <w:widowControl w:val="0"/>
        <w:tabs>
          <w:tab w:val="left" w:pos="3220"/>
        </w:tabs>
        <w:spacing w:after="120"/>
        <w:ind w:left="1134" w:right="83" w:hanging="363"/>
        <w:jc w:val="both"/>
        <w:rPr>
          <w:rFonts w:eastAsia="Arial" w:cs="Arial"/>
          <w:sz w:val="18"/>
          <w:szCs w:val="18"/>
          <w:lang w:val="en-US"/>
        </w:rPr>
      </w:pPr>
      <w:r w:rsidRPr="0052437D">
        <w:rPr>
          <w:rFonts w:eastAsia="Arial" w:cs="Arial"/>
          <w:sz w:val="18"/>
          <w:szCs w:val="18"/>
          <w:lang w:val="en-US"/>
        </w:rPr>
        <w:t>•</w:t>
      </w:r>
      <w:r w:rsidRPr="0052437D">
        <w:rPr>
          <w:rFonts w:eastAsia="Arial" w:cs="Arial"/>
          <w:sz w:val="18"/>
          <w:szCs w:val="18"/>
          <w:lang w:val="en-US"/>
        </w:rPr>
        <w:tab/>
        <w:t>The role of a Backbench MP remains broadly similar to that described in the 1988 study, though subsequent to that time the demands on members  from 24/7 media and the level and speed of communication sponsored by the new  electronic age has placed significant new demands on all Backbench Parliamentarians.</w:t>
      </w:r>
    </w:p>
    <w:p w:rsidR="008B77A9" w:rsidRPr="0052437D" w:rsidRDefault="008B77A9" w:rsidP="008B77A9">
      <w:pPr>
        <w:widowControl w:val="0"/>
        <w:spacing w:after="120"/>
        <w:ind w:left="1134" w:right="87" w:hanging="363"/>
        <w:jc w:val="both"/>
        <w:rPr>
          <w:rFonts w:eastAsia="Arial" w:cs="Arial"/>
          <w:sz w:val="18"/>
          <w:szCs w:val="18"/>
          <w:lang w:val="en-US"/>
        </w:rPr>
      </w:pPr>
      <w:r w:rsidRPr="0052437D">
        <w:rPr>
          <w:rFonts w:eastAsia="Arial" w:cs="Arial"/>
          <w:sz w:val="18"/>
          <w:szCs w:val="18"/>
          <w:lang w:val="en-US"/>
        </w:rPr>
        <w:t>•</w:t>
      </w:r>
      <w:r w:rsidRPr="0052437D">
        <w:rPr>
          <w:rFonts w:eastAsia="Arial" w:cs="Arial"/>
          <w:sz w:val="18"/>
          <w:szCs w:val="18"/>
          <w:lang w:val="en-US"/>
        </w:rPr>
        <w:tab/>
        <w:t>House of Representatives members represent Electorates with between 85 000 and 130 000 electors.</w:t>
      </w:r>
    </w:p>
    <w:p w:rsidR="008B77A9" w:rsidRPr="0052437D" w:rsidRDefault="008B77A9" w:rsidP="008B77A9">
      <w:pPr>
        <w:widowControl w:val="0"/>
        <w:spacing w:after="120"/>
        <w:ind w:left="1134" w:right="101" w:hanging="363"/>
        <w:jc w:val="both"/>
        <w:rPr>
          <w:rFonts w:eastAsia="Arial" w:cs="Arial"/>
          <w:sz w:val="18"/>
          <w:szCs w:val="18"/>
          <w:lang w:val="en-US"/>
        </w:rPr>
      </w:pPr>
      <w:r w:rsidRPr="0052437D">
        <w:rPr>
          <w:rFonts w:eastAsia="Arial" w:cs="Arial"/>
          <w:sz w:val="18"/>
          <w:szCs w:val="18"/>
          <w:lang w:val="en-US"/>
        </w:rPr>
        <w:t>•</w:t>
      </w:r>
      <w:r w:rsidRPr="0052437D">
        <w:rPr>
          <w:rFonts w:eastAsia="Arial" w:cs="Arial"/>
          <w:sz w:val="18"/>
          <w:szCs w:val="18"/>
          <w:lang w:val="en-US"/>
        </w:rPr>
        <w:tab/>
        <w:t>The careers of MPs are becoming shorter, generally lasting no more than 12 years. From Federation through to the 1980s the average length of an MP's service was in the range of 16 to 17 years.</w:t>
      </w:r>
    </w:p>
    <w:p w:rsidR="008B77A9" w:rsidRPr="0052437D" w:rsidRDefault="008B77A9" w:rsidP="008B77A9">
      <w:pPr>
        <w:widowControl w:val="0"/>
        <w:tabs>
          <w:tab w:val="left" w:pos="3280"/>
          <w:tab w:val="left" w:pos="3980"/>
          <w:tab w:val="left" w:pos="4840"/>
          <w:tab w:val="left" w:pos="5260"/>
          <w:tab w:val="left" w:pos="6500"/>
          <w:tab w:val="left" w:pos="8100"/>
          <w:tab w:val="left" w:pos="8660"/>
        </w:tabs>
        <w:spacing w:after="120"/>
        <w:ind w:left="1134" w:right="-20" w:hanging="363"/>
        <w:jc w:val="both"/>
        <w:rPr>
          <w:rFonts w:eastAsia="Arial" w:cs="Arial"/>
          <w:sz w:val="18"/>
          <w:szCs w:val="18"/>
          <w:lang w:val="en-US"/>
        </w:rPr>
      </w:pPr>
      <w:r w:rsidRPr="0052437D">
        <w:rPr>
          <w:rFonts w:eastAsia="Arial" w:cs="Arial"/>
          <w:sz w:val="18"/>
          <w:szCs w:val="18"/>
          <w:lang w:val="en-US"/>
        </w:rPr>
        <w:t>•</w:t>
      </w:r>
      <w:r w:rsidRPr="0052437D">
        <w:rPr>
          <w:rFonts w:eastAsia="Arial" w:cs="Arial"/>
          <w:sz w:val="18"/>
          <w:szCs w:val="18"/>
          <w:lang w:val="en-US"/>
        </w:rPr>
        <w:tab/>
        <w:t>Federal MPs share a collective responsibility for a Commonwealth budget of approx. $400b.</w:t>
      </w:r>
    </w:p>
    <w:p w:rsidR="008B77A9" w:rsidRPr="0052437D" w:rsidRDefault="008B77A9" w:rsidP="008B77A9">
      <w:pPr>
        <w:widowControl w:val="0"/>
        <w:tabs>
          <w:tab w:val="left" w:pos="2220"/>
        </w:tabs>
        <w:spacing w:after="120"/>
        <w:ind w:left="1134" w:right="107" w:hanging="363"/>
        <w:jc w:val="both"/>
        <w:rPr>
          <w:rFonts w:eastAsia="Arial" w:cs="Arial"/>
          <w:sz w:val="18"/>
          <w:szCs w:val="18"/>
          <w:lang w:val="en-US"/>
        </w:rPr>
      </w:pPr>
      <w:r w:rsidRPr="0052437D">
        <w:rPr>
          <w:rFonts w:eastAsia="Arial" w:cs="Arial"/>
          <w:sz w:val="18"/>
          <w:szCs w:val="18"/>
          <w:lang w:val="en-US"/>
        </w:rPr>
        <w:t>•</w:t>
      </w:r>
      <w:r w:rsidRPr="0052437D">
        <w:rPr>
          <w:rFonts w:eastAsia="Arial" w:cs="Arial"/>
          <w:sz w:val="18"/>
          <w:szCs w:val="18"/>
          <w:lang w:val="en-US"/>
        </w:rPr>
        <w:tab/>
        <w:t>The work value of a Backbench MP was found to be equivalent to a substantive Level 1 Senior Executive Service (SES) position in the Australian Public Service (APS). This is equivalent to a role in the APS of a key executive or specialist advisor in a major Department.</w:t>
      </w:r>
    </w:p>
    <w:p w:rsidR="008B77A9" w:rsidRPr="0052437D" w:rsidRDefault="008B77A9" w:rsidP="008B77A9">
      <w:pPr>
        <w:widowControl w:val="0"/>
        <w:spacing w:after="120"/>
        <w:ind w:right="81"/>
        <w:jc w:val="both"/>
        <w:rPr>
          <w:rFonts w:eastAsia="Arial" w:cs="Arial"/>
          <w:sz w:val="18"/>
          <w:szCs w:val="18"/>
          <w:lang w:val="en-US"/>
        </w:rPr>
      </w:pPr>
      <w:r w:rsidRPr="0052437D">
        <w:rPr>
          <w:rFonts w:eastAsia="Arial" w:cs="Arial"/>
          <w:sz w:val="18"/>
          <w:szCs w:val="18"/>
          <w:lang w:val="en-US"/>
        </w:rPr>
        <w:t>A further consideration is the relevance of size (constituency, budget etc) to salary determination for MPs. For example, is the number of constituents in a Member</w:t>
      </w:r>
      <w:r w:rsidR="0052437D">
        <w:rPr>
          <w:rFonts w:eastAsia="Arial" w:cs="Arial"/>
          <w:sz w:val="18"/>
          <w:szCs w:val="18"/>
          <w:lang w:val="en-US"/>
        </w:rPr>
        <w:t>’</w:t>
      </w:r>
      <w:r w:rsidRPr="0052437D">
        <w:rPr>
          <w:rFonts w:eastAsia="Arial" w:cs="Arial"/>
          <w:sz w:val="18"/>
          <w:szCs w:val="18"/>
          <w:lang w:val="en-US"/>
        </w:rPr>
        <w:t xml:space="preserve">s Electorate a relevant consideration in 'work value' terms?  On the one hand it might be argued that if an MP is working full-time, it makes no difference whether there </w:t>
      </w:r>
      <w:r w:rsidR="0052437D">
        <w:rPr>
          <w:rFonts w:eastAsia="Arial" w:cs="Arial"/>
          <w:sz w:val="18"/>
          <w:szCs w:val="18"/>
          <w:lang w:val="en-US"/>
        </w:rPr>
        <w:t>are</w:t>
      </w:r>
      <w:r w:rsidRPr="0052437D">
        <w:rPr>
          <w:rFonts w:eastAsia="Arial" w:cs="Arial"/>
          <w:sz w:val="18"/>
          <w:szCs w:val="18"/>
          <w:lang w:val="en-US"/>
        </w:rPr>
        <w:t xml:space="preserve"> 20 000 or 120 000 constituents in the Electorate. The work is the same. On the other, it could be argued that the greater the number of constituents, the greater the level of responsibility, complexity and accountability. A similar argument might be mounted in terms of the size of the shared budget responsibility.</w:t>
      </w:r>
    </w:p>
    <w:p w:rsidR="008B77A9" w:rsidRPr="0052437D" w:rsidRDefault="008B77A9" w:rsidP="008B77A9">
      <w:pPr>
        <w:widowControl w:val="0"/>
        <w:spacing w:after="120"/>
        <w:ind w:right="-20"/>
        <w:jc w:val="both"/>
        <w:rPr>
          <w:rFonts w:eastAsia="Arial" w:cs="Arial"/>
          <w:sz w:val="18"/>
          <w:szCs w:val="18"/>
          <w:lang w:val="en-US"/>
        </w:rPr>
      </w:pPr>
      <w:r w:rsidRPr="0052437D">
        <w:rPr>
          <w:rFonts w:eastAsia="Arial" w:cs="Arial"/>
          <w:sz w:val="18"/>
          <w:szCs w:val="18"/>
          <w:lang w:val="en-US"/>
        </w:rPr>
        <w:lastRenderedPageBreak/>
        <w:t>An example of this latter approach is found in Tasmanian Local Government Municipalities are categorised based on a formula involving the number of voters and total revenue.  Allowances paid to elected council</w:t>
      </w:r>
      <w:r w:rsidR="0052437D">
        <w:rPr>
          <w:rFonts w:eastAsia="Arial" w:cs="Arial"/>
          <w:sz w:val="18"/>
          <w:szCs w:val="18"/>
          <w:lang w:val="en-US"/>
        </w:rPr>
        <w:t>l</w:t>
      </w:r>
      <w:r w:rsidRPr="0052437D">
        <w:rPr>
          <w:rFonts w:eastAsia="Arial" w:cs="Arial"/>
          <w:sz w:val="18"/>
          <w:szCs w:val="18"/>
          <w:lang w:val="en-US"/>
        </w:rPr>
        <w:t>ors are scaled on the basis of this categorisation. That is, the 'larger' the Council, the higher the allowance paid.</w:t>
      </w:r>
    </w:p>
    <w:p w:rsidR="008B77A9" w:rsidRPr="0052437D" w:rsidRDefault="008B77A9" w:rsidP="008B77A9">
      <w:pPr>
        <w:widowControl w:val="0"/>
        <w:spacing w:after="120"/>
        <w:ind w:right="90"/>
        <w:jc w:val="both"/>
        <w:rPr>
          <w:rFonts w:eastAsia="Arial" w:cs="Arial"/>
          <w:sz w:val="18"/>
          <w:szCs w:val="18"/>
          <w:lang w:val="en-US"/>
        </w:rPr>
      </w:pPr>
      <w:r w:rsidRPr="0052437D">
        <w:rPr>
          <w:rFonts w:eastAsia="Arial" w:cs="Arial"/>
          <w:sz w:val="18"/>
          <w:szCs w:val="18"/>
          <w:lang w:val="en-US"/>
        </w:rPr>
        <w:t>It is of course accepted that the role of an MP</w:t>
      </w:r>
      <w:r w:rsidRPr="0052437D">
        <w:rPr>
          <w:rFonts w:eastAsia="Times New Roman"/>
          <w:sz w:val="18"/>
          <w:szCs w:val="18"/>
          <w:lang w:val="en-US"/>
        </w:rPr>
        <w:t xml:space="preserve"> </w:t>
      </w:r>
      <w:r w:rsidRPr="0052437D">
        <w:rPr>
          <w:rFonts w:eastAsia="Arial" w:cs="Arial"/>
          <w:sz w:val="18"/>
          <w:szCs w:val="18"/>
          <w:lang w:val="en-US"/>
        </w:rPr>
        <w:t>is not limited to Parliamentary sittings and Committee work. Constituency</w:t>
      </w:r>
      <w:r w:rsidR="0052437D">
        <w:rPr>
          <w:rFonts w:eastAsia="Arial" w:cs="Arial"/>
          <w:sz w:val="18"/>
          <w:szCs w:val="18"/>
          <w:lang w:val="en-US"/>
        </w:rPr>
        <w:t>-</w:t>
      </w:r>
      <w:r w:rsidRPr="0052437D">
        <w:rPr>
          <w:rFonts w:eastAsia="Arial" w:cs="Arial"/>
          <w:sz w:val="18"/>
          <w:szCs w:val="18"/>
          <w:lang w:val="en-US"/>
        </w:rPr>
        <w:t xml:space="preserve">based work when parliament is not sitting is an integral part of an MP's role. However is the </w:t>
      </w:r>
      <w:r w:rsidRPr="0052437D">
        <w:rPr>
          <w:rFonts w:eastAsia="Arial" w:cs="Arial"/>
          <w:sz w:val="18"/>
          <w:szCs w:val="18"/>
          <w:u w:val="single" w:color="000000"/>
          <w:lang w:val="en-US"/>
        </w:rPr>
        <w:t>balance</w:t>
      </w:r>
      <w:r w:rsidRPr="0052437D">
        <w:rPr>
          <w:rFonts w:eastAsia="Arial" w:cs="Arial"/>
          <w:sz w:val="18"/>
          <w:szCs w:val="18"/>
          <w:lang w:val="en-US"/>
        </w:rPr>
        <w:t xml:space="preserve"> between Parliamentary sittings and constituency work relevant to a work value consideration?  Put another way, if parliamentary sitting days reduce (or increase), does this impact on the level of responsibility and accountability for an MP?</w:t>
      </w:r>
    </w:p>
    <w:p w:rsidR="008B77A9" w:rsidRPr="0052437D" w:rsidRDefault="0052437D" w:rsidP="00CC5844">
      <w:pPr>
        <w:pStyle w:val="Heading2"/>
      </w:pPr>
      <w:bookmarkStart w:id="110" w:name="_Toc443486975"/>
      <w:r w:rsidRPr="0052437D">
        <w:rPr>
          <w:rStyle w:val="Heading2Char"/>
          <w:bCs/>
          <w:iCs/>
        </w:rPr>
        <w:t>2</w:t>
      </w:r>
      <w:r w:rsidRPr="0052437D">
        <w:rPr>
          <w:rStyle w:val="Heading2Char"/>
          <w:bCs/>
          <w:iCs/>
        </w:rPr>
        <w:tab/>
      </w:r>
      <w:r w:rsidRPr="0052437D">
        <w:rPr>
          <w:lang w:val="en-AU"/>
        </w:rPr>
        <w:t>Extract from 2014 Report - section 4.2</w:t>
      </w:r>
      <w:bookmarkEnd w:id="110"/>
      <w:r w:rsidR="008B77A9" w:rsidRPr="0052437D">
        <w:rPr>
          <w:rStyle w:val="Heading2Char"/>
          <w:bCs/>
          <w:iCs/>
        </w:rPr>
        <w:t xml:space="preserve"> </w:t>
      </w:r>
    </w:p>
    <w:p w:rsidR="008B77A9" w:rsidRPr="0052437D" w:rsidRDefault="008B77A9" w:rsidP="008B77A9">
      <w:pPr>
        <w:spacing w:after="120"/>
        <w:jc w:val="both"/>
        <w:rPr>
          <w:sz w:val="18"/>
          <w:szCs w:val="18"/>
          <w:lang w:val="en-US"/>
        </w:rPr>
      </w:pPr>
      <w:r w:rsidRPr="0052437D">
        <w:rPr>
          <w:sz w:val="18"/>
          <w:szCs w:val="18"/>
          <w:lang w:val="en-US"/>
        </w:rPr>
        <w:t>Unlike the public and private sectors, there is no specific job description attached to the role of an MP. Not surprisingly, MPs come from a range of backgrounds and have differing skills experience and qualifications.</w:t>
      </w:r>
    </w:p>
    <w:p w:rsidR="008B77A9" w:rsidRPr="0052437D" w:rsidRDefault="008B77A9" w:rsidP="008B77A9">
      <w:pPr>
        <w:spacing w:after="120"/>
        <w:jc w:val="both"/>
        <w:rPr>
          <w:sz w:val="18"/>
          <w:szCs w:val="18"/>
          <w:lang w:val="en-US"/>
        </w:rPr>
      </w:pPr>
      <w:r w:rsidRPr="0052437D">
        <w:rPr>
          <w:sz w:val="18"/>
          <w:szCs w:val="18"/>
          <w:lang w:val="en-US"/>
        </w:rPr>
        <w:t xml:space="preserve">The role of an MP has been discussed in a number of publications including the </w:t>
      </w:r>
      <w:r w:rsidRPr="0052437D">
        <w:rPr>
          <w:i/>
          <w:sz w:val="18"/>
          <w:szCs w:val="18"/>
          <w:lang w:val="en-US"/>
        </w:rPr>
        <w:t>Egan Report</w:t>
      </w:r>
      <w:r w:rsidRPr="0052437D">
        <w:rPr>
          <w:rStyle w:val="FootnoteReference"/>
          <w:sz w:val="18"/>
          <w:szCs w:val="18"/>
          <w:lang w:val="en-US"/>
        </w:rPr>
        <w:footnoteReference w:id="107"/>
      </w:r>
      <w:r w:rsidRPr="0052437D">
        <w:rPr>
          <w:sz w:val="18"/>
          <w:szCs w:val="18"/>
          <w:lang w:val="en-US"/>
        </w:rPr>
        <w:t xml:space="preserve"> and more recently the </w:t>
      </w:r>
      <w:r w:rsidRPr="0052437D">
        <w:rPr>
          <w:i/>
          <w:sz w:val="18"/>
          <w:szCs w:val="18"/>
          <w:lang w:val="en-US"/>
        </w:rPr>
        <w:t>Queensland Independent Remuneration Tribunal Determination</w:t>
      </w:r>
      <w:r w:rsidRPr="0052437D">
        <w:rPr>
          <w:sz w:val="18"/>
          <w:szCs w:val="18"/>
          <w:lang w:val="en-US"/>
        </w:rPr>
        <w:t xml:space="preserve"> (Queensland Determination No 1/2013).</w:t>
      </w:r>
      <w:r w:rsidRPr="0052437D">
        <w:rPr>
          <w:rStyle w:val="FootnoteReference"/>
          <w:sz w:val="18"/>
          <w:szCs w:val="18"/>
          <w:lang w:val="en-US"/>
        </w:rPr>
        <w:footnoteReference w:id="108"/>
      </w:r>
      <w:r w:rsidRPr="0052437D">
        <w:rPr>
          <w:sz w:val="18"/>
          <w:szCs w:val="18"/>
          <w:lang w:val="en-US"/>
        </w:rPr>
        <w:t xml:space="preserve"> The work can be categorised into three components:</w:t>
      </w:r>
    </w:p>
    <w:p w:rsidR="008B77A9" w:rsidRPr="0052437D" w:rsidRDefault="008B77A9" w:rsidP="00591E6D">
      <w:pPr>
        <w:numPr>
          <w:ilvl w:val="0"/>
          <w:numId w:val="4"/>
        </w:numPr>
        <w:tabs>
          <w:tab w:val="left" w:pos="993"/>
        </w:tabs>
        <w:spacing w:after="120" w:line="276" w:lineRule="auto"/>
        <w:ind w:left="993" w:hanging="426"/>
        <w:jc w:val="both"/>
        <w:rPr>
          <w:sz w:val="18"/>
          <w:szCs w:val="18"/>
          <w:lang w:val="en-US"/>
        </w:rPr>
      </w:pPr>
      <w:r w:rsidRPr="0052437D">
        <w:rPr>
          <w:sz w:val="18"/>
          <w:szCs w:val="18"/>
          <w:lang w:val="en-US"/>
        </w:rPr>
        <w:t>Parliamentary work;</w:t>
      </w:r>
    </w:p>
    <w:p w:rsidR="008B77A9" w:rsidRPr="0052437D" w:rsidRDefault="008B77A9" w:rsidP="00591E6D">
      <w:pPr>
        <w:numPr>
          <w:ilvl w:val="0"/>
          <w:numId w:val="4"/>
        </w:numPr>
        <w:tabs>
          <w:tab w:val="left" w:pos="993"/>
        </w:tabs>
        <w:spacing w:after="120" w:line="276" w:lineRule="auto"/>
        <w:ind w:left="993" w:hanging="426"/>
        <w:jc w:val="both"/>
        <w:rPr>
          <w:sz w:val="18"/>
          <w:szCs w:val="18"/>
          <w:lang w:val="en-US"/>
        </w:rPr>
      </w:pPr>
      <w:r w:rsidRPr="0052437D">
        <w:rPr>
          <w:sz w:val="18"/>
          <w:szCs w:val="18"/>
          <w:lang w:val="en-US"/>
        </w:rPr>
        <w:t>Electorate representation; and</w:t>
      </w:r>
    </w:p>
    <w:p w:rsidR="008B77A9" w:rsidRPr="0052437D" w:rsidRDefault="008B77A9" w:rsidP="00591E6D">
      <w:pPr>
        <w:numPr>
          <w:ilvl w:val="0"/>
          <w:numId w:val="4"/>
        </w:numPr>
        <w:tabs>
          <w:tab w:val="left" w:pos="993"/>
        </w:tabs>
        <w:spacing w:after="120" w:line="276" w:lineRule="auto"/>
        <w:ind w:left="993" w:hanging="426"/>
        <w:jc w:val="both"/>
        <w:rPr>
          <w:sz w:val="18"/>
          <w:szCs w:val="18"/>
          <w:lang w:val="en-US"/>
        </w:rPr>
      </w:pPr>
      <w:r w:rsidRPr="0052437D">
        <w:rPr>
          <w:sz w:val="18"/>
          <w:szCs w:val="18"/>
          <w:lang w:val="en-US"/>
        </w:rPr>
        <w:t>Engagement with a political party (if a member)</w:t>
      </w:r>
    </w:p>
    <w:p w:rsidR="008B77A9" w:rsidRPr="0052437D" w:rsidRDefault="008B77A9" w:rsidP="008B77A9">
      <w:pPr>
        <w:spacing w:after="120"/>
        <w:jc w:val="both"/>
        <w:rPr>
          <w:sz w:val="18"/>
          <w:szCs w:val="18"/>
          <w:lang w:val="en-US"/>
        </w:rPr>
      </w:pPr>
      <w:r w:rsidRPr="0052437D">
        <w:rPr>
          <w:sz w:val="18"/>
          <w:szCs w:val="18"/>
          <w:lang w:val="en-US"/>
        </w:rPr>
        <w:t>The Queensland Determination No.1/2013 described these roles as follows:</w:t>
      </w:r>
    </w:p>
    <w:p w:rsidR="008B77A9" w:rsidRPr="0052437D" w:rsidRDefault="008B77A9" w:rsidP="008B77A9">
      <w:pPr>
        <w:spacing w:after="120"/>
        <w:ind w:left="567" w:right="521" w:hanging="141"/>
        <w:jc w:val="both"/>
        <w:rPr>
          <w:i/>
          <w:sz w:val="18"/>
          <w:szCs w:val="18"/>
        </w:rPr>
      </w:pPr>
      <w:r w:rsidRPr="0052437D">
        <w:rPr>
          <w:i/>
          <w:sz w:val="18"/>
          <w:szCs w:val="18"/>
        </w:rPr>
        <w:t>“</w:t>
      </w:r>
      <w:r w:rsidRPr="0052437D">
        <w:rPr>
          <w:i/>
          <w:sz w:val="18"/>
          <w:szCs w:val="18"/>
        </w:rPr>
        <w:tab/>
        <w:t>An MP’s role within their electorate involves engaging with and representing their constituents in a variety of forums such as community organisations, public committees and parliament itself.  MPs also have an electorate office, supported by electorate staff, which is used as a key contact point for all constituents within their electorate.  MPs generally receive and are required to respond to correspondence from constituents covering a broad range of issues, and will often use print and social media to communicate directly with their constituents on issues that affect them.  They are also often called upon to investigate and to mediate disputes between organisations and members within their electorate and are looked to as a leader within the communities they represent.</w:t>
      </w:r>
    </w:p>
    <w:p w:rsidR="008B77A9" w:rsidRPr="0052437D" w:rsidRDefault="008B77A9" w:rsidP="008B77A9">
      <w:pPr>
        <w:spacing w:after="120"/>
        <w:ind w:left="567" w:right="521"/>
        <w:jc w:val="both"/>
        <w:rPr>
          <w:i/>
          <w:sz w:val="18"/>
          <w:szCs w:val="18"/>
        </w:rPr>
      </w:pPr>
      <w:r w:rsidRPr="0052437D">
        <w:rPr>
          <w:i/>
          <w:sz w:val="18"/>
          <w:szCs w:val="18"/>
        </w:rPr>
        <w:t>In relation to parliament, an MP’s role principally involves debating public policy and legislation that comes before parliament and its committees.  Many MPs also undertake other formal roles either within parliament or within the executive (e.g. Committee Member, Whips, Leader of the House, Speaker, Minister or Assistant Minister, Leader of the Opposition and Premier).  MPs are expected to attend parliament on all sittings days unless excused from attendance and are often required to work late into the evening, or early morning to debate policy and legislation.</w:t>
      </w:r>
    </w:p>
    <w:p w:rsidR="008B77A9" w:rsidRPr="0052437D" w:rsidRDefault="008B77A9" w:rsidP="008B77A9">
      <w:pPr>
        <w:spacing w:after="120"/>
        <w:ind w:left="567" w:right="521"/>
        <w:jc w:val="both"/>
        <w:rPr>
          <w:i/>
          <w:sz w:val="18"/>
          <w:szCs w:val="18"/>
        </w:rPr>
      </w:pPr>
      <w:r w:rsidRPr="0052437D">
        <w:rPr>
          <w:i/>
          <w:sz w:val="18"/>
          <w:szCs w:val="18"/>
        </w:rPr>
        <w:t>For MPs who are members of a political party, their role also covers involvement in branch meetings, state conferences and parliamentary party meetings to debate and agree upon party policy.  The role of an MP may be described as:</w:t>
      </w:r>
    </w:p>
    <w:p w:rsidR="008B77A9" w:rsidRPr="0052437D" w:rsidRDefault="008B77A9" w:rsidP="00591E6D">
      <w:pPr>
        <w:numPr>
          <w:ilvl w:val="0"/>
          <w:numId w:val="6"/>
        </w:numPr>
        <w:spacing w:after="120"/>
        <w:ind w:left="993" w:right="521"/>
        <w:jc w:val="both"/>
        <w:rPr>
          <w:i/>
          <w:sz w:val="18"/>
          <w:szCs w:val="18"/>
        </w:rPr>
      </w:pPr>
      <w:r w:rsidRPr="0052437D">
        <w:rPr>
          <w:i/>
          <w:sz w:val="18"/>
          <w:szCs w:val="18"/>
        </w:rPr>
        <w:t>a representative of the people in their electorate who must play an active role in their community; listening and providing advice to, and advocating for their constituents</w:t>
      </w:r>
    </w:p>
    <w:p w:rsidR="008B77A9" w:rsidRPr="0052437D" w:rsidRDefault="008B77A9" w:rsidP="00591E6D">
      <w:pPr>
        <w:numPr>
          <w:ilvl w:val="0"/>
          <w:numId w:val="6"/>
        </w:numPr>
        <w:spacing w:after="120"/>
        <w:ind w:left="993" w:right="521"/>
        <w:jc w:val="both"/>
        <w:rPr>
          <w:i/>
          <w:sz w:val="18"/>
          <w:szCs w:val="18"/>
        </w:rPr>
      </w:pPr>
      <w:r w:rsidRPr="0052437D">
        <w:rPr>
          <w:i/>
          <w:sz w:val="18"/>
          <w:szCs w:val="18"/>
        </w:rPr>
        <w:t>providing a direct link between their electorate and parliament</w:t>
      </w:r>
    </w:p>
    <w:p w:rsidR="008B77A9" w:rsidRPr="0052437D" w:rsidRDefault="008B77A9" w:rsidP="00591E6D">
      <w:pPr>
        <w:numPr>
          <w:ilvl w:val="0"/>
          <w:numId w:val="6"/>
        </w:numPr>
        <w:spacing w:after="120"/>
        <w:ind w:left="993" w:right="521"/>
        <w:jc w:val="both"/>
        <w:rPr>
          <w:i/>
          <w:sz w:val="18"/>
          <w:szCs w:val="18"/>
        </w:rPr>
      </w:pPr>
      <w:r w:rsidRPr="0052437D">
        <w:rPr>
          <w:i/>
          <w:sz w:val="18"/>
          <w:szCs w:val="18"/>
        </w:rPr>
        <w:t>advocating on behalf of their constituency</w:t>
      </w:r>
    </w:p>
    <w:p w:rsidR="008B77A9" w:rsidRPr="0052437D" w:rsidRDefault="008B77A9" w:rsidP="00591E6D">
      <w:pPr>
        <w:numPr>
          <w:ilvl w:val="0"/>
          <w:numId w:val="6"/>
        </w:numPr>
        <w:spacing w:after="120"/>
        <w:ind w:left="993" w:right="521"/>
        <w:jc w:val="both"/>
        <w:rPr>
          <w:i/>
          <w:sz w:val="18"/>
          <w:szCs w:val="18"/>
        </w:rPr>
      </w:pPr>
      <w:r w:rsidRPr="0052437D">
        <w:rPr>
          <w:i/>
          <w:sz w:val="18"/>
          <w:szCs w:val="18"/>
        </w:rPr>
        <w:t>contacting and supporting the communities within their electorate</w:t>
      </w:r>
    </w:p>
    <w:p w:rsidR="008B77A9" w:rsidRPr="0052437D" w:rsidRDefault="008B77A9" w:rsidP="00591E6D">
      <w:pPr>
        <w:numPr>
          <w:ilvl w:val="0"/>
          <w:numId w:val="6"/>
        </w:numPr>
        <w:spacing w:after="120"/>
        <w:ind w:left="993" w:right="521"/>
        <w:jc w:val="both"/>
        <w:rPr>
          <w:i/>
          <w:sz w:val="18"/>
          <w:szCs w:val="18"/>
        </w:rPr>
      </w:pPr>
      <w:r w:rsidRPr="0052437D">
        <w:rPr>
          <w:i/>
          <w:sz w:val="18"/>
          <w:szCs w:val="18"/>
        </w:rPr>
        <w:t xml:space="preserve">performing parliamentary functions as a member of the Legislative Assembly, such as debating legislation, scrutinising the actions of the executive government </w:t>
      </w:r>
      <w:r w:rsidRPr="0052437D">
        <w:rPr>
          <w:i/>
          <w:sz w:val="18"/>
          <w:szCs w:val="18"/>
        </w:rPr>
        <w:lastRenderedPageBreak/>
        <w:t>through asking questions on notice or without notice and making speeches, particularly on topics that affect their constituency</w:t>
      </w:r>
    </w:p>
    <w:p w:rsidR="008B77A9" w:rsidRPr="0052437D" w:rsidRDefault="008B77A9" w:rsidP="00591E6D">
      <w:pPr>
        <w:numPr>
          <w:ilvl w:val="0"/>
          <w:numId w:val="6"/>
        </w:numPr>
        <w:spacing w:after="120"/>
        <w:ind w:left="993" w:right="521"/>
        <w:jc w:val="both"/>
        <w:rPr>
          <w:i/>
          <w:sz w:val="18"/>
          <w:szCs w:val="18"/>
        </w:rPr>
      </w:pPr>
      <w:r w:rsidRPr="0052437D">
        <w:rPr>
          <w:i/>
          <w:sz w:val="18"/>
          <w:szCs w:val="18"/>
        </w:rPr>
        <w:t>serving on parliamentary committees, as required, to examine specific issues and legislation that comes before parliament</w:t>
      </w:r>
    </w:p>
    <w:p w:rsidR="008B77A9" w:rsidRPr="0052437D" w:rsidRDefault="008B77A9" w:rsidP="00591E6D">
      <w:pPr>
        <w:numPr>
          <w:ilvl w:val="0"/>
          <w:numId w:val="6"/>
        </w:numPr>
        <w:spacing w:after="120"/>
        <w:ind w:left="993" w:right="521"/>
        <w:jc w:val="both"/>
        <w:rPr>
          <w:i/>
          <w:sz w:val="18"/>
          <w:szCs w:val="18"/>
        </w:rPr>
      </w:pPr>
      <w:r w:rsidRPr="0052437D">
        <w:rPr>
          <w:i/>
          <w:sz w:val="18"/>
          <w:szCs w:val="18"/>
        </w:rPr>
        <w:t>participating in internal party processes where applicable.”</w:t>
      </w:r>
    </w:p>
    <w:p w:rsidR="008B77A9" w:rsidRPr="0052437D" w:rsidRDefault="008B77A9" w:rsidP="008B77A9">
      <w:pPr>
        <w:spacing w:after="120"/>
        <w:jc w:val="both"/>
        <w:rPr>
          <w:sz w:val="18"/>
          <w:szCs w:val="18"/>
          <w:lang w:val="en-US"/>
        </w:rPr>
      </w:pPr>
      <w:r w:rsidRPr="0052437D">
        <w:rPr>
          <w:sz w:val="18"/>
          <w:szCs w:val="18"/>
          <w:lang w:val="en-US"/>
        </w:rPr>
        <w:t>Allowing for nomenclature differences, we believe the above adequately describes the role of the Tasmanian MP, with the added dimension of promoting Tasmania and advocating on behalf of the State.</w:t>
      </w:r>
    </w:p>
    <w:p w:rsidR="008B77A9" w:rsidRPr="0052437D" w:rsidRDefault="008B77A9" w:rsidP="008B77A9">
      <w:pPr>
        <w:spacing w:after="120"/>
        <w:jc w:val="both"/>
        <w:rPr>
          <w:sz w:val="18"/>
          <w:szCs w:val="18"/>
          <w:lang w:val="en-US"/>
        </w:rPr>
      </w:pPr>
      <w:r w:rsidRPr="0052437D">
        <w:rPr>
          <w:sz w:val="18"/>
          <w:szCs w:val="18"/>
          <w:lang w:val="en-US"/>
        </w:rPr>
        <w:t>The then State Government submission noted that, in relation to electorate work, constituents have an expectation that MPs with whom they interact, in addition to being fully aware of matters before the Tasmanian Parliament, also have an understanding of the principal activities of the Australian Government and the operational role of local government within their electorate.</w:t>
      </w:r>
    </w:p>
    <w:p w:rsidR="008B77A9" w:rsidRPr="0052437D" w:rsidRDefault="008B77A9" w:rsidP="008B77A9">
      <w:pPr>
        <w:spacing w:after="120"/>
        <w:jc w:val="both"/>
        <w:rPr>
          <w:sz w:val="18"/>
          <w:szCs w:val="18"/>
          <w:lang w:val="en-US"/>
        </w:rPr>
      </w:pPr>
      <w:r w:rsidRPr="0052437D">
        <w:rPr>
          <w:sz w:val="18"/>
          <w:szCs w:val="18"/>
          <w:lang w:val="en-US"/>
        </w:rPr>
        <w:t>In many, perhaps most respects, the fundamental role of an MP has not changed significantly since the 1997 Report although the 24/7 media cycle has increased the pace of the analysis and examination of parliamentary activity and the work of MPs. The then State Government submission noted:</w:t>
      </w:r>
    </w:p>
    <w:p w:rsidR="008B77A9" w:rsidRPr="0052437D" w:rsidRDefault="008B77A9" w:rsidP="008B77A9">
      <w:pPr>
        <w:spacing w:after="120"/>
        <w:ind w:left="567" w:right="521" w:hanging="141"/>
        <w:jc w:val="both"/>
        <w:rPr>
          <w:i/>
          <w:sz w:val="18"/>
          <w:szCs w:val="18"/>
          <w:lang w:val="en-US"/>
        </w:rPr>
      </w:pPr>
      <w:r w:rsidRPr="0052437D">
        <w:rPr>
          <w:i/>
          <w:sz w:val="18"/>
          <w:szCs w:val="18"/>
          <w:lang w:val="en-US"/>
        </w:rPr>
        <w:t>“</w:t>
      </w:r>
      <w:r w:rsidRPr="0052437D">
        <w:rPr>
          <w:i/>
          <w:sz w:val="18"/>
          <w:szCs w:val="18"/>
          <w:lang w:val="en-US"/>
        </w:rPr>
        <w:tab/>
        <w:t>In common with many other public figures throughout Australia, Members are subject to increasing public scrutiny – sometimes of their private as well as their public lives.  Modern communications encourages and facilitates immediate public scrutiny of parliamentary and party discussions and decisions.  Members can be expected to be available to comment on issues as they are evolving often without any time to reflect on questions.  The ability and constant requirement to deal with the media, mainstream and social, is a developing competency that is another factor in determining an appropriate level of remuneration.”</w:t>
      </w:r>
    </w:p>
    <w:p w:rsidR="008B77A9" w:rsidRPr="0052437D" w:rsidRDefault="008B77A9" w:rsidP="008B77A9">
      <w:pPr>
        <w:spacing w:after="120"/>
        <w:jc w:val="both"/>
        <w:rPr>
          <w:sz w:val="18"/>
          <w:szCs w:val="18"/>
          <w:lang w:val="en-US"/>
        </w:rPr>
      </w:pPr>
      <w:r w:rsidRPr="0052437D">
        <w:rPr>
          <w:sz w:val="18"/>
          <w:szCs w:val="18"/>
          <w:lang w:val="en-US"/>
        </w:rPr>
        <w:t>As an example, we were told that previously the public expectation for a response to correspondence was in the region of two weeks. With the widespread advent of email, that expectation had reduced to ‘same day’.</w:t>
      </w:r>
    </w:p>
    <w:p w:rsidR="008B77A9" w:rsidRPr="0052437D" w:rsidRDefault="008B77A9" w:rsidP="008B77A9">
      <w:pPr>
        <w:spacing w:after="120"/>
        <w:jc w:val="both"/>
        <w:rPr>
          <w:sz w:val="18"/>
          <w:szCs w:val="18"/>
          <w:lang w:val="en-US"/>
        </w:rPr>
      </w:pPr>
      <w:r w:rsidRPr="0052437D">
        <w:rPr>
          <w:sz w:val="18"/>
          <w:szCs w:val="18"/>
          <w:lang w:val="en-US"/>
        </w:rPr>
        <w:t>Whilst the electronic age, 24/7 media cycle and social media ha</w:t>
      </w:r>
      <w:r w:rsidR="00513633">
        <w:rPr>
          <w:sz w:val="18"/>
          <w:szCs w:val="18"/>
          <w:lang w:val="en-US"/>
        </w:rPr>
        <w:t>ve</w:t>
      </w:r>
      <w:r w:rsidRPr="0052437D">
        <w:rPr>
          <w:sz w:val="18"/>
          <w:szCs w:val="18"/>
          <w:lang w:val="en-US"/>
        </w:rPr>
        <w:t xml:space="preserve"> affected most aspects of working life, we accept that the impact on MPs has been adversely disproportionate compared to the mainstream workforce.</w:t>
      </w:r>
    </w:p>
    <w:p w:rsidR="008B77A9" w:rsidRPr="0052437D" w:rsidRDefault="008B77A9" w:rsidP="008B77A9">
      <w:pPr>
        <w:spacing w:after="120"/>
        <w:jc w:val="both"/>
        <w:rPr>
          <w:sz w:val="18"/>
          <w:szCs w:val="18"/>
          <w:lang w:val="en-US"/>
        </w:rPr>
      </w:pPr>
      <w:r w:rsidRPr="0052437D">
        <w:rPr>
          <w:sz w:val="18"/>
          <w:szCs w:val="18"/>
          <w:lang w:val="en-US"/>
        </w:rPr>
        <w:t>In terms of the desired skill set</w:t>
      </w:r>
      <w:r w:rsidR="00513633">
        <w:rPr>
          <w:sz w:val="18"/>
          <w:szCs w:val="18"/>
          <w:lang w:val="en-US"/>
        </w:rPr>
        <w:t>,</w:t>
      </w:r>
      <w:r w:rsidRPr="0052437D">
        <w:rPr>
          <w:sz w:val="18"/>
          <w:szCs w:val="18"/>
          <w:lang w:val="en-US"/>
        </w:rPr>
        <w:t xml:space="preserve"> the then State Government observed:</w:t>
      </w:r>
    </w:p>
    <w:p w:rsidR="008B77A9" w:rsidRPr="0052437D" w:rsidRDefault="008B77A9" w:rsidP="008B77A9">
      <w:pPr>
        <w:spacing w:after="120"/>
        <w:ind w:left="567" w:right="521" w:hanging="141"/>
        <w:jc w:val="both"/>
        <w:rPr>
          <w:i/>
          <w:sz w:val="18"/>
          <w:szCs w:val="18"/>
          <w:lang w:val="en-US"/>
        </w:rPr>
      </w:pPr>
      <w:r w:rsidRPr="0052437D">
        <w:rPr>
          <w:i/>
          <w:sz w:val="18"/>
          <w:szCs w:val="18"/>
          <w:lang w:val="en-US"/>
        </w:rPr>
        <w:t>“</w:t>
      </w:r>
      <w:r w:rsidRPr="0052437D">
        <w:rPr>
          <w:i/>
          <w:sz w:val="18"/>
          <w:szCs w:val="18"/>
          <w:lang w:val="en-US"/>
        </w:rPr>
        <w:tab/>
        <w:t>Given the variety of activities that a Member of Parliament is expected to undertake, he or she needs to possess a broad set of skills.  These include:</w:t>
      </w:r>
    </w:p>
    <w:p w:rsidR="008B77A9" w:rsidRPr="0052437D" w:rsidRDefault="008B77A9" w:rsidP="00591E6D">
      <w:pPr>
        <w:numPr>
          <w:ilvl w:val="0"/>
          <w:numId w:val="5"/>
        </w:numPr>
        <w:spacing w:after="120" w:line="360" w:lineRule="auto"/>
        <w:ind w:left="993" w:right="521"/>
        <w:jc w:val="both"/>
        <w:rPr>
          <w:i/>
          <w:sz w:val="18"/>
          <w:szCs w:val="18"/>
          <w:lang w:val="en-US"/>
        </w:rPr>
      </w:pPr>
      <w:r w:rsidRPr="0052437D">
        <w:rPr>
          <w:i/>
          <w:sz w:val="18"/>
          <w:szCs w:val="18"/>
          <w:lang w:val="en-US"/>
        </w:rPr>
        <w:t>Leadership skills;</w:t>
      </w:r>
    </w:p>
    <w:p w:rsidR="008B77A9" w:rsidRPr="0052437D" w:rsidRDefault="008B77A9" w:rsidP="00591E6D">
      <w:pPr>
        <w:numPr>
          <w:ilvl w:val="0"/>
          <w:numId w:val="5"/>
        </w:numPr>
        <w:spacing w:after="120" w:line="360" w:lineRule="auto"/>
        <w:ind w:left="993" w:right="521"/>
        <w:jc w:val="both"/>
        <w:rPr>
          <w:i/>
          <w:sz w:val="18"/>
          <w:szCs w:val="18"/>
          <w:lang w:val="en-US"/>
        </w:rPr>
      </w:pPr>
      <w:r w:rsidRPr="0052437D">
        <w:rPr>
          <w:i/>
          <w:sz w:val="18"/>
          <w:szCs w:val="18"/>
          <w:lang w:val="en-US"/>
        </w:rPr>
        <w:t>Community representation skills;</w:t>
      </w:r>
    </w:p>
    <w:p w:rsidR="008B77A9" w:rsidRPr="0052437D" w:rsidRDefault="008B77A9" w:rsidP="00591E6D">
      <w:pPr>
        <w:numPr>
          <w:ilvl w:val="0"/>
          <w:numId w:val="5"/>
        </w:numPr>
        <w:spacing w:after="120" w:line="360" w:lineRule="auto"/>
        <w:ind w:left="993" w:right="521"/>
        <w:jc w:val="both"/>
        <w:rPr>
          <w:i/>
          <w:sz w:val="18"/>
          <w:szCs w:val="18"/>
          <w:lang w:val="en-US"/>
        </w:rPr>
      </w:pPr>
      <w:r w:rsidRPr="0052437D">
        <w:rPr>
          <w:i/>
          <w:sz w:val="18"/>
          <w:szCs w:val="18"/>
          <w:lang w:val="en-US"/>
        </w:rPr>
        <w:t>Interpersonal skills;</w:t>
      </w:r>
    </w:p>
    <w:p w:rsidR="008B77A9" w:rsidRPr="0052437D" w:rsidRDefault="008B77A9" w:rsidP="00591E6D">
      <w:pPr>
        <w:numPr>
          <w:ilvl w:val="0"/>
          <w:numId w:val="5"/>
        </w:numPr>
        <w:spacing w:after="120" w:line="360" w:lineRule="auto"/>
        <w:ind w:left="993" w:right="521"/>
        <w:jc w:val="both"/>
        <w:rPr>
          <w:i/>
          <w:sz w:val="18"/>
          <w:szCs w:val="18"/>
          <w:lang w:val="en-US"/>
        </w:rPr>
      </w:pPr>
      <w:r w:rsidRPr="0052437D">
        <w:rPr>
          <w:i/>
          <w:sz w:val="18"/>
          <w:szCs w:val="18"/>
          <w:lang w:val="en-US"/>
        </w:rPr>
        <w:t>Negotiation and influencing skills;</w:t>
      </w:r>
    </w:p>
    <w:p w:rsidR="008B77A9" w:rsidRPr="0052437D" w:rsidRDefault="008B77A9" w:rsidP="00591E6D">
      <w:pPr>
        <w:numPr>
          <w:ilvl w:val="0"/>
          <w:numId w:val="5"/>
        </w:numPr>
        <w:spacing w:after="120" w:line="360" w:lineRule="auto"/>
        <w:ind w:left="993" w:right="521"/>
        <w:jc w:val="both"/>
        <w:rPr>
          <w:i/>
          <w:sz w:val="18"/>
          <w:szCs w:val="18"/>
          <w:lang w:val="en-US"/>
        </w:rPr>
      </w:pPr>
      <w:r w:rsidRPr="0052437D">
        <w:rPr>
          <w:i/>
          <w:sz w:val="18"/>
          <w:szCs w:val="18"/>
          <w:lang w:val="en-US"/>
        </w:rPr>
        <w:t>Debating skills;</w:t>
      </w:r>
    </w:p>
    <w:p w:rsidR="008B77A9" w:rsidRPr="0052437D" w:rsidRDefault="008B77A9" w:rsidP="00591E6D">
      <w:pPr>
        <w:numPr>
          <w:ilvl w:val="0"/>
          <w:numId w:val="5"/>
        </w:numPr>
        <w:spacing w:after="120" w:line="360" w:lineRule="auto"/>
        <w:ind w:left="993" w:right="521"/>
        <w:jc w:val="both"/>
        <w:rPr>
          <w:i/>
          <w:sz w:val="18"/>
          <w:szCs w:val="18"/>
          <w:lang w:val="en-US"/>
        </w:rPr>
      </w:pPr>
      <w:r w:rsidRPr="0052437D">
        <w:rPr>
          <w:i/>
          <w:sz w:val="18"/>
          <w:szCs w:val="18"/>
          <w:lang w:val="en-US"/>
        </w:rPr>
        <w:t>Speaking in public;</w:t>
      </w:r>
    </w:p>
    <w:p w:rsidR="008B77A9" w:rsidRPr="0052437D" w:rsidRDefault="008B77A9" w:rsidP="00591E6D">
      <w:pPr>
        <w:numPr>
          <w:ilvl w:val="0"/>
          <w:numId w:val="5"/>
        </w:numPr>
        <w:spacing w:after="120" w:line="360" w:lineRule="auto"/>
        <w:ind w:left="993" w:right="521"/>
        <w:jc w:val="both"/>
        <w:rPr>
          <w:i/>
          <w:sz w:val="18"/>
          <w:szCs w:val="18"/>
          <w:lang w:val="en-US"/>
        </w:rPr>
      </w:pPr>
      <w:r w:rsidRPr="0052437D">
        <w:rPr>
          <w:i/>
          <w:sz w:val="18"/>
          <w:szCs w:val="18"/>
          <w:lang w:val="en-US"/>
        </w:rPr>
        <w:t>Research and analytical skills;</w:t>
      </w:r>
    </w:p>
    <w:p w:rsidR="008B77A9" w:rsidRPr="0052437D" w:rsidRDefault="008B77A9" w:rsidP="00591E6D">
      <w:pPr>
        <w:numPr>
          <w:ilvl w:val="0"/>
          <w:numId w:val="5"/>
        </w:numPr>
        <w:spacing w:after="120" w:line="360" w:lineRule="auto"/>
        <w:ind w:left="993" w:right="521"/>
        <w:jc w:val="both"/>
        <w:rPr>
          <w:i/>
          <w:sz w:val="18"/>
          <w:szCs w:val="18"/>
          <w:lang w:val="en-US"/>
        </w:rPr>
      </w:pPr>
      <w:r w:rsidRPr="0052437D">
        <w:rPr>
          <w:i/>
          <w:sz w:val="18"/>
          <w:szCs w:val="18"/>
          <w:lang w:val="en-US"/>
        </w:rPr>
        <w:t>IT related skills;</w:t>
      </w:r>
    </w:p>
    <w:p w:rsidR="008B77A9" w:rsidRPr="0052437D" w:rsidRDefault="008B77A9" w:rsidP="00591E6D">
      <w:pPr>
        <w:numPr>
          <w:ilvl w:val="0"/>
          <w:numId w:val="5"/>
        </w:numPr>
        <w:spacing w:after="120" w:line="360" w:lineRule="auto"/>
        <w:ind w:left="993" w:right="521"/>
        <w:jc w:val="both"/>
        <w:rPr>
          <w:i/>
          <w:sz w:val="18"/>
          <w:szCs w:val="18"/>
          <w:lang w:val="en-US"/>
        </w:rPr>
      </w:pPr>
      <w:r w:rsidRPr="0052437D">
        <w:rPr>
          <w:i/>
          <w:sz w:val="18"/>
          <w:szCs w:val="18"/>
          <w:lang w:val="en-US"/>
        </w:rPr>
        <w:t>Chairing skills; and</w:t>
      </w:r>
    </w:p>
    <w:p w:rsidR="008B77A9" w:rsidRPr="0052437D" w:rsidRDefault="008B77A9" w:rsidP="00591E6D">
      <w:pPr>
        <w:numPr>
          <w:ilvl w:val="0"/>
          <w:numId w:val="5"/>
        </w:numPr>
        <w:spacing w:after="120"/>
        <w:ind w:left="993" w:right="521"/>
        <w:jc w:val="both"/>
        <w:rPr>
          <w:i/>
          <w:sz w:val="18"/>
          <w:szCs w:val="18"/>
          <w:lang w:val="en-US"/>
        </w:rPr>
      </w:pPr>
      <w:r w:rsidRPr="0052437D">
        <w:rPr>
          <w:i/>
          <w:sz w:val="18"/>
          <w:szCs w:val="18"/>
          <w:lang w:val="en-US"/>
        </w:rPr>
        <w:t>Knowledge of the way government works.</w:t>
      </w:r>
    </w:p>
    <w:p w:rsidR="008B77A9" w:rsidRPr="0052437D" w:rsidRDefault="008B77A9" w:rsidP="008B77A9">
      <w:pPr>
        <w:spacing w:after="120"/>
        <w:ind w:left="567" w:right="521"/>
        <w:jc w:val="both"/>
        <w:rPr>
          <w:i/>
          <w:sz w:val="18"/>
          <w:szCs w:val="18"/>
          <w:lang w:val="en-US"/>
        </w:rPr>
      </w:pPr>
      <w:r w:rsidRPr="0052437D">
        <w:rPr>
          <w:i/>
          <w:sz w:val="18"/>
          <w:szCs w:val="18"/>
          <w:lang w:val="en-US"/>
        </w:rPr>
        <w:t>To be fully proficient as a Member of Parliament it would be usual for members to have a post-secondary or tertiary education or the equivalent experience in business or a profession prior to entering parliament.”</w:t>
      </w:r>
    </w:p>
    <w:p w:rsidR="003B41B5" w:rsidRPr="0052437D" w:rsidRDefault="008B77A9" w:rsidP="00F324DE">
      <w:pPr>
        <w:pStyle w:val="textbasic"/>
      </w:pPr>
      <w:r w:rsidRPr="0052437D">
        <w:lastRenderedPageBreak/>
        <w:t>The submission also noted that “the role of a Member of the Tasmanian Parliament is broadly similar to that of members of other Australian Parliaments.” On the material available to the Tribunal, we concur with this observation.</w:t>
      </w:r>
    </w:p>
    <w:p w:rsidR="0080603F" w:rsidRPr="0080603F" w:rsidRDefault="0080603F" w:rsidP="00F324DE">
      <w:pPr>
        <w:pStyle w:val="textbasic"/>
      </w:pPr>
    </w:p>
    <w:p w:rsidR="003B41B5" w:rsidRDefault="003B41B5" w:rsidP="00D95A63">
      <w:pPr>
        <w:spacing w:after="120"/>
        <w:ind w:right="103"/>
        <w:jc w:val="both"/>
        <w:rPr>
          <w:rFonts w:eastAsia="Arial" w:cs="Arial"/>
          <w:color w:val="49494B"/>
          <w:szCs w:val="20"/>
        </w:rPr>
        <w:sectPr w:rsidR="003B41B5" w:rsidSect="00AB279D">
          <w:pgSz w:w="11906" w:h="16838"/>
          <w:pgMar w:top="1440" w:right="1440" w:bottom="1440" w:left="1276" w:header="708" w:footer="708" w:gutter="0"/>
          <w:cols w:space="708"/>
          <w:docGrid w:linePitch="360"/>
        </w:sectPr>
      </w:pPr>
    </w:p>
    <w:p w:rsidR="003B41B5" w:rsidRDefault="003B41B5" w:rsidP="003B41B5">
      <w:pPr>
        <w:pStyle w:val="Heading1"/>
      </w:pPr>
      <w:bookmarkStart w:id="111" w:name="_Toc443486976"/>
      <w:r>
        <w:lastRenderedPageBreak/>
        <w:t xml:space="preserve">Appendix 4 - </w:t>
      </w:r>
      <w:r w:rsidRPr="003B41B5">
        <w:rPr>
          <w:rFonts w:eastAsia="Arial"/>
        </w:rPr>
        <w:t xml:space="preserve">Mechanisms for Future Adjustment </w:t>
      </w:r>
      <w:r>
        <w:t>(extracts from previous documents)</w:t>
      </w:r>
      <w:bookmarkEnd w:id="111"/>
    </w:p>
    <w:p w:rsidR="003B41B5" w:rsidRDefault="0052437D" w:rsidP="00CC5844">
      <w:pPr>
        <w:pStyle w:val="Heading2"/>
      </w:pPr>
      <w:bookmarkStart w:id="112" w:name="_Toc443486977"/>
      <w:r>
        <w:t>1</w:t>
      </w:r>
      <w:r>
        <w:tab/>
        <w:t xml:space="preserve">Extract from the </w:t>
      </w:r>
      <w:r w:rsidR="0080603F" w:rsidRPr="003B41B5">
        <w:t>2013 Issues Paper</w:t>
      </w:r>
      <w:r w:rsidR="00EE46FD" w:rsidRPr="003B41B5">
        <w:t xml:space="preserve"> -</w:t>
      </w:r>
      <w:r w:rsidR="0080603F" w:rsidRPr="003B41B5">
        <w:t xml:space="preserve"> section 10</w:t>
      </w:r>
      <w:bookmarkEnd w:id="112"/>
    </w:p>
    <w:p w:rsidR="0080603F" w:rsidRPr="003B41B5" w:rsidRDefault="0080603F" w:rsidP="00D95A63">
      <w:pPr>
        <w:spacing w:after="120"/>
        <w:ind w:right="103"/>
        <w:jc w:val="both"/>
        <w:rPr>
          <w:rFonts w:eastAsia="Arial" w:cs="Arial"/>
          <w:sz w:val="18"/>
          <w:szCs w:val="18"/>
        </w:rPr>
      </w:pPr>
      <w:r w:rsidRPr="003B41B5">
        <w:rPr>
          <w:rFonts w:eastAsia="Arial" w:cs="Arial"/>
          <w:sz w:val="18"/>
          <w:szCs w:val="18"/>
        </w:rPr>
        <w:t xml:space="preserve">The Terms of Reference require the tribunal to determine "a </w:t>
      </w:r>
      <w:r w:rsidRPr="003B41B5">
        <w:rPr>
          <w:rFonts w:eastAsia="Arial" w:cs="Arial"/>
          <w:i/>
          <w:sz w:val="18"/>
          <w:szCs w:val="18"/>
        </w:rPr>
        <w:t>formula or method to enable the annual or other periodic adjustment of that salary..."</w:t>
      </w:r>
    </w:p>
    <w:p w:rsidR="0080603F" w:rsidRPr="003B41B5" w:rsidRDefault="0080603F" w:rsidP="00D95A63">
      <w:pPr>
        <w:spacing w:after="120"/>
        <w:ind w:right="108"/>
        <w:jc w:val="both"/>
        <w:rPr>
          <w:rFonts w:eastAsia="Arial" w:cs="Arial"/>
          <w:sz w:val="18"/>
          <w:szCs w:val="18"/>
        </w:rPr>
      </w:pPr>
      <w:r w:rsidRPr="003B41B5">
        <w:rPr>
          <w:rFonts w:eastAsia="Arial" w:cs="Arial"/>
          <w:sz w:val="18"/>
          <w:szCs w:val="18"/>
        </w:rPr>
        <w:t>There are a number of mechanisms by which this can be achieved. The options are discussed below.</w:t>
      </w:r>
    </w:p>
    <w:p w:rsidR="0080603F" w:rsidRPr="003B41B5" w:rsidRDefault="0080603F" w:rsidP="00D95A63">
      <w:pPr>
        <w:spacing w:after="120"/>
        <w:ind w:right="-20"/>
        <w:jc w:val="both"/>
        <w:rPr>
          <w:rFonts w:eastAsia="Arial" w:cs="Arial"/>
          <w:sz w:val="18"/>
          <w:szCs w:val="18"/>
        </w:rPr>
      </w:pPr>
      <w:r w:rsidRPr="003B41B5">
        <w:rPr>
          <w:rFonts w:eastAsia="Arial" w:cs="Arial"/>
          <w:i/>
          <w:sz w:val="18"/>
          <w:szCs w:val="18"/>
        </w:rPr>
        <w:t>Legislative enactment</w:t>
      </w:r>
    </w:p>
    <w:p w:rsidR="0080603F" w:rsidRPr="003B41B5" w:rsidRDefault="0080603F" w:rsidP="00D95A63">
      <w:pPr>
        <w:spacing w:after="120"/>
        <w:ind w:right="58" w:hanging="5"/>
        <w:jc w:val="both"/>
        <w:rPr>
          <w:rFonts w:eastAsia="Arial" w:cs="Arial"/>
          <w:sz w:val="18"/>
          <w:szCs w:val="18"/>
        </w:rPr>
      </w:pPr>
      <w:r w:rsidRPr="003B41B5">
        <w:rPr>
          <w:rFonts w:eastAsia="Arial" w:cs="Arial"/>
          <w:sz w:val="18"/>
          <w:szCs w:val="18"/>
        </w:rPr>
        <w:t>The Parliament is at liberty to legislate both the quantum and means of adjustment of the basic salary.  This can be done in absolute terms, or by reference to some other index, cap, or wage movement. There are</w:t>
      </w:r>
      <w:r w:rsidR="00513633">
        <w:rPr>
          <w:rFonts w:eastAsia="Arial" w:cs="Arial"/>
          <w:sz w:val="18"/>
          <w:szCs w:val="18"/>
        </w:rPr>
        <w:t xml:space="preserve"> a</w:t>
      </w:r>
      <w:r w:rsidRPr="003B41B5">
        <w:rPr>
          <w:rFonts w:eastAsia="Arial" w:cs="Arial"/>
          <w:sz w:val="18"/>
          <w:szCs w:val="18"/>
        </w:rPr>
        <w:t xml:space="preserve"> number of different approaches to legislative enactment which are summarised in the section covering salary determination in Australian Parliaments.</w:t>
      </w:r>
    </w:p>
    <w:p w:rsidR="0080603F" w:rsidRPr="003B41B5" w:rsidRDefault="0080603F" w:rsidP="00D95A63">
      <w:pPr>
        <w:spacing w:after="120"/>
        <w:ind w:right="66" w:hanging="5"/>
        <w:jc w:val="both"/>
        <w:rPr>
          <w:rFonts w:eastAsia="Arial" w:cs="Arial"/>
          <w:sz w:val="18"/>
          <w:szCs w:val="18"/>
        </w:rPr>
      </w:pPr>
      <w:r w:rsidRPr="003B41B5">
        <w:rPr>
          <w:rFonts w:eastAsia="Arial" w:cs="Arial"/>
          <w:sz w:val="18"/>
          <w:szCs w:val="18"/>
        </w:rPr>
        <w:t xml:space="preserve">The advantage of this approach is that it is easier for the Government of the day to impose Government policy, including wage policy where applicable. The disadvantage is that </w:t>
      </w:r>
      <w:r w:rsidR="00267AAF" w:rsidRPr="003B41B5">
        <w:rPr>
          <w:rFonts w:eastAsia="Arial" w:cs="Arial"/>
          <w:sz w:val="18"/>
          <w:szCs w:val="18"/>
        </w:rPr>
        <w:t>i</w:t>
      </w:r>
      <w:r w:rsidRPr="003B41B5">
        <w:rPr>
          <w:rFonts w:eastAsia="Arial" w:cs="Arial"/>
          <w:sz w:val="18"/>
          <w:szCs w:val="18"/>
        </w:rPr>
        <w:t xml:space="preserve">t raises the issue of Members of </w:t>
      </w:r>
      <w:r w:rsidR="00267AAF" w:rsidRPr="003B41B5">
        <w:rPr>
          <w:rFonts w:eastAsia="Arial" w:cs="Arial"/>
          <w:sz w:val="18"/>
          <w:szCs w:val="18"/>
        </w:rPr>
        <w:t>Parliament</w:t>
      </w:r>
      <w:r w:rsidRPr="003B41B5">
        <w:rPr>
          <w:rFonts w:eastAsia="Arial" w:cs="Arial"/>
          <w:sz w:val="18"/>
          <w:szCs w:val="18"/>
        </w:rPr>
        <w:t xml:space="preserve"> determining their own salary, an </w:t>
      </w:r>
      <w:r w:rsidR="00267AAF" w:rsidRPr="003B41B5">
        <w:rPr>
          <w:rFonts w:eastAsia="Arial" w:cs="Arial"/>
          <w:sz w:val="18"/>
          <w:szCs w:val="18"/>
        </w:rPr>
        <w:t>i</w:t>
      </w:r>
      <w:r w:rsidRPr="003B41B5">
        <w:rPr>
          <w:rFonts w:eastAsia="Arial" w:cs="Arial"/>
          <w:sz w:val="18"/>
          <w:szCs w:val="18"/>
        </w:rPr>
        <w:t>ssue which does not appear to enjoy widespread public support.  It also raises the possibility/likelihood of politically based decisions such as the wage freeze and subsequent 40% salary increase in the 1990s.</w:t>
      </w:r>
    </w:p>
    <w:p w:rsidR="0080603F" w:rsidRPr="003B41B5" w:rsidRDefault="0080603F" w:rsidP="00D95A63">
      <w:pPr>
        <w:spacing w:after="120"/>
        <w:ind w:right="-20"/>
        <w:jc w:val="both"/>
        <w:rPr>
          <w:rFonts w:eastAsia="Arial" w:cs="Arial"/>
          <w:sz w:val="18"/>
          <w:szCs w:val="18"/>
        </w:rPr>
      </w:pPr>
      <w:r w:rsidRPr="003B41B5">
        <w:rPr>
          <w:rFonts w:eastAsia="Arial" w:cs="Arial"/>
          <w:i/>
          <w:sz w:val="18"/>
          <w:szCs w:val="18"/>
        </w:rPr>
        <w:t>Linking the Salary to Wage Movements in the State Service</w:t>
      </w:r>
    </w:p>
    <w:p w:rsidR="0080603F" w:rsidRPr="003B41B5" w:rsidRDefault="0080603F" w:rsidP="00D95A63">
      <w:pPr>
        <w:spacing w:after="120"/>
        <w:ind w:right="83" w:hanging="5"/>
        <w:jc w:val="both"/>
        <w:rPr>
          <w:rFonts w:eastAsia="Arial" w:cs="Arial"/>
          <w:sz w:val="18"/>
          <w:szCs w:val="18"/>
        </w:rPr>
      </w:pPr>
      <w:r w:rsidRPr="003B41B5">
        <w:rPr>
          <w:rFonts w:eastAsia="Arial" w:cs="Arial"/>
          <w:sz w:val="18"/>
          <w:szCs w:val="18"/>
        </w:rPr>
        <w:t>This approach has the advantage of ensuring that the basic salary moves in line with salary movements for the State Public Service. The disadvantage is that the Government  (as distinct from the Parliament), is the employer  of state servants, and through the  workplace bargaining process, is arguably  setting, or at least strongly influencing, MP salary movements.</w:t>
      </w:r>
    </w:p>
    <w:p w:rsidR="0080603F" w:rsidRPr="003B41B5" w:rsidRDefault="0080603F" w:rsidP="00D95A63">
      <w:pPr>
        <w:spacing w:after="120"/>
        <w:ind w:right="89" w:firstLine="5"/>
        <w:jc w:val="both"/>
        <w:rPr>
          <w:rFonts w:eastAsia="Arial" w:cs="Arial"/>
          <w:sz w:val="18"/>
          <w:szCs w:val="18"/>
        </w:rPr>
      </w:pPr>
      <w:r w:rsidRPr="003B41B5">
        <w:rPr>
          <w:rFonts w:eastAsia="Arial" w:cs="Arial"/>
          <w:sz w:val="18"/>
          <w:szCs w:val="18"/>
        </w:rPr>
        <w:t>A second disadvantage relates to difficulties with linkages generally. A linkage may be suitable at a given point in time, but takes no account of changed circumstances in the  future</w:t>
      </w:r>
      <w:r w:rsidR="00296756" w:rsidRPr="003B41B5">
        <w:rPr>
          <w:rFonts w:eastAsia="Arial" w:cs="Arial"/>
          <w:sz w:val="18"/>
          <w:szCs w:val="18"/>
        </w:rPr>
        <w:t>.</w:t>
      </w:r>
      <w:r w:rsidRPr="003B41B5">
        <w:rPr>
          <w:rFonts w:eastAsia="Arial" w:cs="Arial"/>
          <w:sz w:val="18"/>
          <w:szCs w:val="18"/>
        </w:rPr>
        <w:t xml:space="preserve"> For example</w:t>
      </w:r>
      <w:r w:rsidR="00296756" w:rsidRPr="003B41B5">
        <w:rPr>
          <w:rFonts w:eastAsia="Arial" w:cs="Arial"/>
          <w:sz w:val="18"/>
          <w:szCs w:val="18"/>
        </w:rPr>
        <w:t>,</w:t>
      </w:r>
      <w:r w:rsidRPr="003B41B5">
        <w:rPr>
          <w:rFonts w:eastAsia="Arial" w:cs="Arial"/>
          <w:sz w:val="18"/>
          <w:szCs w:val="18"/>
        </w:rPr>
        <w:t xml:space="preserve"> the growth of enterprise bargaining and the attendant demise of award based salary increases appears to have resulted in an unintended wage freeze for MPs between 1991 and 1993. Other unforeseen changes might include a work value change or new classification structure for state servants of no relevance to MPs.</w:t>
      </w:r>
    </w:p>
    <w:p w:rsidR="0080603F" w:rsidRPr="003B41B5" w:rsidRDefault="0080603F" w:rsidP="00D95A63">
      <w:pPr>
        <w:spacing w:after="120"/>
        <w:ind w:right="108" w:hanging="14"/>
        <w:jc w:val="both"/>
        <w:rPr>
          <w:rFonts w:eastAsia="Arial" w:cs="Arial"/>
          <w:sz w:val="18"/>
          <w:szCs w:val="18"/>
        </w:rPr>
      </w:pPr>
      <w:r w:rsidRPr="003B41B5">
        <w:rPr>
          <w:rFonts w:eastAsia="Arial" w:cs="Arial"/>
          <w:sz w:val="18"/>
          <w:szCs w:val="18"/>
        </w:rPr>
        <w:t>A direct link of this nature exists by statute in the Northern Territory</w:t>
      </w:r>
      <w:r w:rsidR="00267AAF" w:rsidRPr="003B41B5">
        <w:rPr>
          <w:rStyle w:val="FootnoteReference"/>
          <w:rFonts w:eastAsia="Arial" w:cs="Arial"/>
          <w:sz w:val="18"/>
          <w:szCs w:val="18"/>
        </w:rPr>
        <w:footnoteReference w:id="109"/>
      </w:r>
      <w:r w:rsidRPr="003B41B5">
        <w:rPr>
          <w:rFonts w:eastAsia="Arial" w:cs="Arial"/>
          <w:sz w:val="18"/>
          <w:szCs w:val="18"/>
        </w:rPr>
        <w:t>.  In NSW, Government wages policy is similarly reflected by legislation.</w:t>
      </w:r>
    </w:p>
    <w:p w:rsidR="0080603F" w:rsidRPr="003B41B5" w:rsidRDefault="0080603F" w:rsidP="00D95A63">
      <w:pPr>
        <w:spacing w:after="120"/>
        <w:ind w:right="-20"/>
        <w:jc w:val="both"/>
        <w:rPr>
          <w:rFonts w:eastAsia="Arial" w:cs="Arial"/>
          <w:sz w:val="18"/>
          <w:szCs w:val="18"/>
        </w:rPr>
      </w:pPr>
      <w:r w:rsidRPr="003B41B5">
        <w:rPr>
          <w:rFonts w:eastAsia="Arial" w:cs="Arial"/>
          <w:i/>
          <w:sz w:val="18"/>
          <w:szCs w:val="18"/>
        </w:rPr>
        <w:t xml:space="preserve">Linking the Salary to the </w:t>
      </w:r>
      <w:r w:rsidR="00513633" w:rsidRPr="003B41B5">
        <w:rPr>
          <w:rFonts w:eastAsia="Arial" w:cs="Arial"/>
          <w:i/>
          <w:sz w:val="18"/>
          <w:szCs w:val="18"/>
        </w:rPr>
        <w:t xml:space="preserve">Basic Salary </w:t>
      </w:r>
      <w:r w:rsidRPr="003B41B5">
        <w:rPr>
          <w:rFonts w:eastAsia="Arial" w:cs="Arial"/>
          <w:i/>
          <w:sz w:val="18"/>
          <w:szCs w:val="18"/>
        </w:rPr>
        <w:t>in the Commonwealth or other State or Territory Parliaments</w:t>
      </w:r>
    </w:p>
    <w:p w:rsidR="0080603F" w:rsidRPr="003B41B5" w:rsidRDefault="0080603F" w:rsidP="00D95A63">
      <w:pPr>
        <w:spacing w:after="120"/>
        <w:ind w:right="120" w:firstLine="5"/>
        <w:jc w:val="both"/>
        <w:rPr>
          <w:rFonts w:eastAsia="Arial" w:cs="Arial"/>
          <w:sz w:val="18"/>
          <w:szCs w:val="18"/>
        </w:rPr>
      </w:pPr>
      <w:r w:rsidRPr="003B41B5">
        <w:rPr>
          <w:rFonts w:eastAsia="Arial" w:cs="Arial"/>
          <w:sz w:val="18"/>
          <w:szCs w:val="18"/>
        </w:rPr>
        <w:t>This has been a widespread practice in Tasmania and other jurisdictions for many years.  It suffers from the same disadvantage as discussed above for linkages generally.  This problem was graphically illustrated by the Remuneration Tribunal Report 2011 which increased the salary for a Federal MP from $140</w:t>
      </w:r>
      <w:r w:rsidR="00267AAF" w:rsidRPr="003B41B5">
        <w:rPr>
          <w:rFonts w:eastAsia="Arial" w:cs="Arial"/>
          <w:sz w:val="18"/>
          <w:szCs w:val="18"/>
        </w:rPr>
        <w:t xml:space="preserve"> </w:t>
      </w:r>
      <w:r w:rsidRPr="003B41B5">
        <w:rPr>
          <w:rFonts w:eastAsia="Arial" w:cs="Arial"/>
          <w:sz w:val="18"/>
          <w:szCs w:val="18"/>
        </w:rPr>
        <w:t>910 to $185</w:t>
      </w:r>
      <w:r w:rsidR="00267AAF" w:rsidRPr="003B41B5">
        <w:rPr>
          <w:rFonts w:eastAsia="Arial" w:cs="Arial"/>
          <w:sz w:val="18"/>
          <w:szCs w:val="18"/>
        </w:rPr>
        <w:t xml:space="preserve"> </w:t>
      </w:r>
      <w:r w:rsidRPr="003B41B5">
        <w:rPr>
          <w:rFonts w:eastAsia="Arial" w:cs="Arial"/>
          <w:sz w:val="18"/>
          <w:szCs w:val="18"/>
        </w:rPr>
        <w:t xml:space="preserve">000, and at the same time urged that existing linkages between state and commonwealth basic salaries be broken.  This linkage was broken in most jurisdictions </w:t>
      </w:r>
      <w:r w:rsidR="00267AAF" w:rsidRPr="003B41B5">
        <w:rPr>
          <w:rFonts w:eastAsia="Arial" w:cs="Arial"/>
          <w:sz w:val="18"/>
          <w:szCs w:val="18"/>
        </w:rPr>
        <w:t>i</w:t>
      </w:r>
      <w:r w:rsidRPr="003B41B5">
        <w:rPr>
          <w:rFonts w:eastAsia="Arial" w:cs="Arial"/>
          <w:sz w:val="18"/>
          <w:szCs w:val="18"/>
        </w:rPr>
        <w:t xml:space="preserve">n a range of different ways. However this did not occur </w:t>
      </w:r>
      <w:r w:rsidR="00267AAF" w:rsidRPr="003B41B5">
        <w:rPr>
          <w:rFonts w:eastAsia="Arial" w:cs="Arial"/>
          <w:sz w:val="18"/>
          <w:szCs w:val="18"/>
        </w:rPr>
        <w:t>i</w:t>
      </w:r>
      <w:r w:rsidRPr="003B41B5">
        <w:rPr>
          <w:rFonts w:eastAsia="Arial" w:cs="Arial"/>
          <w:sz w:val="18"/>
          <w:szCs w:val="18"/>
        </w:rPr>
        <w:t>n Queensland</w:t>
      </w:r>
      <w:r w:rsidR="00267AAF" w:rsidRPr="003B41B5">
        <w:rPr>
          <w:rStyle w:val="FootnoteReference"/>
          <w:rFonts w:eastAsia="Arial" w:cs="Arial"/>
          <w:sz w:val="18"/>
          <w:szCs w:val="18"/>
        </w:rPr>
        <w:footnoteReference w:id="110"/>
      </w:r>
      <w:r w:rsidRPr="003B41B5">
        <w:rPr>
          <w:rFonts w:eastAsia="Arial" w:cs="Arial"/>
          <w:sz w:val="18"/>
          <w:szCs w:val="18"/>
        </w:rPr>
        <w:t>, resulting in a 41.9% increase for Queensland MPs.</w:t>
      </w:r>
    </w:p>
    <w:p w:rsidR="0080603F" w:rsidRPr="003B41B5" w:rsidRDefault="0080603F" w:rsidP="00D95A63">
      <w:pPr>
        <w:spacing w:after="120"/>
        <w:ind w:right="132"/>
        <w:jc w:val="both"/>
        <w:rPr>
          <w:rFonts w:eastAsia="Arial" w:cs="Arial"/>
          <w:sz w:val="18"/>
          <w:szCs w:val="18"/>
        </w:rPr>
      </w:pPr>
      <w:r w:rsidRPr="003B41B5">
        <w:rPr>
          <w:rFonts w:eastAsia="Arial" w:cs="Arial"/>
          <w:sz w:val="18"/>
          <w:szCs w:val="18"/>
        </w:rPr>
        <w:t>Salary levels in Australian Parliaments are of course a relevant consideration as 'part of the mix' when reviewing the basic salary in Tasmania. However for reasons outlined above, a formal linkage of any description is problematic.</w:t>
      </w:r>
    </w:p>
    <w:p w:rsidR="0080603F" w:rsidRPr="003B41B5" w:rsidRDefault="0080603F" w:rsidP="00D95A63">
      <w:pPr>
        <w:spacing w:after="120"/>
        <w:ind w:right="-20"/>
        <w:jc w:val="both"/>
        <w:rPr>
          <w:rFonts w:eastAsia="Arial" w:cs="Arial"/>
          <w:sz w:val="18"/>
          <w:szCs w:val="18"/>
        </w:rPr>
      </w:pPr>
      <w:r w:rsidRPr="003B41B5">
        <w:rPr>
          <w:rFonts w:eastAsia="Arial" w:cs="Arial"/>
          <w:i/>
          <w:sz w:val="18"/>
          <w:szCs w:val="18"/>
        </w:rPr>
        <w:t>Linking the Salary to a relevant ABS Wage/Earnings index</w:t>
      </w:r>
    </w:p>
    <w:p w:rsidR="0080603F" w:rsidRPr="003B41B5" w:rsidRDefault="0080603F" w:rsidP="00D95A63">
      <w:pPr>
        <w:spacing w:after="120"/>
        <w:ind w:right="-20"/>
        <w:jc w:val="both"/>
        <w:rPr>
          <w:rFonts w:eastAsia="Arial" w:cs="Arial"/>
          <w:sz w:val="18"/>
          <w:szCs w:val="18"/>
        </w:rPr>
      </w:pPr>
      <w:r w:rsidRPr="003B41B5">
        <w:rPr>
          <w:rFonts w:eastAsia="Arial" w:cs="Arial"/>
          <w:sz w:val="18"/>
          <w:szCs w:val="18"/>
        </w:rPr>
        <w:t xml:space="preserve">It is possible to link the basic salary, once established, to changes </w:t>
      </w:r>
      <w:r w:rsidR="00AB279D" w:rsidRPr="003B41B5">
        <w:rPr>
          <w:rFonts w:eastAsia="Arial" w:cs="Arial"/>
          <w:sz w:val="18"/>
          <w:szCs w:val="18"/>
        </w:rPr>
        <w:t>i</w:t>
      </w:r>
      <w:r w:rsidRPr="003B41B5">
        <w:rPr>
          <w:rFonts w:eastAsia="Arial" w:cs="Arial"/>
          <w:sz w:val="18"/>
          <w:szCs w:val="18"/>
        </w:rPr>
        <w:t>n a relevant</w:t>
      </w:r>
      <w:r w:rsidR="00AB279D" w:rsidRPr="003B41B5">
        <w:rPr>
          <w:rFonts w:eastAsia="Arial" w:cs="Arial"/>
          <w:sz w:val="18"/>
          <w:szCs w:val="18"/>
        </w:rPr>
        <w:t xml:space="preserve"> </w:t>
      </w:r>
      <w:r w:rsidRPr="003B41B5">
        <w:rPr>
          <w:rFonts w:eastAsia="Arial" w:cs="Arial"/>
          <w:sz w:val="18"/>
          <w:szCs w:val="18"/>
        </w:rPr>
        <w:t xml:space="preserve">ABS index. A </w:t>
      </w:r>
      <w:r w:rsidR="00AB279D" w:rsidRPr="003B41B5">
        <w:rPr>
          <w:rFonts w:eastAsia="Arial" w:cs="Arial"/>
          <w:sz w:val="18"/>
          <w:szCs w:val="18"/>
        </w:rPr>
        <w:t>number</w:t>
      </w:r>
      <w:r w:rsidRPr="003B41B5">
        <w:rPr>
          <w:rFonts w:eastAsia="Arial" w:cs="Arial"/>
          <w:sz w:val="18"/>
          <w:szCs w:val="18"/>
        </w:rPr>
        <w:t xml:space="preserve"> of options are discussed below.</w:t>
      </w:r>
    </w:p>
    <w:p w:rsidR="0080603F" w:rsidRPr="003B41B5" w:rsidRDefault="0080603F" w:rsidP="00D95A63">
      <w:pPr>
        <w:tabs>
          <w:tab w:val="left" w:pos="1060"/>
        </w:tabs>
        <w:spacing w:after="120"/>
        <w:ind w:left="716" w:right="-20"/>
        <w:jc w:val="both"/>
        <w:rPr>
          <w:rFonts w:eastAsia="Arial" w:cs="Arial"/>
          <w:sz w:val="18"/>
          <w:szCs w:val="18"/>
        </w:rPr>
      </w:pPr>
      <w:r w:rsidRPr="003B41B5">
        <w:rPr>
          <w:rFonts w:eastAsia="Arial" w:cs="Arial"/>
          <w:sz w:val="18"/>
          <w:szCs w:val="18"/>
        </w:rPr>
        <w:t>•</w:t>
      </w:r>
      <w:r w:rsidRPr="003B41B5">
        <w:rPr>
          <w:rFonts w:eastAsia="Arial" w:cs="Arial"/>
          <w:sz w:val="18"/>
          <w:szCs w:val="18"/>
        </w:rPr>
        <w:tab/>
        <w:t>Average weekly earnings (AWE)</w:t>
      </w:r>
    </w:p>
    <w:p w:rsidR="0080603F" w:rsidRPr="003B41B5" w:rsidRDefault="0080603F" w:rsidP="00D95A63">
      <w:pPr>
        <w:spacing w:after="120"/>
        <w:ind w:left="1151" w:right="175" w:hanging="5"/>
        <w:jc w:val="both"/>
        <w:rPr>
          <w:rFonts w:eastAsia="Arial" w:cs="Arial"/>
          <w:sz w:val="18"/>
          <w:szCs w:val="18"/>
        </w:rPr>
      </w:pPr>
      <w:r w:rsidRPr="003B41B5">
        <w:rPr>
          <w:rFonts w:eastAsia="Arial" w:cs="Arial"/>
          <w:sz w:val="18"/>
          <w:szCs w:val="18"/>
        </w:rPr>
        <w:t xml:space="preserve">The AWE survey is designed to </w:t>
      </w:r>
      <w:r w:rsidR="00AB279D" w:rsidRPr="003B41B5">
        <w:rPr>
          <w:rFonts w:eastAsia="Arial" w:cs="Arial"/>
          <w:sz w:val="18"/>
          <w:szCs w:val="18"/>
        </w:rPr>
        <w:t>measure</w:t>
      </w:r>
      <w:r w:rsidRPr="003B41B5">
        <w:rPr>
          <w:rFonts w:eastAsia="Arial" w:cs="Arial"/>
          <w:sz w:val="18"/>
          <w:szCs w:val="18"/>
        </w:rPr>
        <w:t xml:space="preserve"> the level of </w:t>
      </w:r>
      <w:r w:rsidR="00AB279D" w:rsidRPr="003B41B5">
        <w:rPr>
          <w:rFonts w:eastAsia="Arial" w:cs="Arial"/>
          <w:sz w:val="18"/>
          <w:szCs w:val="18"/>
        </w:rPr>
        <w:t>average</w:t>
      </w:r>
      <w:r w:rsidRPr="003B41B5">
        <w:rPr>
          <w:rFonts w:eastAsia="Arial" w:cs="Arial"/>
          <w:sz w:val="18"/>
          <w:szCs w:val="18"/>
        </w:rPr>
        <w:t xml:space="preserve"> </w:t>
      </w:r>
      <w:r w:rsidR="00AB279D" w:rsidRPr="003B41B5">
        <w:rPr>
          <w:rFonts w:eastAsia="Arial" w:cs="Arial"/>
          <w:sz w:val="18"/>
          <w:szCs w:val="18"/>
        </w:rPr>
        <w:t>earnings</w:t>
      </w:r>
      <w:r w:rsidRPr="003B41B5">
        <w:rPr>
          <w:rFonts w:eastAsia="Arial" w:cs="Arial"/>
          <w:sz w:val="18"/>
          <w:szCs w:val="18"/>
        </w:rPr>
        <w:t xml:space="preserve"> at </w:t>
      </w:r>
      <w:r w:rsidR="00AB279D" w:rsidRPr="003B41B5">
        <w:rPr>
          <w:rFonts w:eastAsia="Arial" w:cs="Arial"/>
          <w:sz w:val="18"/>
          <w:szCs w:val="18"/>
        </w:rPr>
        <w:t>a point</w:t>
      </w:r>
      <w:r w:rsidRPr="003B41B5">
        <w:rPr>
          <w:rFonts w:eastAsia="Arial" w:cs="Arial"/>
          <w:sz w:val="18"/>
          <w:szCs w:val="18"/>
        </w:rPr>
        <w:t xml:space="preserve"> </w:t>
      </w:r>
      <w:r w:rsidR="00AB279D" w:rsidRPr="003B41B5">
        <w:rPr>
          <w:rFonts w:eastAsia="Arial" w:cs="Arial"/>
          <w:sz w:val="18"/>
          <w:szCs w:val="18"/>
        </w:rPr>
        <w:t xml:space="preserve">in time.  </w:t>
      </w:r>
      <w:r w:rsidRPr="003B41B5">
        <w:rPr>
          <w:rFonts w:eastAsia="Arial" w:cs="Arial"/>
          <w:sz w:val="18"/>
          <w:szCs w:val="18"/>
        </w:rPr>
        <w:t xml:space="preserve">AWE </w:t>
      </w:r>
      <w:r w:rsidR="00AB279D" w:rsidRPr="003B41B5">
        <w:rPr>
          <w:rFonts w:eastAsia="Arial" w:cs="Arial"/>
          <w:sz w:val="18"/>
          <w:szCs w:val="18"/>
        </w:rPr>
        <w:t>statistics</w:t>
      </w:r>
      <w:r w:rsidRPr="003B41B5">
        <w:rPr>
          <w:rFonts w:eastAsia="Arial" w:cs="Arial"/>
          <w:sz w:val="18"/>
          <w:szCs w:val="18"/>
        </w:rPr>
        <w:t xml:space="preserve"> </w:t>
      </w:r>
      <w:r w:rsidR="00AB279D" w:rsidRPr="003B41B5">
        <w:rPr>
          <w:rFonts w:eastAsia="Arial" w:cs="Arial"/>
          <w:sz w:val="18"/>
          <w:szCs w:val="18"/>
        </w:rPr>
        <w:t xml:space="preserve">represent </w:t>
      </w:r>
      <w:r w:rsidRPr="003B41B5">
        <w:rPr>
          <w:rFonts w:eastAsia="Arial" w:cs="Arial"/>
          <w:sz w:val="18"/>
          <w:szCs w:val="18"/>
        </w:rPr>
        <w:t>avera</w:t>
      </w:r>
      <w:r w:rsidR="00AB279D" w:rsidRPr="003B41B5">
        <w:rPr>
          <w:rFonts w:eastAsia="Arial" w:cs="Arial"/>
          <w:sz w:val="18"/>
          <w:szCs w:val="18"/>
        </w:rPr>
        <w:t>ge gross</w:t>
      </w:r>
      <w:r w:rsidRPr="003B41B5">
        <w:rPr>
          <w:rFonts w:eastAsia="Arial" w:cs="Arial"/>
          <w:sz w:val="18"/>
          <w:szCs w:val="18"/>
        </w:rPr>
        <w:t xml:space="preserve"> </w:t>
      </w:r>
      <w:r w:rsidR="00AB279D" w:rsidRPr="003B41B5">
        <w:rPr>
          <w:rFonts w:eastAsia="Arial" w:cs="Arial"/>
          <w:sz w:val="18"/>
          <w:szCs w:val="18"/>
        </w:rPr>
        <w:t>earnings</w:t>
      </w:r>
      <w:r w:rsidRPr="003B41B5">
        <w:rPr>
          <w:rFonts w:eastAsia="Arial" w:cs="Arial"/>
          <w:sz w:val="18"/>
          <w:szCs w:val="18"/>
        </w:rPr>
        <w:t xml:space="preserve"> of employees and do </w:t>
      </w:r>
      <w:r w:rsidR="00AB279D" w:rsidRPr="003B41B5">
        <w:rPr>
          <w:rFonts w:eastAsia="Arial" w:cs="Arial"/>
          <w:sz w:val="18"/>
          <w:szCs w:val="18"/>
        </w:rPr>
        <w:t>not</w:t>
      </w:r>
      <w:r w:rsidRPr="003B41B5">
        <w:rPr>
          <w:rFonts w:eastAsia="Arial" w:cs="Arial"/>
          <w:sz w:val="18"/>
          <w:szCs w:val="18"/>
        </w:rPr>
        <w:t xml:space="preserve"> relate to average award </w:t>
      </w:r>
      <w:r w:rsidR="00AB279D" w:rsidRPr="003B41B5">
        <w:rPr>
          <w:rFonts w:eastAsia="Arial" w:cs="Arial"/>
          <w:sz w:val="18"/>
          <w:szCs w:val="18"/>
        </w:rPr>
        <w:t>rates</w:t>
      </w:r>
      <w:r w:rsidRPr="003B41B5">
        <w:rPr>
          <w:rFonts w:eastAsia="Arial" w:cs="Arial"/>
          <w:sz w:val="18"/>
          <w:szCs w:val="18"/>
        </w:rPr>
        <w:t xml:space="preserve"> or to the earnings of the 'average person.' AWE estimates are </w:t>
      </w:r>
      <w:r w:rsidR="00AB279D" w:rsidRPr="003B41B5">
        <w:rPr>
          <w:rFonts w:eastAsia="Arial" w:cs="Arial"/>
          <w:sz w:val="18"/>
          <w:szCs w:val="18"/>
        </w:rPr>
        <w:t>derived</w:t>
      </w:r>
      <w:r w:rsidRPr="003B41B5">
        <w:rPr>
          <w:rFonts w:eastAsia="Arial" w:cs="Arial"/>
          <w:sz w:val="18"/>
          <w:szCs w:val="18"/>
        </w:rPr>
        <w:t xml:space="preserve"> by dividing estimates of weekly total </w:t>
      </w:r>
      <w:r w:rsidR="00AB279D" w:rsidRPr="003B41B5">
        <w:rPr>
          <w:rFonts w:eastAsia="Arial" w:cs="Arial"/>
          <w:sz w:val="18"/>
          <w:szCs w:val="18"/>
        </w:rPr>
        <w:t>earnings</w:t>
      </w:r>
      <w:r w:rsidRPr="003B41B5">
        <w:rPr>
          <w:rFonts w:eastAsia="Arial" w:cs="Arial"/>
          <w:sz w:val="18"/>
          <w:szCs w:val="18"/>
        </w:rPr>
        <w:t xml:space="preserve"> by </w:t>
      </w:r>
      <w:r w:rsidR="00AB279D" w:rsidRPr="003B41B5">
        <w:rPr>
          <w:rFonts w:eastAsia="Arial" w:cs="Arial"/>
          <w:sz w:val="18"/>
          <w:szCs w:val="18"/>
        </w:rPr>
        <w:t>estimates</w:t>
      </w:r>
      <w:r w:rsidRPr="003B41B5">
        <w:rPr>
          <w:rFonts w:eastAsia="Arial" w:cs="Arial"/>
          <w:sz w:val="18"/>
          <w:szCs w:val="18"/>
        </w:rPr>
        <w:t xml:space="preserve"> of the </w:t>
      </w:r>
      <w:r w:rsidR="00AB279D" w:rsidRPr="003B41B5">
        <w:rPr>
          <w:rFonts w:eastAsia="Arial" w:cs="Arial"/>
          <w:sz w:val="18"/>
          <w:szCs w:val="18"/>
        </w:rPr>
        <w:t>number</w:t>
      </w:r>
      <w:r w:rsidRPr="003B41B5">
        <w:rPr>
          <w:rFonts w:eastAsia="Arial" w:cs="Arial"/>
          <w:sz w:val="18"/>
          <w:szCs w:val="18"/>
        </w:rPr>
        <w:t xml:space="preserve"> of </w:t>
      </w:r>
      <w:r w:rsidR="00AB279D" w:rsidRPr="003B41B5">
        <w:rPr>
          <w:rFonts w:eastAsia="Arial" w:cs="Arial"/>
          <w:sz w:val="18"/>
          <w:szCs w:val="18"/>
        </w:rPr>
        <w:lastRenderedPageBreak/>
        <w:t>employees.</w:t>
      </w:r>
      <w:r w:rsidRPr="003B41B5">
        <w:rPr>
          <w:rFonts w:eastAsia="Arial" w:cs="Arial"/>
          <w:sz w:val="18"/>
          <w:szCs w:val="18"/>
        </w:rPr>
        <w:t xml:space="preserve"> </w:t>
      </w:r>
      <w:r w:rsidR="00AB279D" w:rsidRPr="003B41B5">
        <w:rPr>
          <w:rFonts w:eastAsia="Arial" w:cs="Arial"/>
          <w:sz w:val="18"/>
          <w:szCs w:val="18"/>
        </w:rPr>
        <w:t>Changes in</w:t>
      </w:r>
      <w:r w:rsidRPr="003B41B5">
        <w:rPr>
          <w:rFonts w:eastAsia="Arial" w:cs="Arial"/>
          <w:sz w:val="18"/>
          <w:szCs w:val="18"/>
        </w:rPr>
        <w:t xml:space="preserve"> the </w:t>
      </w:r>
      <w:r w:rsidR="00AB279D" w:rsidRPr="003B41B5">
        <w:rPr>
          <w:rFonts w:eastAsia="Arial" w:cs="Arial"/>
          <w:sz w:val="18"/>
          <w:szCs w:val="18"/>
        </w:rPr>
        <w:t xml:space="preserve">averages </w:t>
      </w:r>
      <w:r w:rsidRPr="003B41B5">
        <w:rPr>
          <w:rFonts w:eastAsia="Arial" w:cs="Arial"/>
          <w:sz w:val="18"/>
          <w:szCs w:val="18"/>
        </w:rPr>
        <w:t xml:space="preserve">may be </w:t>
      </w:r>
      <w:r w:rsidR="00AB279D" w:rsidRPr="003B41B5">
        <w:rPr>
          <w:rFonts w:eastAsia="Arial" w:cs="Arial"/>
          <w:sz w:val="18"/>
          <w:szCs w:val="18"/>
        </w:rPr>
        <w:t xml:space="preserve">affected </w:t>
      </w:r>
      <w:r w:rsidRPr="003B41B5">
        <w:rPr>
          <w:rFonts w:eastAsia="Arial" w:cs="Arial"/>
          <w:sz w:val="18"/>
          <w:szCs w:val="18"/>
        </w:rPr>
        <w:t xml:space="preserve">not </w:t>
      </w:r>
      <w:r w:rsidR="00AB279D" w:rsidRPr="003B41B5">
        <w:rPr>
          <w:rFonts w:eastAsia="Arial" w:cs="Arial"/>
          <w:sz w:val="18"/>
          <w:szCs w:val="18"/>
        </w:rPr>
        <w:t>only</w:t>
      </w:r>
      <w:r w:rsidRPr="003B41B5">
        <w:rPr>
          <w:rFonts w:eastAsia="Arial" w:cs="Arial"/>
          <w:sz w:val="18"/>
          <w:szCs w:val="18"/>
        </w:rPr>
        <w:t xml:space="preserve"> </w:t>
      </w:r>
      <w:r w:rsidR="00AB279D" w:rsidRPr="003B41B5">
        <w:rPr>
          <w:rFonts w:eastAsia="Arial" w:cs="Arial"/>
          <w:sz w:val="18"/>
          <w:szCs w:val="18"/>
        </w:rPr>
        <w:t>by</w:t>
      </w:r>
      <w:r w:rsidRPr="003B41B5">
        <w:rPr>
          <w:rFonts w:eastAsia="Arial" w:cs="Arial"/>
          <w:sz w:val="18"/>
          <w:szCs w:val="18"/>
        </w:rPr>
        <w:t xml:space="preserve"> </w:t>
      </w:r>
      <w:r w:rsidR="00AB279D" w:rsidRPr="003B41B5">
        <w:rPr>
          <w:rFonts w:eastAsia="Arial" w:cs="Arial"/>
          <w:sz w:val="18"/>
          <w:szCs w:val="18"/>
        </w:rPr>
        <w:t>changes</w:t>
      </w:r>
      <w:r w:rsidRPr="003B41B5">
        <w:rPr>
          <w:rFonts w:eastAsia="Arial" w:cs="Arial"/>
          <w:sz w:val="18"/>
          <w:szCs w:val="18"/>
        </w:rPr>
        <w:t xml:space="preserve"> </w:t>
      </w:r>
      <w:r w:rsidR="00AB279D" w:rsidRPr="003B41B5">
        <w:rPr>
          <w:rFonts w:eastAsia="Arial" w:cs="Arial"/>
          <w:sz w:val="18"/>
          <w:szCs w:val="18"/>
        </w:rPr>
        <w:t>in</w:t>
      </w:r>
      <w:r w:rsidR="00513633">
        <w:rPr>
          <w:rFonts w:eastAsia="Arial" w:cs="Arial"/>
          <w:sz w:val="18"/>
          <w:szCs w:val="18"/>
        </w:rPr>
        <w:t xml:space="preserve"> the level </w:t>
      </w:r>
      <w:r w:rsidR="00AB279D" w:rsidRPr="003B41B5">
        <w:rPr>
          <w:rFonts w:eastAsia="Arial" w:cs="Arial"/>
          <w:sz w:val="18"/>
          <w:szCs w:val="18"/>
        </w:rPr>
        <w:t>of earnings</w:t>
      </w:r>
      <w:r w:rsidRPr="003B41B5">
        <w:rPr>
          <w:rFonts w:eastAsia="Arial" w:cs="Arial"/>
          <w:sz w:val="18"/>
          <w:szCs w:val="18"/>
        </w:rPr>
        <w:t xml:space="preserve"> of </w:t>
      </w:r>
      <w:r w:rsidR="00AB279D" w:rsidRPr="003B41B5">
        <w:rPr>
          <w:rFonts w:eastAsia="Arial" w:cs="Arial"/>
          <w:sz w:val="18"/>
          <w:szCs w:val="18"/>
        </w:rPr>
        <w:t>employees</w:t>
      </w:r>
      <w:r w:rsidRPr="003B41B5">
        <w:rPr>
          <w:rFonts w:eastAsia="Arial" w:cs="Arial"/>
          <w:sz w:val="18"/>
          <w:szCs w:val="18"/>
        </w:rPr>
        <w:t xml:space="preserve"> but </w:t>
      </w:r>
      <w:r w:rsidR="00AB279D" w:rsidRPr="003B41B5">
        <w:rPr>
          <w:rFonts w:eastAsia="Arial" w:cs="Arial"/>
          <w:sz w:val="18"/>
          <w:szCs w:val="18"/>
        </w:rPr>
        <w:t>also</w:t>
      </w:r>
      <w:r w:rsidRPr="003B41B5">
        <w:rPr>
          <w:rFonts w:eastAsia="Arial" w:cs="Arial"/>
          <w:sz w:val="18"/>
          <w:szCs w:val="18"/>
        </w:rPr>
        <w:t xml:space="preserve"> by </w:t>
      </w:r>
      <w:r w:rsidR="00AB279D" w:rsidRPr="003B41B5">
        <w:rPr>
          <w:rFonts w:eastAsia="Arial" w:cs="Arial"/>
          <w:sz w:val="18"/>
          <w:szCs w:val="18"/>
        </w:rPr>
        <w:t>changes</w:t>
      </w:r>
      <w:r w:rsidRPr="003B41B5">
        <w:rPr>
          <w:rFonts w:eastAsia="Arial" w:cs="Arial"/>
          <w:sz w:val="18"/>
          <w:szCs w:val="18"/>
        </w:rPr>
        <w:t xml:space="preserve"> </w:t>
      </w:r>
      <w:r w:rsidR="00AB279D" w:rsidRPr="003B41B5">
        <w:rPr>
          <w:rFonts w:eastAsia="Arial" w:cs="Arial"/>
          <w:sz w:val="18"/>
          <w:szCs w:val="18"/>
        </w:rPr>
        <w:t>in</w:t>
      </w:r>
      <w:r w:rsidRPr="003B41B5">
        <w:rPr>
          <w:rFonts w:eastAsia="Arial" w:cs="Arial"/>
          <w:sz w:val="18"/>
          <w:szCs w:val="18"/>
        </w:rPr>
        <w:t xml:space="preserve"> </w:t>
      </w:r>
      <w:r w:rsidR="00AB279D" w:rsidRPr="003B41B5">
        <w:rPr>
          <w:rFonts w:eastAsia="Arial" w:cs="Arial"/>
          <w:sz w:val="18"/>
          <w:szCs w:val="18"/>
        </w:rPr>
        <w:t>the</w:t>
      </w:r>
      <w:r w:rsidRPr="003B41B5">
        <w:rPr>
          <w:rFonts w:eastAsia="Arial" w:cs="Arial"/>
          <w:sz w:val="18"/>
          <w:szCs w:val="18"/>
        </w:rPr>
        <w:t xml:space="preserve"> overall </w:t>
      </w:r>
      <w:r w:rsidR="00AB279D" w:rsidRPr="003B41B5">
        <w:rPr>
          <w:rFonts w:eastAsia="Arial" w:cs="Arial"/>
          <w:sz w:val="18"/>
          <w:szCs w:val="18"/>
        </w:rPr>
        <w:t>composition</w:t>
      </w:r>
      <w:r w:rsidRPr="003B41B5">
        <w:rPr>
          <w:rFonts w:eastAsia="Arial" w:cs="Arial"/>
          <w:sz w:val="18"/>
          <w:szCs w:val="18"/>
        </w:rPr>
        <w:t xml:space="preserve"> of the wage and salary earner segment  of the workforce.</w:t>
      </w:r>
    </w:p>
    <w:p w:rsidR="0080603F" w:rsidRPr="003B41B5" w:rsidRDefault="0080603F" w:rsidP="00D95A63">
      <w:pPr>
        <w:spacing w:after="120"/>
        <w:ind w:left="1151" w:right="176"/>
        <w:jc w:val="both"/>
        <w:rPr>
          <w:rFonts w:eastAsia="Arial" w:cs="Arial"/>
          <w:sz w:val="18"/>
          <w:szCs w:val="18"/>
        </w:rPr>
      </w:pPr>
      <w:r w:rsidRPr="003B41B5">
        <w:rPr>
          <w:rFonts w:eastAsia="Arial" w:cs="Arial"/>
          <w:sz w:val="18"/>
          <w:szCs w:val="18"/>
        </w:rPr>
        <w:t>There are several factors w</w:t>
      </w:r>
      <w:r w:rsidR="00AB279D" w:rsidRPr="003B41B5">
        <w:rPr>
          <w:rFonts w:eastAsia="Arial" w:cs="Arial"/>
          <w:sz w:val="18"/>
          <w:szCs w:val="18"/>
        </w:rPr>
        <w:t>hich</w:t>
      </w:r>
      <w:r w:rsidRPr="003B41B5">
        <w:rPr>
          <w:rFonts w:eastAsia="Arial" w:cs="Arial"/>
          <w:sz w:val="18"/>
          <w:szCs w:val="18"/>
        </w:rPr>
        <w:t xml:space="preserve"> can contribute to compositional </w:t>
      </w:r>
      <w:r w:rsidR="00AB279D" w:rsidRPr="003B41B5">
        <w:rPr>
          <w:rFonts w:eastAsia="Arial" w:cs="Arial"/>
          <w:sz w:val="18"/>
          <w:szCs w:val="18"/>
        </w:rPr>
        <w:t xml:space="preserve">changes, including </w:t>
      </w:r>
      <w:r w:rsidRPr="003B41B5">
        <w:rPr>
          <w:rFonts w:eastAsia="Arial" w:cs="Arial"/>
          <w:sz w:val="18"/>
          <w:szCs w:val="18"/>
        </w:rPr>
        <w:t xml:space="preserve">variations over </w:t>
      </w:r>
      <w:r w:rsidR="00AB279D" w:rsidRPr="003B41B5">
        <w:rPr>
          <w:rFonts w:eastAsia="Arial" w:cs="Arial"/>
          <w:sz w:val="18"/>
          <w:szCs w:val="18"/>
        </w:rPr>
        <w:t xml:space="preserve">time </w:t>
      </w:r>
      <w:r w:rsidRPr="003B41B5">
        <w:rPr>
          <w:rFonts w:eastAsia="Arial" w:cs="Arial"/>
          <w:sz w:val="18"/>
          <w:szCs w:val="18"/>
        </w:rPr>
        <w:t xml:space="preserve">in  </w:t>
      </w:r>
      <w:r w:rsidR="00AB279D" w:rsidRPr="003B41B5">
        <w:rPr>
          <w:rFonts w:eastAsia="Arial" w:cs="Arial"/>
          <w:sz w:val="18"/>
          <w:szCs w:val="18"/>
        </w:rPr>
        <w:t>the</w:t>
      </w:r>
      <w:r w:rsidRPr="003B41B5">
        <w:rPr>
          <w:rFonts w:eastAsia="Arial" w:cs="Arial"/>
          <w:sz w:val="18"/>
          <w:szCs w:val="18"/>
        </w:rPr>
        <w:t xml:space="preserve"> proportion of </w:t>
      </w:r>
      <w:r w:rsidR="00AB279D" w:rsidRPr="003B41B5">
        <w:rPr>
          <w:rFonts w:eastAsia="Arial" w:cs="Arial"/>
          <w:sz w:val="18"/>
          <w:szCs w:val="18"/>
        </w:rPr>
        <w:t>full</w:t>
      </w:r>
      <w:r w:rsidRPr="003B41B5">
        <w:rPr>
          <w:rFonts w:eastAsia="Arial" w:cs="Arial"/>
          <w:sz w:val="18"/>
          <w:szCs w:val="18"/>
        </w:rPr>
        <w:t xml:space="preserve">-time, </w:t>
      </w:r>
      <w:r w:rsidR="00AB279D" w:rsidRPr="003B41B5">
        <w:rPr>
          <w:rFonts w:eastAsia="Arial" w:cs="Arial"/>
          <w:sz w:val="18"/>
          <w:szCs w:val="18"/>
        </w:rPr>
        <w:t>part-time, casual</w:t>
      </w:r>
      <w:r w:rsidRPr="003B41B5">
        <w:rPr>
          <w:rFonts w:eastAsia="Arial" w:cs="Arial"/>
          <w:sz w:val="18"/>
          <w:szCs w:val="18"/>
        </w:rPr>
        <w:t xml:space="preserve"> and </w:t>
      </w:r>
      <w:r w:rsidR="00AB279D" w:rsidRPr="003B41B5">
        <w:rPr>
          <w:rFonts w:eastAsia="Arial" w:cs="Arial"/>
          <w:sz w:val="18"/>
          <w:szCs w:val="18"/>
        </w:rPr>
        <w:t>junior</w:t>
      </w:r>
      <w:r w:rsidRPr="003B41B5">
        <w:rPr>
          <w:rFonts w:eastAsia="Arial" w:cs="Arial"/>
          <w:sz w:val="18"/>
          <w:szCs w:val="18"/>
        </w:rPr>
        <w:t xml:space="preserve"> employees; variations in occupational distribution, </w:t>
      </w:r>
      <w:r w:rsidR="00AB279D" w:rsidRPr="003B41B5">
        <w:rPr>
          <w:rFonts w:eastAsia="Arial" w:cs="Arial"/>
          <w:sz w:val="18"/>
          <w:szCs w:val="18"/>
        </w:rPr>
        <w:t>and variations</w:t>
      </w:r>
      <w:r w:rsidRPr="003B41B5">
        <w:rPr>
          <w:rFonts w:eastAsia="Arial" w:cs="Arial"/>
          <w:sz w:val="18"/>
          <w:szCs w:val="18"/>
        </w:rPr>
        <w:t xml:space="preserve"> </w:t>
      </w:r>
      <w:r w:rsidR="00AB279D" w:rsidRPr="003B41B5">
        <w:rPr>
          <w:rFonts w:eastAsia="Arial" w:cs="Arial"/>
          <w:sz w:val="18"/>
          <w:szCs w:val="18"/>
        </w:rPr>
        <w:t>in</w:t>
      </w:r>
      <w:r w:rsidRPr="003B41B5">
        <w:rPr>
          <w:rFonts w:eastAsia="Arial" w:cs="Arial"/>
          <w:sz w:val="18"/>
          <w:szCs w:val="18"/>
        </w:rPr>
        <w:t xml:space="preserve"> </w:t>
      </w:r>
      <w:r w:rsidR="00AB279D" w:rsidRPr="003B41B5">
        <w:rPr>
          <w:rFonts w:eastAsia="Arial" w:cs="Arial"/>
          <w:sz w:val="18"/>
          <w:szCs w:val="18"/>
        </w:rPr>
        <w:t>the</w:t>
      </w:r>
      <w:r w:rsidRPr="003B41B5">
        <w:rPr>
          <w:rFonts w:eastAsia="Arial" w:cs="Arial"/>
          <w:sz w:val="18"/>
          <w:szCs w:val="18"/>
        </w:rPr>
        <w:t xml:space="preserve"> distribution of employ</w:t>
      </w:r>
      <w:r w:rsidR="00AB279D" w:rsidRPr="003B41B5">
        <w:rPr>
          <w:rFonts w:eastAsia="Arial" w:cs="Arial"/>
          <w:sz w:val="18"/>
          <w:szCs w:val="18"/>
        </w:rPr>
        <w:t>ment</w:t>
      </w:r>
      <w:r w:rsidRPr="003B41B5">
        <w:rPr>
          <w:rFonts w:eastAsia="Arial" w:cs="Arial"/>
          <w:sz w:val="18"/>
          <w:szCs w:val="18"/>
        </w:rPr>
        <w:t xml:space="preserve"> </w:t>
      </w:r>
      <w:r w:rsidR="00AB279D" w:rsidRPr="003B41B5">
        <w:rPr>
          <w:rFonts w:eastAsia="Arial" w:cs="Arial"/>
          <w:sz w:val="18"/>
          <w:szCs w:val="18"/>
        </w:rPr>
        <w:t>between</w:t>
      </w:r>
      <w:r w:rsidRPr="003B41B5">
        <w:rPr>
          <w:rFonts w:eastAsia="Arial" w:cs="Arial"/>
          <w:sz w:val="18"/>
          <w:szCs w:val="18"/>
        </w:rPr>
        <w:t xml:space="preserve"> industries.  </w:t>
      </w:r>
      <w:r w:rsidR="00AB279D" w:rsidRPr="003B41B5">
        <w:rPr>
          <w:rFonts w:eastAsia="Arial" w:cs="Arial"/>
          <w:sz w:val="18"/>
          <w:szCs w:val="18"/>
        </w:rPr>
        <w:t>Such effects</w:t>
      </w:r>
      <w:r w:rsidRPr="003B41B5">
        <w:rPr>
          <w:rFonts w:eastAsia="Arial" w:cs="Arial"/>
          <w:sz w:val="18"/>
          <w:szCs w:val="18"/>
        </w:rPr>
        <w:t xml:space="preserve"> </w:t>
      </w:r>
      <w:r w:rsidR="00AB279D" w:rsidRPr="003B41B5">
        <w:rPr>
          <w:rFonts w:eastAsia="Arial" w:cs="Arial"/>
          <w:sz w:val="18"/>
          <w:szCs w:val="18"/>
        </w:rPr>
        <w:t>may</w:t>
      </w:r>
      <w:r w:rsidRPr="003B41B5">
        <w:rPr>
          <w:rFonts w:eastAsia="Arial" w:cs="Arial"/>
          <w:sz w:val="18"/>
          <w:szCs w:val="18"/>
        </w:rPr>
        <w:t xml:space="preserve"> </w:t>
      </w:r>
      <w:r w:rsidR="00AB279D" w:rsidRPr="003B41B5">
        <w:rPr>
          <w:rFonts w:eastAsia="Arial" w:cs="Arial"/>
          <w:sz w:val="18"/>
          <w:szCs w:val="18"/>
        </w:rPr>
        <w:t>apply</w:t>
      </w:r>
      <w:r w:rsidRPr="003B41B5">
        <w:rPr>
          <w:rFonts w:eastAsia="Arial" w:cs="Arial"/>
          <w:sz w:val="18"/>
          <w:szCs w:val="18"/>
        </w:rPr>
        <w:t xml:space="preserve"> differently </w:t>
      </w:r>
      <w:r w:rsidR="00AB279D" w:rsidRPr="003B41B5">
        <w:rPr>
          <w:rFonts w:eastAsia="Arial" w:cs="Arial"/>
          <w:sz w:val="18"/>
          <w:szCs w:val="18"/>
        </w:rPr>
        <w:t xml:space="preserve">within different </w:t>
      </w:r>
      <w:r w:rsidRPr="003B41B5">
        <w:rPr>
          <w:rFonts w:eastAsia="Arial" w:cs="Arial"/>
          <w:sz w:val="18"/>
          <w:szCs w:val="18"/>
        </w:rPr>
        <w:t xml:space="preserve">states </w:t>
      </w:r>
      <w:r w:rsidR="00AB279D" w:rsidRPr="003B41B5">
        <w:rPr>
          <w:rFonts w:eastAsia="Arial" w:cs="Arial"/>
          <w:sz w:val="18"/>
          <w:szCs w:val="18"/>
        </w:rPr>
        <w:t>and</w:t>
      </w:r>
      <w:r w:rsidRPr="003B41B5">
        <w:rPr>
          <w:rFonts w:eastAsia="Arial" w:cs="Arial"/>
          <w:sz w:val="18"/>
          <w:szCs w:val="18"/>
        </w:rPr>
        <w:t xml:space="preserve"> territories, and over time. There are three indices in this series:</w:t>
      </w:r>
    </w:p>
    <w:p w:rsidR="0080603F" w:rsidRPr="003B41B5" w:rsidRDefault="0080603F" w:rsidP="00591E6D">
      <w:pPr>
        <w:numPr>
          <w:ilvl w:val="2"/>
          <w:numId w:val="8"/>
        </w:numPr>
        <w:spacing w:after="120"/>
        <w:ind w:right="-20"/>
        <w:jc w:val="both"/>
        <w:rPr>
          <w:rFonts w:eastAsia="Arial" w:cs="Arial"/>
          <w:sz w:val="18"/>
          <w:szCs w:val="18"/>
        </w:rPr>
      </w:pPr>
      <w:r w:rsidRPr="003B41B5">
        <w:rPr>
          <w:rFonts w:eastAsia="Arial" w:cs="Arial"/>
          <w:sz w:val="18"/>
          <w:szCs w:val="18"/>
        </w:rPr>
        <w:t>Earnings, Persons, Full-Time,</w:t>
      </w:r>
      <w:r w:rsidR="00AB279D" w:rsidRPr="003B41B5">
        <w:rPr>
          <w:rFonts w:eastAsia="Arial" w:cs="Arial"/>
          <w:sz w:val="18"/>
          <w:szCs w:val="18"/>
        </w:rPr>
        <w:t xml:space="preserve"> </w:t>
      </w:r>
      <w:r w:rsidRPr="003B41B5">
        <w:rPr>
          <w:rFonts w:eastAsia="Arial" w:cs="Arial"/>
          <w:sz w:val="18"/>
          <w:szCs w:val="18"/>
        </w:rPr>
        <w:t>Total Earnings</w:t>
      </w:r>
    </w:p>
    <w:p w:rsidR="00AB279D" w:rsidRPr="003B41B5" w:rsidRDefault="00AB279D" w:rsidP="00591E6D">
      <w:pPr>
        <w:numPr>
          <w:ilvl w:val="2"/>
          <w:numId w:val="8"/>
        </w:numPr>
        <w:spacing w:after="120"/>
        <w:ind w:right="-20"/>
        <w:jc w:val="both"/>
        <w:rPr>
          <w:rFonts w:eastAsia="Arial" w:cs="Arial"/>
          <w:sz w:val="18"/>
          <w:szCs w:val="18"/>
        </w:rPr>
      </w:pPr>
      <w:r w:rsidRPr="003B41B5">
        <w:rPr>
          <w:rFonts w:eastAsia="Arial" w:cs="Arial"/>
          <w:sz w:val="18"/>
          <w:szCs w:val="18"/>
        </w:rPr>
        <w:t>Earnings, Persons, Full-Time, Ordinary Time Earnings (this excludes overtime)</w:t>
      </w:r>
    </w:p>
    <w:p w:rsidR="0080603F" w:rsidRPr="003B41B5" w:rsidRDefault="0080603F" w:rsidP="00591E6D">
      <w:pPr>
        <w:numPr>
          <w:ilvl w:val="2"/>
          <w:numId w:val="8"/>
        </w:numPr>
        <w:spacing w:after="120"/>
        <w:ind w:right="317"/>
        <w:jc w:val="both"/>
        <w:rPr>
          <w:rFonts w:eastAsia="Arial" w:cs="Arial"/>
          <w:sz w:val="18"/>
          <w:szCs w:val="18"/>
        </w:rPr>
      </w:pPr>
      <w:r w:rsidRPr="003B41B5">
        <w:rPr>
          <w:rFonts w:eastAsia="Arial" w:cs="Arial"/>
          <w:sz w:val="18"/>
          <w:szCs w:val="18"/>
        </w:rPr>
        <w:t>Earnings, Persons, Total Earnings (</w:t>
      </w:r>
      <w:r w:rsidR="00296756" w:rsidRPr="003B41B5">
        <w:rPr>
          <w:rFonts w:eastAsia="Arial" w:cs="Arial"/>
          <w:sz w:val="18"/>
          <w:szCs w:val="18"/>
        </w:rPr>
        <w:t xml:space="preserve">this </w:t>
      </w:r>
      <w:r w:rsidR="00513633">
        <w:rPr>
          <w:rFonts w:eastAsia="Arial" w:cs="Arial"/>
          <w:sz w:val="18"/>
          <w:szCs w:val="18"/>
        </w:rPr>
        <w:t>includes</w:t>
      </w:r>
      <w:r w:rsidRPr="003B41B5">
        <w:rPr>
          <w:rFonts w:eastAsia="Arial" w:cs="Arial"/>
          <w:sz w:val="18"/>
          <w:szCs w:val="18"/>
        </w:rPr>
        <w:t xml:space="preserve"> part-time, casual and </w:t>
      </w:r>
      <w:r w:rsidR="00AB279D" w:rsidRPr="003B41B5">
        <w:rPr>
          <w:rFonts w:eastAsia="Arial" w:cs="Arial"/>
          <w:sz w:val="18"/>
          <w:szCs w:val="18"/>
        </w:rPr>
        <w:t>junior</w:t>
      </w:r>
      <w:r w:rsidRPr="003B41B5">
        <w:rPr>
          <w:rFonts w:eastAsia="Arial" w:cs="Arial"/>
          <w:sz w:val="18"/>
          <w:szCs w:val="18"/>
        </w:rPr>
        <w:t xml:space="preserve"> employees).</w:t>
      </w:r>
    </w:p>
    <w:p w:rsidR="0080603F" w:rsidRPr="003B41B5" w:rsidRDefault="0080603F" w:rsidP="00D95A63">
      <w:pPr>
        <w:tabs>
          <w:tab w:val="left" w:pos="1140"/>
        </w:tabs>
        <w:spacing w:after="120"/>
        <w:ind w:left="795" w:right="-20"/>
        <w:jc w:val="both"/>
        <w:rPr>
          <w:rFonts w:eastAsia="Arial" w:cs="Arial"/>
          <w:sz w:val="18"/>
          <w:szCs w:val="18"/>
        </w:rPr>
      </w:pPr>
      <w:r w:rsidRPr="003B41B5">
        <w:rPr>
          <w:rFonts w:eastAsia="Arial" w:cs="Arial"/>
          <w:sz w:val="18"/>
          <w:szCs w:val="18"/>
        </w:rPr>
        <w:t>•</w:t>
      </w:r>
      <w:r w:rsidRPr="003B41B5">
        <w:rPr>
          <w:rFonts w:eastAsia="Arial" w:cs="Arial"/>
          <w:sz w:val="18"/>
          <w:szCs w:val="18"/>
        </w:rPr>
        <w:tab/>
        <w:t>Wage Price Index (WPI)</w:t>
      </w:r>
    </w:p>
    <w:p w:rsidR="0080603F" w:rsidRPr="003B41B5" w:rsidRDefault="0080603F" w:rsidP="00D95A63">
      <w:pPr>
        <w:spacing w:after="120"/>
        <w:ind w:left="1151" w:right="170" w:hanging="9"/>
        <w:jc w:val="both"/>
        <w:rPr>
          <w:rFonts w:eastAsia="Arial" w:cs="Arial"/>
          <w:sz w:val="18"/>
          <w:szCs w:val="18"/>
        </w:rPr>
      </w:pPr>
      <w:r w:rsidRPr="003B41B5">
        <w:rPr>
          <w:rFonts w:eastAsia="Arial" w:cs="Arial"/>
          <w:sz w:val="18"/>
          <w:szCs w:val="18"/>
        </w:rPr>
        <w:t>The WPI</w:t>
      </w:r>
      <w:r w:rsidR="00267AAF" w:rsidRPr="003B41B5">
        <w:rPr>
          <w:rFonts w:eastAsia="Arial" w:cs="Arial"/>
          <w:sz w:val="18"/>
          <w:szCs w:val="18"/>
        </w:rPr>
        <w:t xml:space="preserve"> i</w:t>
      </w:r>
      <w:r w:rsidRPr="003B41B5">
        <w:rPr>
          <w:rFonts w:eastAsia="Arial" w:cs="Arial"/>
          <w:sz w:val="18"/>
          <w:szCs w:val="18"/>
        </w:rPr>
        <w:t xml:space="preserve">s a price index </w:t>
      </w:r>
      <w:r w:rsidR="00AB279D" w:rsidRPr="003B41B5">
        <w:rPr>
          <w:rFonts w:eastAsia="Arial" w:cs="Arial"/>
          <w:sz w:val="18"/>
          <w:szCs w:val="18"/>
        </w:rPr>
        <w:t>designed</w:t>
      </w:r>
      <w:r w:rsidRPr="003B41B5">
        <w:rPr>
          <w:rFonts w:eastAsia="Arial" w:cs="Arial"/>
          <w:sz w:val="18"/>
          <w:szCs w:val="18"/>
        </w:rPr>
        <w:t xml:space="preserve"> to </w:t>
      </w:r>
      <w:r w:rsidR="00AB279D" w:rsidRPr="003B41B5">
        <w:rPr>
          <w:rFonts w:eastAsia="Arial" w:cs="Arial"/>
          <w:sz w:val="18"/>
          <w:szCs w:val="18"/>
        </w:rPr>
        <w:t>measure</w:t>
      </w:r>
      <w:r w:rsidRPr="003B41B5">
        <w:rPr>
          <w:rFonts w:eastAsia="Arial" w:cs="Arial"/>
          <w:sz w:val="18"/>
          <w:szCs w:val="18"/>
        </w:rPr>
        <w:t xml:space="preserve"> the change over </w:t>
      </w:r>
      <w:r w:rsidR="00AB279D" w:rsidRPr="003B41B5">
        <w:rPr>
          <w:rFonts w:eastAsia="Arial" w:cs="Arial"/>
          <w:sz w:val="18"/>
          <w:szCs w:val="18"/>
        </w:rPr>
        <w:t>time</w:t>
      </w:r>
      <w:r w:rsidRPr="003B41B5">
        <w:rPr>
          <w:rFonts w:eastAsia="Arial" w:cs="Arial"/>
          <w:sz w:val="18"/>
          <w:szCs w:val="18"/>
        </w:rPr>
        <w:t xml:space="preserve"> in the price of wages and salaries. It does this by pricing specific jobs, in terms of wage and </w:t>
      </w:r>
      <w:r w:rsidR="00AB279D" w:rsidRPr="003B41B5">
        <w:rPr>
          <w:rFonts w:eastAsia="Arial" w:cs="Arial"/>
          <w:sz w:val="18"/>
          <w:szCs w:val="18"/>
        </w:rPr>
        <w:t>salary</w:t>
      </w:r>
      <w:r w:rsidRPr="003B41B5">
        <w:rPr>
          <w:rFonts w:eastAsia="Arial" w:cs="Arial"/>
          <w:sz w:val="18"/>
          <w:szCs w:val="18"/>
        </w:rPr>
        <w:t xml:space="preserve"> </w:t>
      </w:r>
      <w:r w:rsidR="00AB279D" w:rsidRPr="003B41B5">
        <w:rPr>
          <w:rFonts w:eastAsia="Arial" w:cs="Arial"/>
          <w:sz w:val="18"/>
          <w:szCs w:val="18"/>
        </w:rPr>
        <w:t xml:space="preserve">payments to employees occupying </w:t>
      </w:r>
      <w:r w:rsidRPr="003B41B5">
        <w:rPr>
          <w:rFonts w:eastAsia="Arial" w:cs="Arial"/>
          <w:sz w:val="18"/>
          <w:szCs w:val="18"/>
        </w:rPr>
        <w:t xml:space="preserve">those jobs.  </w:t>
      </w:r>
      <w:r w:rsidR="00AB279D" w:rsidRPr="003B41B5">
        <w:rPr>
          <w:rFonts w:eastAsia="Arial" w:cs="Arial"/>
          <w:sz w:val="18"/>
          <w:szCs w:val="18"/>
        </w:rPr>
        <w:t>It</w:t>
      </w:r>
      <w:r w:rsidRPr="003B41B5">
        <w:rPr>
          <w:rFonts w:eastAsia="Arial" w:cs="Arial"/>
          <w:sz w:val="18"/>
          <w:szCs w:val="18"/>
        </w:rPr>
        <w:t xml:space="preserve"> </w:t>
      </w:r>
      <w:r w:rsidR="00AB279D" w:rsidRPr="003B41B5">
        <w:rPr>
          <w:rFonts w:eastAsia="Arial" w:cs="Arial"/>
          <w:sz w:val="18"/>
          <w:szCs w:val="18"/>
        </w:rPr>
        <w:t>is unaffected</w:t>
      </w:r>
      <w:r w:rsidRPr="003B41B5">
        <w:rPr>
          <w:rFonts w:eastAsia="Arial" w:cs="Arial"/>
          <w:sz w:val="18"/>
          <w:szCs w:val="18"/>
        </w:rPr>
        <w:t xml:space="preserve"> </w:t>
      </w:r>
      <w:r w:rsidR="00AB279D" w:rsidRPr="003B41B5">
        <w:rPr>
          <w:rFonts w:eastAsia="Arial" w:cs="Arial"/>
          <w:sz w:val="18"/>
          <w:szCs w:val="18"/>
        </w:rPr>
        <w:t>by</w:t>
      </w:r>
      <w:r w:rsidRPr="003B41B5">
        <w:rPr>
          <w:rFonts w:eastAsia="Arial" w:cs="Arial"/>
          <w:sz w:val="18"/>
          <w:szCs w:val="18"/>
        </w:rPr>
        <w:t xml:space="preserve"> </w:t>
      </w:r>
      <w:r w:rsidR="00AB279D" w:rsidRPr="003B41B5">
        <w:rPr>
          <w:rFonts w:eastAsia="Arial" w:cs="Arial"/>
          <w:sz w:val="18"/>
          <w:szCs w:val="18"/>
        </w:rPr>
        <w:t>changes</w:t>
      </w:r>
      <w:r w:rsidRPr="003B41B5">
        <w:rPr>
          <w:rFonts w:eastAsia="Arial" w:cs="Arial"/>
          <w:sz w:val="18"/>
          <w:szCs w:val="18"/>
        </w:rPr>
        <w:t xml:space="preserve"> </w:t>
      </w:r>
      <w:r w:rsidR="00AB279D" w:rsidRPr="003B41B5">
        <w:rPr>
          <w:rFonts w:eastAsia="Arial" w:cs="Arial"/>
          <w:sz w:val="18"/>
          <w:szCs w:val="18"/>
        </w:rPr>
        <w:t>in</w:t>
      </w:r>
      <w:r w:rsidRPr="003B41B5">
        <w:rPr>
          <w:rFonts w:eastAsia="Arial" w:cs="Arial"/>
          <w:sz w:val="18"/>
          <w:szCs w:val="18"/>
        </w:rPr>
        <w:t xml:space="preserve"> </w:t>
      </w:r>
      <w:r w:rsidR="00AB279D" w:rsidRPr="003B41B5">
        <w:rPr>
          <w:rFonts w:eastAsia="Arial" w:cs="Arial"/>
          <w:sz w:val="18"/>
          <w:szCs w:val="18"/>
        </w:rPr>
        <w:t>the quality</w:t>
      </w:r>
      <w:r w:rsidRPr="003B41B5">
        <w:rPr>
          <w:rFonts w:eastAsia="Arial" w:cs="Arial"/>
          <w:sz w:val="18"/>
          <w:szCs w:val="18"/>
        </w:rPr>
        <w:t xml:space="preserve"> </w:t>
      </w:r>
      <w:r w:rsidR="00AB279D" w:rsidRPr="003B41B5">
        <w:rPr>
          <w:rFonts w:eastAsia="Arial" w:cs="Arial"/>
          <w:sz w:val="18"/>
          <w:szCs w:val="18"/>
        </w:rPr>
        <w:t>and</w:t>
      </w:r>
      <w:r w:rsidRPr="003B41B5">
        <w:rPr>
          <w:rFonts w:eastAsia="Arial" w:cs="Arial"/>
          <w:sz w:val="18"/>
          <w:szCs w:val="18"/>
        </w:rPr>
        <w:t xml:space="preserve"> quantity </w:t>
      </w:r>
      <w:r w:rsidR="00AB279D" w:rsidRPr="003B41B5">
        <w:rPr>
          <w:rFonts w:eastAsia="Arial" w:cs="Arial"/>
          <w:sz w:val="18"/>
          <w:szCs w:val="18"/>
        </w:rPr>
        <w:t>of</w:t>
      </w:r>
      <w:r w:rsidRPr="003B41B5">
        <w:rPr>
          <w:rFonts w:eastAsia="Arial" w:cs="Arial"/>
          <w:sz w:val="18"/>
          <w:szCs w:val="18"/>
        </w:rPr>
        <w:t xml:space="preserve"> </w:t>
      </w:r>
      <w:r w:rsidR="00AB279D" w:rsidRPr="003B41B5">
        <w:rPr>
          <w:rFonts w:eastAsia="Arial" w:cs="Arial"/>
          <w:sz w:val="18"/>
          <w:szCs w:val="18"/>
        </w:rPr>
        <w:t>labour services purchased</w:t>
      </w:r>
      <w:r w:rsidRPr="003B41B5">
        <w:rPr>
          <w:rFonts w:eastAsia="Arial" w:cs="Arial"/>
          <w:sz w:val="18"/>
          <w:szCs w:val="18"/>
        </w:rPr>
        <w:t xml:space="preserve"> by employers, </w:t>
      </w:r>
      <w:r w:rsidR="00AB279D" w:rsidRPr="003B41B5">
        <w:rPr>
          <w:rFonts w:eastAsia="Arial" w:cs="Arial"/>
          <w:sz w:val="18"/>
          <w:szCs w:val="18"/>
        </w:rPr>
        <w:t>changes</w:t>
      </w:r>
      <w:r w:rsidRPr="003B41B5">
        <w:rPr>
          <w:rFonts w:eastAsia="Arial" w:cs="Arial"/>
          <w:sz w:val="18"/>
          <w:szCs w:val="18"/>
        </w:rPr>
        <w:t xml:space="preserve"> in </w:t>
      </w:r>
      <w:r w:rsidR="00AB279D" w:rsidRPr="003B41B5">
        <w:rPr>
          <w:rFonts w:eastAsia="Arial" w:cs="Arial"/>
          <w:sz w:val="18"/>
          <w:szCs w:val="18"/>
        </w:rPr>
        <w:t>hours</w:t>
      </w:r>
      <w:r w:rsidRPr="003B41B5">
        <w:rPr>
          <w:rFonts w:eastAsia="Arial" w:cs="Arial"/>
          <w:sz w:val="18"/>
          <w:szCs w:val="18"/>
        </w:rPr>
        <w:t xml:space="preserve"> </w:t>
      </w:r>
      <w:r w:rsidR="00AB279D" w:rsidRPr="003B41B5">
        <w:rPr>
          <w:rFonts w:eastAsia="Arial" w:cs="Arial"/>
          <w:sz w:val="18"/>
          <w:szCs w:val="18"/>
        </w:rPr>
        <w:t>worked</w:t>
      </w:r>
      <w:r w:rsidRPr="003B41B5">
        <w:rPr>
          <w:rFonts w:eastAsia="Arial" w:cs="Arial"/>
          <w:sz w:val="18"/>
          <w:szCs w:val="18"/>
        </w:rPr>
        <w:t xml:space="preserve"> or </w:t>
      </w:r>
      <w:r w:rsidR="00AB279D" w:rsidRPr="003B41B5">
        <w:rPr>
          <w:rFonts w:eastAsia="Arial" w:cs="Arial"/>
          <w:sz w:val="18"/>
          <w:szCs w:val="18"/>
        </w:rPr>
        <w:t>changes</w:t>
      </w:r>
      <w:r w:rsidRPr="003B41B5">
        <w:rPr>
          <w:rFonts w:eastAsia="Arial" w:cs="Arial"/>
          <w:sz w:val="18"/>
          <w:szCs w:val="18"/>
        </w:rPr>
        <w:t xml:space="preserve"> in  the composition  of the </w:t>
      </w:r>
      <w:r w:rsidR="00AB279D" w:rsidRPr="003B41B5">
        <w:rPr>
          <w:rFonts w:eastAsia="Arial" w:cs="Arial"/>
          <w:sz w:val="18"/>
          <w:szCs w:val="18"/>
        </w:rPr>
        <w:t>employee</w:t>
      </w:r>
      <w:r w:rsidRPr="003B41B5">
        <w:rPr>
          <w:rFonts w:eastAsia="Arial" w:cs="Arial"/>
          <w:sz w:val="18"/>
          <w:szCs w:val="18"/>
        </w:rPr>
        <w:t xml:space="preserve"> workforce.</w:t>
      </w:r>
    </w:p>
    <w:p w:rsidR="0080603F" w:rsidRPr="003B41B5" w:rsidRDefault="0080603F" w:rsidP="00D95A63">
      <w:pPr>
        <w:spacing w:after="120"/>
        <w:ind w:right="190" w:hanging="5"/>
        <w:jc w:val="both"/>
        <w:rPr>
          <w:rFonts w:eastAsia="Arial" w:cs="Arial"/>
          <w:sz w:val="18"/>
          <w:szCs w:val="18"/>
        </w:rPr>
      </w:pPr>
      <w:r w:rsidRPr="003B41B5">
        <w:rPr>
          <w:rFonts w:eastAsia="Arial" w:cs="Arial"/>
          <w:sz w:val="18"/>
          <w:szCs w:val="18"/>
        </w:rPr>
        <w:t xml:space="preserve">The WPI is a </w:t>
      </w:r>
      <w:r w:rsidR="00AB279D" w:rsidRPr="003B41B5">
        <w:rPr>
          <w:rFonts w:eastAsia="Arial" w:cs="Arial"/>
          <w:sz w:val="18"/>
          <w:szCs w:val="18"/>
        </w:rPr>
        <w:t>better</w:t>
      </w:r>
      <w:r w:rsidRPr="003B41B5">
        <w:rPr>
          <w:rFonts w:eastAsia="Arial" w:cs="Arial"/>
          <w:sz w:val="18"/>
          <w:szCs w:val="18"/>
        </w:rPr>
        <w:t xml:space="preserve"> </w:t>
      </w:r>
      <w:r w:rsidR="00AB279D" w:rsidRPr="003B41B5">
        <w:rPr>
          <w:rFonts w:eastAsia="Arial" w:cs="Arial"/>
          <w:sz w:val="18"/>
          <w:szCs w:val="18"/>
        </w:rPr>
        <w:t>measure</w:t>
      </w:r>
      <w:r w:rsidRPr="003B41B5">
        <w:rPr>
          <w:rFonts w:eastAsia="Arial" w:cs="Arial"/>
          <w:sz w:val="18"/>
          <w:szCs w:val="18"/>
        </w:rPr>
        <w:t xml:space="preserve"> of </w:t>
      </w:r>
      <w:r w:rsidR="00AB279D" w:rsidRPr="003B41B5">
        <w:rPr>
          <w:rFonts w:eastAsia="Arial" w:cs="Arial"/>
          <w:sz w:val="18"/>
          <w:szCs w:val="18"/>
        </w:rPr>
        <w:t>changes</w:t>
      </w:r>
      <w:r w:rsidRPr="003B41B5">
        <w:rPr>
          <w:rFonts w:eastAsia="Arial" w:cs="Arial"/>
          <w:sz w:val="18"/>
          <w:szCs w:val="18"/>
        </w:rPr>
        <w:t xml:space="preserve"> in wage and </w:t>
      </w:r>
      <w:r w:rsidR="00AB279D" w:rsidRPr="003B41B5">
        <w:rPr>
          <w:rFonts w:eastAsia="Arial" w:cs="Arial"/>
          <w:sz w:val="18"/>
          <w:szCs w:val="18"/>
        </w:rPr>
        <w:t>salary</w:t>
      </w:r>
      <w:r w:rsidRPr="003B41B5">
        <w:rPr>
          <w:rFonts w:eastAsia="Arial" w:cs="Arial"/>
          <w:sz w:val="18"/>
          <w:szCs w:val="18"/>
        </w:rPr>
        <w:t xml:space="preserve"> movements for specific jobs, as distinct from changes in average earnings.  For example, an </w:t>
      </w:r>
      <w:r w:rsidR="00AB279D" w:rsidRPr="003B41B5">
        <w:rPr>
          <w:rFonts w:eastAsia="Arial" w:cs="Arial"/>
          <w:sz w:val="18"/>
          <w:szCs w:val="18"/>
        </w:rPr>
        <w:t>apprentice</w:t>
      </w:r>
      <w:r w:rsidRPr="003B41B5">
        <w:rPr>
          <w:rFonts w:eastAsia="Arial" w:cs="Arial"/>
          <w:sz w:val="18"/>
          <w:szCs w:val="18"/>
        </w:rPr>
        <w:t xml:space="preserve"> moving to a tradesperson role </w:t>
      </w:r>
      <w:r w:rsidR="00AB279D" w:rsidRPr="003B41B5">
        <w:rPr>
          <w:rFonts w:eastAsia="Arial" w:cs="Arial"/>
          <w:sz w:val="18"/>
          <w:szCs w:val="18"/>
        </w:rPr>
        <w:t>might</w:t>
      </w:r>
      <w:r w:rsidRPr="003B41B5">
        <w:rPr>
          <w:rFonts w:eastAsia="Arial" w:cs="Arial"/>
          <w:sz w:val="18"/>
          <w:szCs w:val="18"/>
        </w:rPr>
        <w:t xml:space="preserve"> impact on AWE, </w:t>
      </w:r>
      <w:r w:rsidR="00267AAF" w:rsidRPr="003B41B5">
        <w:rPr>
          <w:rFonts w:eastAsia="Arial" w:cs="Arial"/>
          <w:sz w:val="18"/>
          <w:szCs w:val="18"/>
        </w:rPr>
        <w:t>but</w:t>
      </w:r>
      <w:r w:rsidRPr="003B41B5">
        <w:rPr>
          <w:rFonts w:eastAsia="Arial" w:cs="Arial"/>
          <w:sz w:val="18"/>
          <w:szCs w:val="18"/>
        </w:rPr>
        <w:t xml:space="preserve"> </w:t>
      </w:r>
      <w:r w:rsidR="00267AAF" w:rsidRPr="003B41B5">
        <w:rPr>
          <w:rFonts w:eastAsia="Arial" w:cs="Arial"/>
          <w:sz w:val="18"/>
          <w:szCs w:val="18"/>
        </w:rPr>
        <w:t>not</w:t>
      </w:r>
      <w:r w:rsidRPr="003B41B5">
        <w:rPr>
          <w:rFonts w:eastAsia="Arial" w:cs="Arial"/>
          <w:sz w:val="18"/>
          <w:szCs w:val="18"/>
        </w:rPr>
        <w:t xml:space="preserve"> the WPI, which </w:t>
      </w:r>
      <w:r w:rsidR="00AB279D" w:rsidRPr="003B41B5">
        <w:rPr>
          <w:rFonts w:eastAsia="Arial" w:cs="Arial"/>
          <w:sz w:val="18"/>
          <w:szCs w:val="18"/>
        </w:rPr>
        <w:t>measures</w:t>
      </w:r>
      <w:r w:rsidRPr="003B41B5">
        <w:rPr>
          <w:rFonts w:eastAsia="Arial" w:cs="Arial"/>
          <w:sz w:val="18"/>
          <w:szCs w:val="18"/>
        </w:rPr>
        <w:t xml:space="preserve"> </w:t>
      </w:r>
      <w:r w:rsidR="00AB279D" w:rsidRPr="003B41B5">
        <w:rPr>
          <w:rFonts w:eastAsia="Arial" w:cs="Arial"/>
          <w:sz w:val="18"/>
          <w:szCs w:val="18"/>
        </w:rPr>
        <w:t>the</w:t>
      </w:r>
      <w:r w:rsidRPr="003B41B5">
        <w:rPr>
          <w:rFonts w:eastAsia="Arial" w:cs="Arial"/>
          <w:sz w:val="18"/>
          <w:szCs w:val="18"/>
        </w:rPr>
        <w:t xml:space="preserve"> </w:t>
      </w:r>
      <w:r w:rsidR="00AB279D" w:rsidRPr="003B41B5">
        <w:rPr>
          <w:rFonts w:eastAsia="Arial" w:cs="Arial"/>
          <w:sz w:val="18"/>
          <w:szCs w:val="18"/>
        </w:rPr>
        <w:t>rate</w:t>
      </w:r>
      <w:r w:rsidRPr="003B41B5">
        <w:rPr>
          <w:rFonts w:eastAsia="Arial" w:cs="Arial"/>
          <w:sz w:val="18"/>
          <w:szCs w:val="18"/>
        </w:rPr>
        <w:t xml:space="preserve"> </w:t>
      </w:r>
      <w:r w:rsidR="00AB279D" w:rsidRPr="003B41B5">
        <w:rPr>
          <w:rFonts w:eastAsia="Arial" w:cs="Arial"/>
          <w:sz w:val="18"/>
          <w:szCs w:val="18"/>
        </w:rPr>
        <w:t>(price)</w:t>
      </w:r>
      <w:r w:rsidRPr="003B41B5">
        <w:rPr>
          <w:rFonts w:eastAsia="Arial" w:cs="Arial"/>
          <w:sz w:val="18"/>
          <w:szCs w:val="18"/>
        </w:rPr>
        <w:t xml:space="preserve"> for </w:t>
      </w:r>
      <w:r w:rsidR="00AB279D" w:rsidRPr="003B41B5">
        <w:rPr>
          <w:rFonts w:eastAsia="Arial" w:cs="Arial"/>
          <w:sz w:val="18"/>
          <w:szCs w:val="18"/>
        </w:rPr>
        <w:t xml:space="preserve">apprentices </w:t>
      </w:r>
      <w:r w:rsidRPr="003B41B5">
        <w:rPr>
          <w:rFonts w:eastAsia="Arial" w:cs="Arial"/>
          <w:sz w:val="18"/>
          <w:szCs w:val="18"/>
        </w:rPr>
        <w:t xml:space="preserve">and </w:t>
      </w:r>
      <w:r w:rsidR="00AB279D" w:rsidRPr="003B41B5">
        <w:rPr>
          <w:rFonts w:eastAsia="Arial" w:cs="Arial"/>
          <w:sz w:val="18"/>
          <w:szCs w:val="18"/>
        </w:rPr>
        <w:t xml:space="preserve">tradespersons </w:t>
      </w:r>
      <w:r w:rsidRPr="003B41B5">
        <w:rPr>
          <w:rFonts w:eastAsia="Arial" w:cs="Arial"/>
          <w:sz w:val="18"/>
          <w:szCs w:val="18"/>
        </w:rPr>
        <w:t>as separate</w:t>
      </w:r>
      <w:r w:rsidR="00AB279D" w:rsidRPr="003B41B5">
        <w:rPr>
          <w:rFonts w:eastAsia="Arial" w:cs="Arial"/>
          <w:sz w:val="18"/>
          <w:szCs w:val="18"/>
        </w:rPr>
        <w:t xml:space="preserve"> </w:t>
      </w:r>
      <w:r w:rsidRPr="003B41B5">
        <w:rPr>
          <w:rFonts w:eastAsia="Arial" w:cs="Arial"/>
          <w:sz w:val="18"/>
          <w:szCs w:val="18"/>
        </w:rPr>
        <w:t>entities.</w:t>
      </w:r>
    </w:p>
    <w:p w:rsidR="0080603F" w:rsidRPr="003B41B5" w:rsidRDefault="0080603F" w:rsidP="00D95A63">
      <w:pPr>
        <w:spacing w:after="120"/>
        <w:ind w:right="-20"/>
        <w:jc w:val="both"/>
        <w:rPr>
          <w:rFonts w:eastAsia="Arial" w:cs="Arial"/>
          <w:sz w:val="18"/>
          <w:szCs w:val="18"/>
        </w:rPr>
      </w:pPr>
      <w:r w:rsidRPr="003B41B5">
        <w:rPr>
          <w:rFonts w:eastAsia="Arial" w:cs="Arial"/>
          <w:sz w:val="18"/>
          <w:szCs w:val="18"/>
        </w:rPr>
        <w:t xml:space="preserve">The WPI </w:t>
      </w:r>
      <w:r w:rsidR="00AB279D" w:rsidRPr="003B41B5">
        <w:rPr>
          <w:rFonts w:eastAsia="Arial" w:cs="Arial"/>
          <w:sz w:val="18"/>
          <w:szCs w:val="18"/>
        </w:rPr>
        <w:t>is</w:t>
      </w:r>
      <w:r w:rsidRPr="003B41B5">
        <w:rPr>
          <w:rFonts w:eastAsia="Arial" w:cs="Arial"/>
          <w:sz w:val="18"/>
          <w:szCs w:val="18"/>
        </w:rPr>
        <w:t xml:space="preserve"> </w:t>
      </w:r>
      <w:r w:rsidR="00AB279D" w:rsidRPr="003B41B5">
        <w:rPr>
          <w:rFonts w:eastAsia="Arial" w:cs="Arial"/>
          <w:sz w:val="18"/>
          <w:szCs w:val="18"/>
        </w:rPr>
        <w:t>favoured</w:t>
      </w:r>
      <w:r w:rsidRPr="003B41B5">
        <w:rPr>
          <w:rFonts w:eastAsia="Arial" w:cs="Arial"/>
          <w:sz w:val="18"/>
          <w:szCs w:val="18"/>
        </w:rPr>
        <w:t xml:space="preserve"> by the </w:t>
      </w:r>
      <w:r w:rsidR="00AB279D" w:rsidRPr="003B41B5">
        <w:rPr>
          <w:rFonts w:eastAsia="Arial" w:cs="Arial"/>
          <w:sz w:val="18"/>
          <w:szCs w:val="18"/>
        </w:rPr>
        <w:t>Fair</w:t>
      </w:r>
      <w:r w:rsidRPr="003B41B5">
        <w:rPr>
          <w:rFonts w:eastAsia="Arial" w:cs="Arial"/>
          <w:sz w:val="18"/>
          <w:szCs w:val="18"/>
        </w:rPr>
        <w:t xml:space="preserve"> Work </w:t>
      </w:r>
      <w:r w:rsidR="00AB279D" w:rsidRPr="003B41B5">
        <w:rPr>
          <w:rFonts w:eastAsia="Arial" w:cs="Arial"/>
          <w:sz w:val="18"/>
          <w:szCs w:val="18"/>
        </w:rPr>
        <w:t xml:space="preserve">Commission </w:t>
      </w:r>
      <w:r w:rsidRPr="003B41B5">
        <w:rPr>
          <w:rFonts w:eastAsia="Arial" w:cs="Arial"/>
          <w:sz w:val="18"/>
          <w:szCs w:val="18"/>
        </w:rPr>
        <w:t xml:space="preserve">in </w:t>
      </w:r>
      <w:r w:rsidR="00AB279D" w:rsidRPr="003B41B5">
        <w:rPr>
          <w:rFonts w:eastAsia="Arial" w:cs="Arial"/>
          <w:sz w:val="18"/>
          <w:szCs w:val="18"/>
        </w:rPr>
        <w:t xml:space="preserve">considering </w:t>
      </w:r>
      <w:r w:rsidRPr="003B41B5">
        <w:rPr>
          <w:rFonts w:eastAsia="Arial" w:cs="Arial"/>
          <w:sz w:val="18"/>
          <w:szCs w:val="18"/>
        </w:rPr>
        <w:t>National</w:t>
      </w:r>
      <w:r w:rsidR="00AB279D" w:rsidRPr="003B41B5">
        <w:rPr>
          <w:rFonts w:eastAsia="Arial" w:cs="Arial"/>
          <w:sz w:val="18"/>
          <w:szCs w:val="18"/>
        </w:rPr>
        <w:t xml:space="preserve"> </w:t>
      </w:r>
      <w:r w:rsidRPr="003B41B5">
        <w:rPr>
          <w:rFonts w:eastAsia="Arial" w:cs="Arial"/>
          <w:sz w:val="18"/>
          <w:szCs w:val="18"/>
        </w:rPr>
        <w:t>Wage matters.</w:t>
      </w:r>
    </w:p>
    <w:p w:rsidR="0080603F" w:rsidRPr="003B41B5" w:rsidRDefault="0080603F" w:rsidP="00D95A63">
      <w:pPr>
        <w:spacing w:after="120"/>
        <w:ind w:right="197" w:hanging="5"/>
        <w:jc w:val="both"/>
        <w:rPr>
          <w:rFonts w:eastAsia="Arial" w:cs="Arial"/>
          <w:sz w:val="18"/>
          <w:szCs w:val="18"/>
        </w:rPr>
      </w:pPr>
      <w:r w:rsidRPr="003B41B5">
        <w:rPr>
          <w:rFonts w:eastAsia="Arial" w:cs="Arial"/>
          <w:sz w:val="18"/>
          <w:szCs w:val="18"/>
        </w:rPr>
        <w:t xml:space="preserve">In </w:t>
      </w:r>
      <w:r w:rsidR="00AB279D" w:rsidRPr="003B41B5">
        <w:rPr>
          <w:rFonts w:eastAsia="Arial" w:cs="Arial"/>
          <w:sz w:val="18"/>
          <w:szCs w:val="18"/>
        </w:rPr>
        <w:t xml:space="preserve">Victoria, </w:t>
      </w:r>
      <w:r w:rsidRPr="003B41B5">
        <w:rPr>
          <w:rFonts w:eastAsia="Arial" w:cs="Arial"/>
          <w:sz w:val="18"/>
          <w:szCs w:val="18"/>
        </w:rPr>
        <w:t xml:space="preserve">AWOTE </w:t>
      </w:r>
      <w:r w:rsidR="00AB279D" w:rsidRPr="003B41B5">
        <w:rPr>
          <w:rFonts w:eastAsia="Arial" w:cs="Arial"/>
          <w:sz w:val="18"/>
          <w:szCs w:val="18"/>
        </w:rPr>
        <w:t>has</w:t>
      </w:r>
      <w:r w:rsidRPr="003B41B5">
        <w:rPr>
          <w:rFonts w:eastAsia="Arial" w:cs="Arial"/>
          <w:sz w:val="18"/>
          <w:szCs w:val="18"/>
        </w:rPr>
        <w:t xml:space="preserve"> </w:t>
      </w:r>
      <w:r w:rsidR="00AB279D" w:rsidRPr="003B41B5">
        <w:rPr>
          <w:rFonts w:eastAsia="Arial" w:cs="Arial"/>
          <w:sz w:val="18"/>
          <w:szCs w:val="18"/>
        </w:rPr>
        <w:t>been</w:t>
      </w:r>
      <w:r w:rsidRPr="003B41B5">
        <w:rPr>
          <w:rFonts w:eastAsia="Arial" w:cs="Arial"/>
          <w:sz w:val="18"/>
          <w:szCs w:val="18"/>
        </w:rPr>
        <w:t xml:space="preserve"> </w:t>
      </w:r>
      <w:r w:rsidR="00AB279D" w:rsidRPr="003B41B5">
        <w:rPr>
          <w:rFonts w:eastAsia="Arial" w:cs="Arial"/>
          <w:sz w:val="18"/>
          <w:szCs w:val="18"/>
        </w:rPr>
        <w:t>adopted</w:t>
      </w:r>
      <w:r w:rsidRPr="003B41B5">
        <w:rPr>
          <w:rFonts w:eastAsia="Arial" w:cs="Arial"/>
          <w:sz w:val="18"/>
          <w:szCs w:val="18"/>
        </w:rPr>
        <w:t xml:space="preserve"> in </w:t>
      </w:r>
      <w:r w:rsidR="00AB279D" w:rsidRPr="003B41B5">
        <w:rPr>
          <w:rFonts w:eastAsia="Arial" w:cs="Arial"/>
          <w:sz w:val="18"/>
          <w:szCs w:val="18"/>
        </w:rPr>
        <w:t>the relevant legislation for</w:t>
      </w:r>
      <w:r w:rsidRPr="003B41B5">
        <w:rPr>
          <w:rFonts w:eastAsia="Arial" w:cs="Arial"/>
          <w:sz w:val="18"/>
          <w:szCs w:val="18"/>
        </w:rPr>
        <w:t xml:space="preserve"> the determination of the basic salary on 1</w:t>
      </w:r>
      <w:r w:rsidR="00267AAF" w:rsidRPr="003B41B5">
        <w:rPr>
          <w:rFonts w:eastAsia="Arial" w:cs="Arial"/>
          <w:sz w:val="18"/>
          <w:szCs w:val="18"/>
        </w:rPr>
        <w:t xml:space="preserve"> </w:t>
      </w:r>
      <w:r w:rsidRPr="003B41B5">
        <w:rPr>
          <w:rFonts w:eastAsia="Arial" w:cs="Arial"/>
          <w:sz w:val="18"/>
          <w:szCs w:val="18"/>
        </w:rPr>
        <w:t>July 2015.</w:t>
      </w:r>
    </w:p>
    <w:p w:rsidR="0080603F" w:rsidRPr="003B41B5" w:rsidRDefault="0080603F" w:rsidP="00D95A63">
      <w:pPr>
        <w:spacing w:after="120"/>
        <w:ind w:right="-20"/>
        <w:jc w:val="both"/>
        <w:rPr>
          <w:rFonts w:eastAsia="Arial" w:cs="Arial"/>
          <w:sz w:val="18"/>
          <w:szCs w:val="18"/>
        </w:rPr>
      </w:pPr>
      <w:r w:rsidRPr="003B41B5">
        <w:rPr>
          <w:rFonts w:eastAsia="Arial" w:cs="Arial"/>
          <w:i/>
          <w:sz w:val="18"/>
          <w:szCs w:val="18"/>
        </w:rPr>
        <w:t>Periodic Reviews</w:t>
      </w:r>
    </w:p>
    <w:p w:rsidR="0080603F" w:rsidRPr="003B41B5" w:rsidRDefault="0080603F" w:rsidP="00D95A63">
      <w:pPr>
        <w:spacing w:after="120"/>
        <w:ind w:right="165"/>
        <w:jc w:val="both"/>
        <w:rPr>
          <w:rFonts w:eastAsia="Arial" w:cs="Arial"/>
          <w:sz w:val="18"/>
          <w:szCs w:val="18"/>
        </w:rPr>
      </w:pPr>
      <w:r w:rsidRPr="003B41B5">
        <w:rPr>
          <w:rFonts w:eastAsia="Arial" w:cs="Arial"/>
          <w:sz w:val="18"/>
          <w:szCs w:val="18"/>
        </w:rPr>
        <w:t xml:space="preserve">As </w:t>
      </w:r>
      <w:r w:rsidR="00AB279D" w:rsidRPr="003B41B5">
        <w:rPr>
          <w:rFonts w:eastAsia="Arial" w:cs="Arial"/>
          <w:sz w:val="18"/>
          <w:szCs w:val="18"/>
        </w:rPr>
        <w:t>an</w:t>
      </w:r>
      <w:r w:rsidRPr="003B41B5">
        <w:rPr>
          <w:rFonts w:eastAsia="Arial" w:cs="Arial"/>
          <w:sz w:val="18"/>
          <w:szCs w:val="18"/>
        </w:rPr>
        <w:t xml:space="preserve"> alternative </w:t>
      </w:r>
      <w:r w:rsidR="00AB279D" w:rsidRPr="003B41B5">
        <w:rPr>
          <w:rFonts w:eastAsia="Arial" w:cs="Arial"/>
          <w:sz w:val="18"/>
          <w:szCs w:val="18"/>
        </w:rPr>
        <w:t>to</w:t>
      </w:r>
      <w:r w:rsidRPr="003B41B5">
        <w:rPr>
          <w:rFonts w:eastAsia="Arial" w:cs="Arial"/>
          <w:sz w:val="18"/>
          <w:szCs w:val="18"/>
        </w:rPr>
        <w:t xml:space="preserve"> </w:t>
      </w:r>
      <w:r w:rsidR="00AB279D" w:rsidRPr="003B41B5">
        <w:rPr>
          <w:rFonts w:eastAsia="Arial" w:cs="Arial"/>
          <w:sz w:val="18"/>
          <w:szCs w:val="18"/>
        </w:rPr>
        <w:t>a</w:t>
      </w:r>
      <w:r w:rsidRPr="003B41B5">
        <w:rPr>
          <w:rFonts w:eastAsia="Arial" w:cs="Arial"/>
          <w:sz w:val="18"/>
          <w:szCs w:val="18"/>
        </w:rPr>
        <w:t xml:space="preserve"> </w:t>
      </w:r>
      <w:r w:rsidR="00AB279D" w:rsidRPr="003B41B5">
        <w:rPr>
          <w:rFonts w:eastAsia="Arial" w:cs="Arial"/>
          <w:sz w:val="18"/>
          <w:szCs w:val="18"/>
        </w:rPr>
        <w:t>formal</w:t>
      </w:r>
      <w:r w:rsidRPr="003B41B5">
        <w:rPr>
          <w:rFonts w:eastAsia="Arial" w:cs="Arial"/>
          <w:sz w:val="18"/>
          <w:szCs w:val="18"/>
        </w:rPr>
        <w:t xml:space="preserve"> </w:t>
      </w:r>
      <w:r w:rsidR="00AB279D" w:rsidRPr="003B41B5">
        <w:rPr>
          <w:rFonts w:eastAsia="Arial" w:cs="Arial"/>
          <w:sz w:val="18"/>
          <w:szCs w:val="18"/>
        </w:rPr>
        <w:t>linking</w:t>
      </w:r>
      <w:r w:rsidRPr="003B41B5">
        <w:rPr>
          <w:rFonts w:eastAsia="Arial" w:cs="Arial"/>
          <w:sz w:val="18"/>
          <w:szCs w:val="18"/>
        </w:rPr>
        <w:t xml:space="preserve"> mechanism, the basic salary </w:t>
      </w:r>
      <w:r w:rsidR="00AB279D" w:rsidRPr="003B41B5">
        <w:rPr>
          <w:rFonts w:eastAsia="Arial" w:cs="Arial"/>
          <w:sz w:val="18"/>
          <w:szCs w:val="18"/>
        </w:rPr>
        <w:t>could</w:t>
      </w:r>
      <w:r w:rsidRPr="003B41B5">
        <w:rPr>
          <w:rFonts w:eastAsia="Arial" w:cs="Arial"/>
          <w:sz w:val="18"/>
          <w:szCs w:val="18"/>
        </w:rPr>
        <w:t xml:space="preserve"> </w:t>
      </w:r>
      <w:r w:rsidR="00AB279D" w:rsidRPr="003B41B5">
        <w:rPr>
          <w:rFonts w:eastAsia="Arial" w:cs="Arial"/>
          <w:sz w:val="18"/>
          <w:szCs w:val="18"/>
        </w:rPr>
        <w:t>be subject</w:t>
      </w:r>
      <w:r w:rsidRPr="003B41B5">
        <w:rPr>
          <w:rFonts w:eastAsia="Arial" w:cs="Arial"/>
          <w:sz w:val="18"/>
          <w:szCs w:val="18"/>
        </w:rPr>
        <w:t xml:space="preserve"> </w:t>
      </w:r>
      <w:r w:rsidR="00AB279D" w:rsidRPr="003B41B5">
        <w:rPr>
          <w:rFonts w:eastAsia="Arial" w:cs="Arial"/>
          <w:sz w:val="18"/>
          <w:szCs w:val="18"/>
        </w:rPr>
        <w:t>to</w:t>
      </w:r>
      <w:r w:rsidRPr="003B41B5">
        <w:rPr>
          <w:rFonts w:eastAsia="Arial" w:cs="Arial"/>
          <w:sz w:val="18"/>
          <w:szCs w:val="18"/>
        </w:rPr>
        <w:t xml:space="preserve"> </w:t>
      </w:r>
      <w:r w:rsidR="00AB279D" w:rsidRPr="003B41B5">
        <w:rPr>
          <w:rFonts w:eastAsia="Arial" w:cs="Arial"/>
          <w:sz w:val="18"/>
          <w:szCs w:val="18"/>
        </w:rPr>
        <w:t>periodic reviews by</w:t>
      </w:r>
      <w:r w:rsidRPr="003B41B5">
        <w:rPr>
          <w:rFonts w:eastAsia="Arial" w:cs="Arial"/>
          <w:sz w:val="18"/>
          <w:szCs w:val="18"/>
        </w:rPr>
        <w:t xml:space="preserve"> </w:t>
      </w:r>
      <w:r w:rsidR="00AB279D" w:rsidRPr="003B41B5">
        <w:rPr>
          <w:rFonts w:eastAsia="Arial" w:cs="Arial"/>
          <w:sz w:val="18"/>
          <w:szCs w:val="18"/>
        </w:rPr>
        <w:t>an</w:t>
      </w:r>
      <w:r w:rsidRPr="003B41B5">
        <w:rPr>
          <w:rFonts w:eastAsia="Arial" w:cs="Arial"/>
          <w:sz w:val="18"/>
          <w:szCs w:val="18"/>
        </w:rPr>
        <w:t xml:space="preserve"> </w:t>
      </w:r>
      <w:r w:rsidR="00AB279D" w:rsidRPr="003B41B5">
        <w:rPr>
          <w:rFonts w:eastAsia="Arial" w:cs="Arial"/>
          <w:sz w:val="18"/>
          <w:szCs w:val="18"/>
        </w:rPr>
        <w:t>independent</w:t>
      </w:r>
      <w:r w:rsidRPr="003B41B5">
        <w:rPr>
          <w:rFonts w:eastAsia="Arial" w:cs="Arial"/>
          <w:sz w:val="18"/>
          <w:szCs w:val="18"/>
        </w:rPr>
        <w:t xml:space="preserve"> tribunal.  </w:t>
      </w:r>
      <w:r w:rsidR="00AB279D" w:rsidRPr="003B41B5">
        <w:rPr>
          <w:rFonts w:eastAsia="Arial" w:cs="Arial"/>
          <w:sz w:val="18"/>
          <w:szCs w:val="18"/>
        </w:rPr>
        <w:t>Under</w:t>
      </w:r>
      <w:r w:rsidRPr="003B41B5">
        <w:rPr>
          <w:rFonts w:eastAsia="Arial" w:cs="Arial"/>
          <w:sz w:val="18"/>
          <w:szCs w:val="18"/>
        </w:rPr>
        <w:t xml:space="preserve"> </w:t>
      </w:r>
      <w:r w:rsidR="00AB279D" w:rsidRPr="003B41B5">
        <w:rPr>
          <w:rFonts w:eastAsia="Arial" w:cs="Arial"/>
          <w:sz w:val="18"/>
          <w:szCs w:val="18"/>
        </w:rPr>
        <w:t>such</w:t>
      </w:r>
      <w:r w:rsidRPr="003B41B5">
        <w:rPr>
          <w:rFonts w:eastAsia="Arial" w:cs="Arial"/>
          <w:sz w:val="18"/>
          <w:szCs w:val="18"/>
        </w:rPr>
        <w:t xml:space="preserve"> </w:t>
      </w:r>
      <w:r w:rsidR="00AB279D" w:rsidRPr="003B41B5">
        <w:rPr>
          <w:rFonts w:eastAsia="Arial" w:cs="Arial"/>
          <w:sz w:val="18"/>
          <w:szCs w:val="18"/>
        </w:rPr>
        <w:t>a mechanism</w:t>
      </w:r>
      <w:r w:rsidRPr="003B41B5">
        <w:rPr>
          <w:rFonts w:eastAsia="Arial" w:cs="Arial"/>
          <w:sz w:val="18"/>
          <w:szCs w:val="18"/>
        </w:rPr>
        <w:t xml:space="preserve"> the </w:t>
      </w:r>
      <w:r w:rsidR="00AB279D" w:rsidRPr="003B41B5">
        <w:rPr>
          <w:rFonts w:eastAsia="Arial" w:cs="Arial"/>
          <w:sz w:val="18"/>
          <w:szCs w:val="18"/>
        </w:rPr>
        <w:t>considerations</w:t>
      </w:r>
      <w:r w:rsidRPr="003B41B5">
        <w:rPr>
          <w:rFonts w:eastAsia="Arial" w:cs="Arial"/>
          <w:sz w:val="18"/>
          <w:szCs w:val="18"/>
        </w:rPr>
        <w:t xml:space="preserve"> </w:t>
      </w:r>
      <w:r w:rsidR="00AB279D" w:rsidRPr="003B41B5">
        <w:rPr>
          <w:rFonts w:eastAsia="Arial" w:cs="Arial"/>
          <w:sz w:val="18"/>
          <w:szCs w:val="18"/>
        </w:rPr>
        <w:t>referred</w:t>
      </w:r>
      <w:r w:rsidRPr="003B41B5">
        <w:rPr>
          <w:rFonts w:eastAsia="Arial" w:cs="Arial"/>
          <w:sz w:val="18"/>
          <w:szCs w:val="18"/>
        </w:rPr>
        <w:t xml:space="preserve"> to in this paper might all be </w:t>
      </w:r>
      <w:r w:rsidR="00AB279D" w:rsidRPr="003B41B5">
        <w:rPr>
          <w:rFonts w:eastAsia="Arial" w:cs="Arial"/>
          <w:sz w:val="18"/>
          <w:szCs w:val="18"/>
        </w:rPr>
        <w:t>'in</w:t>
      </w:r>
      <w:r w:rsidRPr="003B41B5">
        <w:rPr>
          <w:rFonts w:eastAsia="Arial" w:cs="Arial"/>
          <w:sz w:val="18"/>
          <w:szCs w:val="18"/>
        </w:rPr>
        <w:t xml:space="preserve"> the </w:t>
      </w:r>
      <w:r w:rsidR="00AB279D" w:rsidRPr="003B41B5">
        <w:rPr>
          <w:rFonts w:eastAsia="Arial" w:cs="Arial"/>
          <w:sz w:val="18"/>
          <w:szCs w:val="18"/>
        </w:rPr>
        <w:t>mix' with</w:t>
      </w:r>
      <w:r w:rsidRPr="003B41B5">
        <w:rPr>
          <w:rFonts w:eastAsia="Arial" w:cs="Arial"/>
          <w:sz w:val="18"/>
          <w:szCs w:val="18"/>
        </w:rPr>
        <w:t xml:space="preserve"> </w:t>
      </w:r>
      <w:r w:rsidR="00AB279D" w:rsidRPr="003B41B5">
        <w:rPr>
          <w:rFonts w:eastAsia="Arial" w:cs="Arial"/>
          <w:sz w:val="18"/>
          <w:szCs w:val="18"/>
        </w:rPr>
        <w:t>none</w:t>
      </w:r>
      <w:r w:rsidRPr="003B41B5">
        <w:rPr>
          <w:rFonts w:eastAsia="Arial" w:cs="Arial"/>
          <w:sz w:val="18"/>
          <w:szCs w:val="18"/>
        </w:rPr>
        <w:t xml:space="preserve"> </w:t>
      </w:r>
      <w:r w:rsidR="00AB279D" w:rsidRPr="003B41B5">
        <w:rPr>
          <w:rFonts w:eastAsia="Arial" w:cs="Arial"/>
          <w:sz w:val="18"/>
          <w:szCs w:val="18"/>
        </w:rPr>
        <w:t>being</w:t>
      </w:r>
      <w:r w:rsidRPr="003B41B5">
        <w:rPr>
          <w:rFonts w:eastAsia="Arial" w:cs="Arial"/>
          <w:sz w:val="18"/>
          <w:szCs w:val="18"/>
        </w:rPr>
        <w:t xml:space="preserve"> </w:t>
      </w:r>
      <w:r w:rsidR="00AB279D" w:rsidRPr="003B41B5">
        <w:rPr>
          <w:rFonts w:eastAsia="Arial" w:cs="Arial"/>
          <w:sz w:val="18"/>
          <w:szCs w:val="18"/>
        </w:rPr>
        <w:t>binding</w:t>
      </w:r>
      <w:r w:rsidRPr="003B41B5">
        <w:rPr>
          <w:rFonts w:eastAsia="Arial" w:cs="Arial"/>
          <w:sz w:val="18"/>
          <w:szCs w:val="18"/>
        </w:rPr>
        <w:t xml:space="preserve"> </w:t>
      </w:r>
      <w:r w:rsidR="00AB279D" w:rsidRPr="003B41B5">
        <w:rPr>
          <w:rFonts w:eastAsia="Arial" w:cs="Arial"/>
          <w:sz w:val="18"/>
          <w:szCs w:val="18"/>
        </w:rPr>
        <w:t>in</w:t>
      </w:r>
      <w:r w:rsidRPr="003B41B5">
        <w:rPr>
          <w:rFonts w:eastAsia="Arial" w:cs="Arial"/>
          <w:sz w:val="18"/>
          <w:szCs w:val="18"/>
        </w:rPr>
        <w:t xml:space="preserve"> </w:t>
      </w:r>
      <w:r w:rsidR="00AB279D" w:rsidRPr="003B41B5">
        <w:rPr>
          <w:rFonts w:eastAsia="Arial" w:cs="Arial"/>
          <w:sz w:val="18"/>
          <w:szCs w:val="18"/>
        </w:rPr>
        <w:t>absolute</w:t>
      </w:r>
      <w:r w:rsidRPr="003B41B5">
        <w:rPr>
          <w:rFonts w:eastAsia="Arial" w:cs="Arial"/>
          <w:sz w:val="18"/>
          <w:szCs w:val="18"/>
        </w:rPr>
        <w:t xml:space="preserve"> terms.  </w:t>
      </w:r>
      <w:r w:rsidR="00AB279D" w:rsidRPr="003B41B5">
        <w:rPr>
          <w:rFonts w:eastAsia="Arial" w:cs="Arial"/>
          <w:sz w:val="18"/>
          <w:szCs w:val="18"/>
        </w:rPr>
        <w:t>That</w:t>
      </w:r>
      <w:r w:rsidRPr="003B41B5">
        <w:rPr>
          <w:rFonts w:eastAsia="Arial" w:cs="Arial"/>
          <w:sz w:val="18"/>
          <w:szCs w:val="18"/>
        </w:rPr>
        <w:t xml:space="preserve"> said, </w:t>
      </w:r>
      <w:r w:rsidR="00AB279D" w:rsidRPr="003B41B5">
        <w:rPr>
          <w:rFonts w:eastAsia="Arial" w:cs="Arial"/>
          <w:sz w:val="18"/>
          <w:szCs w:val="18"/>
        </w:rPr>
        <w:t>once</w:t>
      </w:r>
      <w:r w:rsidRPr="003B41B5">
        <w:rPr>
          <w:rFonts w:eastAsia="Arial" w:cs="Arial"/>
          <w:sz w:val="18"/>
          <w:szCs w:val="18"/>
        </w:rPr>
        <w:t xml:space="preserve"> </w:t>
      </w:r>
      <w:r w:rsidR="00AB279D" w:rsidRPr="003B41B5">
        <w:rPr>
          <w:rFonts w:eastAsia="Arial" w:cs="Arial"/>
          <w:sz w:val="18"/>
          <w:szCs w:val="18"/>
        </w:rPr>
        <w:t>the</w:t>
      </w:r>
      <w:r w:rsidRPr="003B41B5">
        <w:rPr>
          <w:rFonts w:eastAsia="Arial" w:cs="Arial"/>
          <w:sz w:val="18"/>
          <w:szCs w:val="18"/>
        </w:rPr>
        <w:t xml:space="preserve"> basic salary starting </w:t>
      </w:r>
      <w:r w:rsidR="00AB279D" w:rsidRPr="003B41B5">
        <w:rPr>
          <w:rFonts w:eastAsia="Arial" w:cs="Arial"/>
          <w:sz w:val="18"/>
          <w:szCs w:val="18"/>
        </w:rPr>
        <w:t>point</w:t>
      </w:r>
      <w:r w:rsidRPr="003B41B5">
        <w:rPr>
          <w:rFonts w:eastAsia="Arial" w:cs="Arial"/>
          <w:sz w:val="18"/>
          <w:szCs w:val="18"/>
        </w:rPr>
        <w:t xml:space="preserve"> is established, such reviews (assuming they were on an annual basis),  would be of a </w:t>
      </w:r>
      <w:r w:rsidR="00AB279D" w:rsidRPr="003B41B5">
        <w:rPr>
          <w:rFonts w:eastAsia="Arial" w:cs="Arial"/>
          <w:sz w:val="18"/>
          <w:szCs w:val="18"/>
        </w:rPr>
        <w:t>more</w:t>
      </w:r>
      <w:r w:rsidRPr="003B41B5">
        <w:rPr>
          <w:rFonts w:eastAsia="Arial" w:cs="Arial"/>
          <w:sz w:val="18"/>
          <w:szCs w:val="18"/>
        </w:rPr>
        <w:t xml:space="preserve"> limited nature and would likely be </w:t>
      </w:r>
      <w:r w:rsidR="00AB279D" w:rsidRPr="003B41B5">
        <w:rPr>
          <w:rFonts w:eastAsia="Arial" w:cs="Arial"/>
          <w:sz w:val="18"/>
          <w:szCs w:val="18"/>
        </w:rPr>
        <w:t>finalised</w:t>
      </w:r>
      <w:r w:rsidRPr="003B41B5">
        <w:rPr>
          <w:rFonts w:eastAsia="Arial" w:cs="Arial"/>
          <w:sz w:val="18"/>
          <w:szCs w:val="18"/>
        </w:rPr>
        <w:t xml:space="preserve"> in a timely manner. It </w:t>
      </w:r>
      <w:r w:rsidR="00AB279D" w:rsidRPr="003B41B5">
        <w:rPr>
          <w:rFonts w:eastAsia="Arial" w:cs="Arial"/>
          <w:sz w:val="18"/>
          <w:szCs w:val="18"/>
        </w:rPr>
        <w:t xml:space="preserve">is </w:t>
      </w:r>
      <w:r w:rsidRPr="003B41B5">
        <w:rPr>
          <w:rFonts w:eastAsia="Arial" w:cs="Arial"/>
          <w:sz w:val="18"/>
          <w:szCs w:val="18"/>
        </w:rPr>
        <w:t>an arrangement that appears to work well in Western Australia.</w:t>
      </w:r>
    </w:p>
    <w:p w:rsidR="0080603F" w:rsidRPr="003B41B5" w:rsidRDefault="0080603F" w:rsidP="00D95A63">
      <w:pPr>
        <w:spacing w:after="120"/>
        <w:ind w:right="56"/>
        <w:jc w:val="both"/>
        <w:rPr>
          <w:rFonts w:eastAsia="Arial" w:cs="Arial"/>
          <w:sz w:val="18"/>
          <w:szCs w:val="18"/>
        </w:rPr>
      </w:pPr>
      <w:r w:rsidRPr="003B41B5">
        <w:rPr>
          <w:rFonts w:eastAsia="Arial" w:cs="Arial"/>
          <w:sz w:val="18"/>
          <w:szCs w:val="18"/>
        </w:rPr>
        <w:t xml:space="preserve">An alternative to annual </w:t>
      </w:r>
      <w:r w:rsidR="00AB279D" w:rsidRPr="003B41B5">
        <w:rPr>
          <w:rFonts w:eastAsia="Arial" w:cs="Arial"/>
          <w:sz w:val="18"/>
          <w:szCs w:val="18"/>
        </w:rPr>
        <w:t>reviews</w:t>
      </w:r>
      <w:r w:rsidRPr="003B41B5">
        <w:rPr>
          <w:rFonts w:eastAsia="Arial" w:cs="Arial"/>
          <w:sz w:val="18"/>
          <w:szCs w:val="18"/>
        </w:rPr>
        <w:t xml:space="preserve"> might be to </w:t>
      </w:r>
      <w:r w:rsidR="00AB279D" w:rsidRPr="003B41B5">
        <w:rPr>
          <w:rFonts w:eastAsia="Arial" w:cs="Arial"/>
          <w:sz w:val="18"/>
          <w:szCs w:val="18"/>
        </w:rPr>
        <w:t>establish</w:t>
      </w:r>
      <w:r w:rsidRPr="003B41B5">
        <w:rPr>
          <w:rFonts w:eastAsia="Arial" w:cs="Arial"/>
          <w:sz w:val="18"/>
          <w:szCs w:val="18"/>
        </w:rPr>
        <w:t xml:space="preserve"> a </w:t>
      </w:r>
      <w:r w:rsidR="00AB279D" w:rsidRPr="003B41B5">
        <w:rPr>
          <w:rFonts w:eastAsia="Arial" w:cs="Arial"/>
          <w:sz w:val="18"/>
          <w:szCs w:val="18"/>
        </w:rPr>
        <w:t>formal</w:t>
      </w:r>
      <w:r w:rsidRPr="003B41B5">
        <w:rPr>
          <w:rFonts w:eastAsia="Arial" w:cs="Arial"/>
          <w:sz w:val="18"/>
          <w:szCs w:val="18"/>
        </w:rPr>
        <w:t xml:space="preserve"> </w:t>
      </w:r>
      <w:r w:rsidR="00AB279D" w:rsidRPr="003B41B5">
        <w:rPr>
          <w:rFonts w:eastAsia="Arial" w:cs="Arial"/>
          <w:sz w:val="18"/>
          <w:szCs w:val="18"/>
        </w:rPr>
        <w:t>linkage</w:t>
      </w:r>
      <w:r w:rsidRPr="003B41B5">
        <w:rPr>
          <w:rFonts w:eastAsia="Arial" w:cs="Arial"/>
          <w:sz w:val="18"/>
          <w:szCs w:val="18"/>
        </w:rPr>
        <w:t xml:space="preserve"> with </w:t>
      </w:r>
      <w:r w:rsidR="00AB279D" w:rsidRPr="003B41B5">
        <w:rPr>
          <w:rFonts w:eastAsia="Arial" w:cs="Arial"/>
          <w:sz w:val="18"/>
          <w:szCs w:val="18"/>
        </w:rPr>
        <w:t>an external</w:t>
      </w:r>
      <w:r w:rsidRPr="003B41B5">
        <w:rPr>
          <w:rFonts w:eastAsia="Arial" w:cs="Arial"/>
          <w:sz w:val="18"/>
          <w:szCs w:val="18"/>
        </w:rPr>
        <w:t xml:space="preserve"> </w:t>
      </w:r>
      <w:r w:rsidR="00AB279D" w:rsidRPr="003B41B5">
        <w:rPr>
          <w:rFonts w:eastAsia="Arial" w:cs="Arial"/>
          <w:sz w:val="18"/>
          <w:szCs w:val="18"/>
        </w:rPr>
        <w:t>measure</w:t>
      </w:r>
      <w:r w:rsidRPr="003B41B5">
        <w:rPr>
          <w:rFonts w:eastAsia="Arial" w:cs="Arial"/>
          <w:sz w:val="18"/>
          <w:szCs w:val="18"/>
        </w:rPr>
        <w:t xml:space="preserve"> </w:t>
      </w:r>
      <w:r w:rsidR="00AB279D" w:rsidRPr="003B41B5">
        <w:rPr>
          <w:rFonts w:eastAsia="Arial" w:cs="Arial"/>
          <w:sz w:val="18"/>
          <w:szCs w:val="18"/>
        </w:rPr>
        <w:t>(ABS</w:t>
      </w:r>
      <w:r w:rsidRPr="003B41B5">
        <w:rPr>
          <w:rFonts w:eastAsia="Arial" w:cs="Arial"/>
          <w:sz w:val="18"/>
          <w:szCs w:val="18"/>
        </w:rPr>
        <w:t xml:space="preserve"> or </w:t>
      </w:r>
      <w:r w:rsidR="00AB279D" w:rsidRPr="003B41B5">
        <w:rPr>
          <w:rFonts w:eastAsia="Arial" w:cs="Arial"/>
          <w:sz w:val="18"/>
          <w:szCs w:val="18"/>
        </w:rPr>
        <w:t>State</w:t>
      </w:r>
      <w:r w:rsidRPr="003B41B5">
        <w:rPr>
          <w:rFonts w:eastAsia="Arial" w:cs="Arial"/>
          <w:sz w:val="18"/>
          <w:szCs w:val="18"/>
        </w:rPr>
        <w:t xml:space="preserve"> </w:t>
      </w:r>
      <w:r w:rsidR="00AB279D" w:rsidRPr="003B41B5">
        <w:rPr>
          <w:rFonts w:eastAsia="Arial" w:cs="Arial"/>
          <w:sz w:val="18"/>
          <w:szCs w:val="18"/>
        </w:rPr>
        <w:t>Service</w:t>
      </w:r>
      <w:r w:rsidRPr="003B41B5">
        <w:rPr>
          <w:rFonts w:eastAsia="Arial" w:cs="Arial"/>
          <w:sz w:val="18"/>
          <w:szCs w:val="18"/>
        </w:rPr>
        <w:t xml:space="preserve"> </w:t>
      </w:r>
      <w:r w:rsidR="00AB279D" w:rsidRPr="003B41B5">
        <w:rPr>
          <w:rFonts w:eastAsia="Arial" w:cs="Arial"/>
          <w:sz w:val="18"/>
          <w:szCs w:val="18"/>
        </w:rPr>
        <w:t>for</w:t>
      </w:r>
      <w:r w:rsidRPr="003B41B5">
        <w:rPr>
          <w:rFonts w:eastAsia="Arial" w:cs="Arial"/>
          <w:sz w:val="18"/>
          <w:szCs w:val="18"/>
        </w:rPr>
        <w:t xml:space="preserve"> </w:t>
      </w:r>
      <w:r w:rsidR="00AB279D" w:rsidRPr="003B41B5">
        <w:rPr>
          <w:rFonts w:eastAsia="Arial" w:cs="Arial"/>
          <w:sz w:val="18"/>
          <w:szCs w:val="18"/>
        </w:rPr>
        <w:t>example)</w:t>
      </w:r>
      <w:r w:rsidRPr="003B41B5">
        <w:rPr>
          <w:rFonts w:eastAsia="Arial" w:cs="Arial"/>
          <w:sz w:val="18"/>
          <w:szCs w:val="18"/>
        </w:rPr>
        <w:t xml:space="preserve"> </w:t>
      </w:r>
      <w:r w:rsidR="00AB279D" w:rsidRPr="003B41B5">
        <w:rPr>
          <w:rFonts w:eastAsia="Arial" w:cs="Arial"/>
          <w:sz w:val="18"/>
          <w:szCs w:val="18"/>
        </w:rPr>
        <w:t>for</w:t>
      </w:r>
      <w:r w:rsidRPr="003B41B5">
        <w:rPr>
          <w:rFonts w:eastAsia="Arial" w:cs="Arial"/>
          <w:sz w:val="18"/>
          <w:szCs w:val="18"/>
        </w:rPr>
        <w:t xml:space="preserve"> </w:t>
      </w:r>
      <w:r w:rsidR="00AB279D" w:rsidRPr="003B41B5">
        <w:rPr>
          <w:rFonts w:eastAsia="Arial" w:cs="Arial"/>
          <w:sz w:val="18"/>
          <w:szCs w:val="18"/>
        </w:rPr>
        <w:t>the two</w:t>
      </w:r>
      <w:r w:rsidRPr="003B41B5">
        <w:rPr>
          <w:rFonts w:eastAsia="Arial" w:cs="Arial"/>
          <w:sz w:val="18"/>
          <w:szCs w:val="18"/>
        </w:rPr>
        <w:t xml:space="preserve"> years following the </w:t>
      </w:r>
      <w:r w:rsidR="00AB279D" w:rsidRPr="003B41B5">
        <w:rPr>
          <w:rFonts w:eastAsia="Arial" w:cs="Arial"/>
          <w:sz w:val="18"/>
          <w:szCs w:val="18"/>
        </w:rPr>
        <w:t>initial</w:t>
      </w:r>
      <w:r w:rsidRPr="003B41B5">
        <w:rPr>
          <w:rFonts w:eastAsia="Arial" w:cs="Arial"/>
          <w:sz w:val="18"/>
          <w:szCs w:val="18"/>
        </w:rPr>
        <w:t xml:space="preserve"> determination, with a wider </w:t>
      </w:r>
      <w:r w:rsidR="00AB279D" w:rsidRPr="003B41B5">
        <w:rPr>
          <w:rFonts w:eastAsia="Arial" w:cs="Arial"/>
          <w:sz w:val="18"/>
          <w:szCs w:val="18"/>
        </w:rPr>
        <w:t>ranging</w:t>
      </w:r>
      <w:r w:rsidRPr="003B41B5">
        <w:rPr>
          <w:rFonts w:eastAsia="Arial" w:cs="Arial"/>
          <w:sz w:val="18"/>
          <w:szCs w:val="18"/>
        </w:rPr>
        <w:t xml:space="preserve"> </w:t>
      </w:r>
      <w:r w:rsidR="00AB279D" w:rsidRPr="003B41B5">
        <w:rPr>
          <w:rFonts w:eastAsia="Arial" w:cs="Arial"/>
          <w:sz w:val="18"/>
          <w:szCs w:val="18"/>
        </w:rPr>
        <w:t>review</w:t>
      </w:r>
      <w:r w:rsidRPr="003B41B5">
        <w:rPr>
          <w:rFonts w:eastAsia="Arial" w:cs="Arial"/>
          <w:sz w:val="18"/>
          <w:szCs w:val="18"/>
        </w:rPr>
        <w:t xml:space="preserve"> say every three years.</w:t>
      </w:r>
    </w:p>
    <w:p w:rsidR="0080603F" w:rsidRPr="003B41B5" w:rsidRDefault="0080603F" w:rsidP="00D95A63">
      <w:pPr>
        <w:spacing w:after="120"/>
        <w:ind w:right="62" w:hanging="10"/>
        <w:jc w:val="both"/>
        <w:rPr>
          <w:rFonts w:eastAsia="Arial" w:cs="Arial"/>
          <w:sz w:val="18"/>
          <w:szCs w:val="18"/>
        </w:rPr>
      </w:pPr>
      <w:r w:rsidRPr="003B41B5">
        <w:rPr>
          <w:rFonts w:eastAsia="Arial" w:cs="Arial"/>
          <w:sz w:val="18"/>
          <w:szCs w:val="18"/>
        </w:rPr>
        <w:t xml:space="preserve">The major </w:t>
      </w:r>
      <w:r w:rsidR="00AB279D" w:rsidRPr="003B41B5">
        <w:rPr>
          <w:rFonts w:eastAsia="Arial" w:cs="Arial"/>
          <w:sz w:val="18"/>
          <w:szCs w:val="18"/>
        </w:rPr>
        <w:t>advantage</w:t>
      </w:r>
      <w:r w:rsidRPr="003B41B5">
        <w:rPr>
          <w:rFonts w:eastAsia="Arial" w:cs="Arial"/>
          <w:sz w:val="18"/>
          <w:szCs w:val="18"/>
        </w:rPr>
        <w:t xml:space="preserve"> of </w:t>
      </w:r>
      <w:r w:rsidR="00AB279D" w:rsidRPr="003B41B5">
        <w:rPr>
          <w:rFonts w:eastAsia="Arial" w:cs="Arial"/>
          <w:sz w:val="18"/>
          <w:szCs w:val="18"/>
        </w:rPr>
        <w:t>periodic</w:t>
      </w:r>
      <w:r w:rsidRPr="003B41B5">
        <w:rPr>
          <w:rFonts w:eastAsia="Arial" w:cs="Arial"/>
          <w:sz w:val="18"/>
          <w:szCs w:val="18"/>
        </w:rPr>
        <w:t xml:space="preserve"> </w:t>
      </w:r>
      <w:r w:rsidR="00AB279D" w:rsidRPr="003B41B5">
        <w:rPr>
          <w:rFonts w:eastAsia="Arial" w:cs="Arial"/>
          <w:sz w:val="18"/>
          <w:szCs w:val="18"/>
        </w:rPr>
        <w:t>review</w:t>
      </w:r>
      <w:r w:rsidRPr="003B41B5">
        <w:rPr>
          <w:rFonts w:eastAsia="Arial" w:cs="Arial"/>
          <w:sz w:val="18"/>
          <w:szCs w:val="18"/>
        </w:rPr>
        <w:t xml:space="preserve"> (whether annual or less frequently) </w:t>
      </w:r>
      <w:r w:rsidR="00AB279D" w:rsidRPr="003B41B5">
        <w:rPr>
          <w:rFonts w:eastAsia="Arial" w:cs="Arial"/>
          <w:sz w:val="18"/>
          <w:szCs w:val="18"/>
        </w:rPr>
        <w:t>is that</w:t>
      </w:r>
      <w:r w:rsidRPr="003B41B5">
        <w:rPr>
          <w:rFonts w:eastAsia="Arial" w:cs="Arial"/>
          <w:sz w:val="18"/>
          <w:szCs w:val="18"/>
        </w:rPr>
        <w:t xml:space="preserve"> circumstances which </w:t>
      </w:r>
      <w:r w:rsidR="00AB279D" w:rsidRPr="003B41B5">
        <w:rPr>
          <w:rFonts w:eastAsia="Arial" w:cs="Arial"/>
          <w:sz w:val="18"/>
          <w:szCs w:val="18"/>
        </w:rPr>
        <w:t>were</w:t>
      </w:r>
      <w:r w:rsidRPr="003B41B5">
        <w:rPr>
          <w:rFonts w:eastAsia="Arial" w:cs="Arial"/>
          <w:sz w:val="18"/>
          <w:szCs w:val="18"/>
        </w:rPr>
        <w:t xml:space="preserve"> not anticipated can be taken into account  and unintended consequences avoided.</w:t>
      </w:r>
    </w:p>
    <w:p w:rsidR="00035CEC" w:rsidRPr="00F33032" w:rsidRDefault="0052437D" w:rsidP="00CC5844">
      <w:pPr>
        <w:pStyle w:val="Heading2"/>
      </w:pPr>
      <w:bookmarkStart w:id="113" w:name="_Toc443486978"/>
      <w:r>
        <w:t>2</w:t>
      </w:r>
      <w:r>
        <w:tab/>
        <w:t xml:space="preserve">Extract from the </w:t>
      </w:r>
      <w:r w:rsidR="00267AAF" w:rsidRPr="00F33032">
        <w:t>2014 Report -</w:t>
      </w:r>
      <w:r w:rsidR="00953027" w:rsidRPr="00F33032">
        <w:t xml:space="preserve"> sections 4.12 and 4.13</w:t>
      </w:r>
      <w:bookmarkEnd w:id="113"/>
    </w:p>
    <w:p w:rsidR="00E823F5" w:rsidRPr="003B41B5" w:rsidRDefault="00E823F5" w:rsidP="006A11FD">
      <w:pPr>
        <w:rPr>
          <w:sz w:val="18"/>
          <w:szCs w:val="18"/>
          <w:u w:val="single"/>
        </w:rPr>
      </w:pPr>
      <w:r w:rsidRPr="003B41B5">
        <w:rPr>
          <w:sz w:val="18"/>
          <w:szCs w:val="18"/>
          <w:u w:val="single"/>
        </w:rPr>
        <w:t>The Notion of a Nexus or Linkage</w:t>
      </w:r>
    </w:p>
    <w:p w:rsidR="00E823F5" w:rsidRPr="003B41B5" w:rsidRDefault="00E823F5" w:rsidP="00D95A63">
      <w:pPr>
        <w:spacing w:after="120"/>
        <w:jc w:val="both"/>
        <w:rPr>
          <w:sz w:val="18"/>
          <w:szCs w:val="18"/>
          <w:lang w:val="en-US"/>
        </w:rPr>
      </w:pPr>
      <w:r w:rsidRPr="003B41B5">
        <w:rPr>
          <w:sz w:val="18"/>
          <w:szCs w:val="18"/>
          <w:lang w:val="en-US"/>
        </w:rPr>
        <w:t xml:space="preserve">In this section we discuss various options for a nexus or linkage. There are two aspects to this consideration. Firstly, is it appropriate to use an external formal linkage in the </w:t>
      </w:r>
      <w:r w:rsidRPr="003B41B5">
        <w:rPr>
          <w:sz w:val="18"/>
          <w:szCs w:val="18"/>
          <w:u w:val="single"/>
          <w:lang w:val="en-US"/>
        </w:rPr>
        <w:t>establishment</w:t>
      </w:r>
      <w:r w:rsidRPr="003B41B5">
        <w:rPr>
          <w:sz w:val="18"/>
          <w:szCs w:val="18"/>
          <w:lang w:val="en-US"/>
        </w:rPr>
        <w:t xml:space="preserve"> of the basic rate, and secondly, whether a formal linkage should be used in the ongoing </w:t>
      </w:r>
      <w:r w:rsidRPr="003B41B5">
        <w:rPr>
          <w:sz w:val="18"/>
          <w:szCs w:val="18"/>
          <w:u w:val="single"/>
          <w:lang w:val="en-US"/>
        </w:rPr>
        <w:t>maintenance</w:t>
      </w:r>
      <w:r w:rsidRPr="003B41B5">
        <w:rPr>
          <w:sz w:val="18"/>
          <w:szCs w:val="18"/>
          <w:lang w:val="en-US"/>
        </w:rPr>
        <w:t xml:space="preserve"> of the basic rate, once established?</w:t>
      </w:r>
    </w:p>
    <w:p w:rsidR="00E823F5" w:rsidRPr="003B41B5" w:rsidRDefault="00E823F5" w:rsidP="00D95A63">
      <w:pPr>
        <w:spacing w:after="120"/>
        <w:jc w:val="both"/>
        <w:rPr>
          <w:i/>
          <w:sz w:val="18"/>
          <w:szCs w:val="18"/>
          <w:lang w:val="en-US"/>
        </w:rPr>
      </w:pPr>
      <w:r w:rsidRPr="003B41B5">
        <w:rPr>
          <w:i/>
          <w:sz w:val="18"/>
          <w:szCs w:val="18"/>
          <w:lang w:val="en-US"/>
        </w:rPr>
        <w:t>Commonwealth Parliament</w:t>
      </w:r>
    </w:p>
    <w:p w:rsidR="00E823F5" w:rsidRPr="003B41B5" w:rsidRDefault="00E823F5" w:rsidP="00D95A63">
      <w:pPr>
        <w:spacing w:after="120"/>
        <w:jc w:val="both"/>
        <w:rPr>
          <w:sz w:val="18"/>
          <w:szCs w:val="18"/>
          <w:lang w:val="en-US"/>
        </w:rPr>
      </w:pPr>
      <w:r w:rsidRPr="003B41B5">
        <w:rPr>
          <w:sz w:val="18"/>
          <w:szCs w:val="18"/>
          <w:lang w:val="en-US"/>
        </w:rPr>
        <w:t>Between the 1997 Report and 2012 Act the basic salary in Tasmania was formally linked to the basic salary in the Commonwealth Parliament (85.19%). The 2012 Act broke this linkage.</w:t>
      </w:r>
    </w:p>
    <w:p w:rsidR="00E823F5" w:rsidRPr="003B41B5" w:rsidRDefault="00E823F5" w:rsidP="00D95A63">
      <w:pPr>
        <w:spacing w:after="120"/>
        <w:jc w:val="both"/>
        <w:rPr>
          <w:sz w:val="18"/>
          <w:szCs w:val="18"/>
          <w:lang w:val="en-US"/>
        </w:rPr>
      </w:pPr>
      <w:r w:rsidRPr="003B41B5">
        <w:rPr>
          <w:sz w:val="18"/>
          <w:szCs w:val="18"/>
          <w:lang w:val="en-US"/>
        </w:rPr>
        <w:t xml:space="preserve">The Commonwealth Report 2011, in granting, </w:t>
      </w:r>
      <w:r w:rsidRPr="003B41B5">
        <w:rPr>
          <w:i/>
          <w:sz w:val="18"/>
          <w:szCs w:val="18"/>
          <w:lang w:val="en-US"/>
        </w:rPr>
        <w:t xml:space="preserve">inter alia, </w:t>
      </w:r>
      <w:r w:rsidRPr="003B41B5">
        <w:rPr>
          <w:sz w:val="18"/>
          <w:szCs w:val="18"/>
          <w:lang w:val="en-US"/>
        </w:rPr>
        <w:t>a 31.3% salary increase, observed:</w:t>
      </w:r>
    </w:p>
    <w:p w:rsidR="00E823F5" w:rsidRPr="003B41B5" w:rsidRDefault="00E823F5" w:rsidP="00267AAF">
      <w:pPr>
        <w:spacing w:after="120"/>
        <w:ind w:left="567" w:right="521" w:hanging="141"/>
        <w:jc w:val="both"/>
        <w:rPr>
          <w:i/>
          <w:sz w:val="18"/>
          <w:szCs w:val="18"/>
          <w:lang w:val="en-US"/>
        </w:rPr>
      </w:pPr>
      <w:r w:rsidRPr="003B41B5">
        <w:rPr>
          <w:sz w:val="18"/>
          <w:szCs w:val="18"/>
          <w:lang w:val="en-US"/>
        </w:rPr>
        <w:t>“</w:t>
      </w:r>
      <w:r w:rsidR="00267AAF" w:rsidRPr="003B41B5">
        <w:rPr>
          <w:sz w:val="18"/>
          <w:szCs w:val="18"/>
          <w:lang w:val="en-US"/>
        </w:rPr>
        <w:tab/>
      </w:r>
      <w:r w:rsidRPr="003B41B5">
        <w:rPr>
          <w:i/>
          <w:sz w:val="18"/>
          <w:szCs w:val="18"/>
          <w:lang w:val="en-US"/>
        </w:rPr>
        <w:t xml:space="preserve">The Tribunal recommends that any existing linkages between the remuneration of state and territory parliamentarians and assembly members and the base salary of federal parliamentarians be severed on the basis that it cannot be justified without a state or </w:t>
      </w:r>
      <w:r w:rsidRPr="003B41B5">
        <w:rPr>
          <w:i/>
          <w:sz w:val="18"/>
          <w:szCs w:val="18"/>
          <w:lang w:val="en-US"/>
        </w:rPr>
        <w:lastRenderedPageBreak/>
        <w:t>territory based work-value assessment similar to that conducted for federal parliamentarians.”</w:t>
      </w:r>
    </w:p>
    <w:p w:rsidR="00E823F5" w:rsidRPr="003B41B5" w:rsidRDefault="00E823F5" w:rsidP="00D95A63">
      <w:pPr>
        <w:spacing w:after="120"/>
        <w:jc w:val="both"/>
        <w:rPr>
          <w:sz w:val="18"/>
          <w:szCs w:val="18"/>
          <w:lang w:val="en-US"/>
        </w:rPr>
      </w:pPr>
      <w:r w:rsidRPr="003B41B5">
        <w:rPr>
          <w:sz w:val="18"/>
          <w:szCs w:val="18"/>
          <w:lang w:val="en-US"/>
        </w:rPr>
        <w:t xml:space="preserve">Unlike the 1997 review, no individual or organisation contended that a formal linkage with the Commonwealth be re-established. </w:t>
      </w:r>
    </w:p>
    <w:p w:rsidR="00E823F5" w:rsidRPr="003B41B5" w:rsidRDefault="00E823F5" w:rsidP="00D95A63">
      <w:pPr>
        <w:spacing w:after="120"/>
        <w:jc w:val="both"/>
        <w:rPr>
          <w:sz w:val="18"/>
          <w:szCs w:val="18"/>
          <w:lang w:val="en-US"/>
        </w:rPr>
      </w:pPr>
      <w:r w:rsidRPr="003B41B5">
        <w:rPr>
          <w:sz w:val="18"/>
          <w:szCs w:val="18"/>
          <w:lang w:val="en-US"/>
        </w:rPr>
        <w:t xml:space="preserve">We also note that this issue was canvassed in the </w:t>
      </w:r>
      <w:r w:rsidRPr="003B41B5">
        <w:rPr>
          <w:i/>
          <w:sz w:val="18"/>
          <w:szCs w:val="18"/>
          <w:lang w:val="en-US"/>
        </w:rPr>
        <w:t>Queensland Determination 1/2013</w:t>
      </w:r>
      <w:r w:rsidRPr="003B41B5">
        <w:rPr>
          <w:sz w:val="18"/>
          <w:szCs w:val="18"/>
          <w:lang w:val="en-US"/>
        </w:rPr>
        <w:t xml:space="preserve"> in which the Tribunal concluded that:</w:t>
      </w:r>
      <w:r w:rsidRPr="003B41B5">
        <w:rPr>
          <w:rStyle w:val="FootnoteReference"/>
          <w:sz w:val="18"/>
          <w:szCs w:val="18"/>
          <w:lang w:val="en-US"/>
        </w:rPr>
        <w:footnoteReference w:id="111"/>
      </w:r>
    </w:p>
    <w:p w:rsidR="00E823F5" w:rsidRPr="003B41B5" w:rsidRDefault="00E823F5" w:rsidP="00267AAF">
      <w:pPr>
        <w:spacing w:after="120"/>
        <w:ind w:left="567" w:right="521" w:hanging="141"/>
        <w:jc w:val="both"/>
        <w:rPr>
          <w:i/>
          <w:sz w:val="18"/>
          <w:szCs w:val="18"/>
          <w:lang w:val="en-US"/>
        </w:rPr>
      </w:pPr>
      <w:r w:rsidRPr="003B41B5">
        <w:rPr>
          <w:sz w:val="18"/>
          <w:szCs w:val="18"/>
          <w:lang w:val="en-US"/>
        </w:rPr>
        <w:t>“</w:t>
      </w:r>
      <w:r w:rsidR="00267AAF" w:rsidRPr="003B41B5">
        <w:rPr>
          <w:sz w:val="18"/>
          <w:szCs w:val="18"/>
          <w:lang w:val="en-US"/>
        </w:rPr>
        <w:tab/>
      </w:r>
      <w:r w:rsidRPr="003B41B5">
        <w:rPr>
          <w:i/>
          <w:sz w:val="18"/>
          <w:szCs w:val="18"/>
          <w:lang w:val="en-US"/>
        </w:rPr>
        <w:t>For various reasons that relate to difference in roles, the Tribunal concurs with the assessment of Egan Associates and believes that State comparisons are more valid than a comparison with the Commonwealth.”</w:t>
      </w:r>
    </w:p>
    <w:p w:rsidR="00E823F5" w:rsidRPr="003B41B5" w:rsidRDefault="00E823F5" w:rsidP="00D95A63">
      <w:pPr>
        <w:spacing w:after="120"/>
        <w:jc w:val="both"/>
        <w:rPr>
          <w:sz w:val="18"/>
          <w:szCs w:val="18"/>
          <w:lang w:val="en-US"/>
        </w:rPr>
      </w:pPr>
      <w:r w:rsidRPr="003B41B5">
        <w:rPr>
          <w:sz w:val="18"/>
          <w:szCs w:val="18"/>
          <w:lang w:val="en-US"/>
        </w:rPr>
        <w:t>We agree and conclude that there is no basis for a formal linkage with the Commonwealth basic rate.</w:t>
      </w:r>
    </w:p>
    <w:p w:rsidR="00E823F5" w:rsidRPr="003B41B5" w:rsidRDefault="00E823F5" w:rsidP="00D95A63">
      <w:pPr>
        <w:spacing w:after="120"/>
        <w:ind w:left="709" w:hanging="709"/>
        <w:jc w:val="both"/>
        <w:rPr>
          <w:i/>
          <w:sz w:val="18"/>
          <w:szCs w:val="18"/>
          <w:lang w:val="en-US"/>
        </w:rPr>
      </w:pPr>
      <w:r w:rsidRPr="003B41B5">
        <w:rPr>
          <w:i/>
          <w:sz w:val="18"/>
          <w:szCs w:val="18"/>
          <w:lang w:val="en-US"/>
        </w:rPr>
        <w:t>State and Territory Parliaments</w:t>
      </w:r>
    </w:p>
    <w:p w:rsidR="00E823F5" w:rsidRPr="003B41B5" w:rsidRDefault="00E823F5" w:rsidP="00D95A63">
      <w:pPr>
        <w:spacing w:after="120"/>
        <w:jc w:val="both"/>
        <w:rPr>
          <w:sz w:val="18"/>
          <w:szCs w:val="18"/>
          <w:lang w:val="en-US"/>
        </w:rPr>
      </w:pPr>
      <w:r w:rsidRPr="003B41B5">
        <w:rPr>
          <w:sz w:val="18"/>
          <w:szCs w:val="18"/>
          <w:lang w:val="en-US"/>
        </w:rPr>
        <w:t>The basic salary applicable in the various State and Territory Parliaments has always been a significant consideration in the determination of the Tasmanian salary. Indeed, the 1973 Act fixed the Tasmanian salary by reference to the average of salaries paid in NSW, Victoria, Queensland, Western Australia and South Australia. In 1983 NSW and Victoria were removed from the averaging equation.</w:t>
      </w:r>
    </w:p>
    <w:p w:rsidR="00E823F5" w:rsidRPr="003B41B5" w:rsidRDefault="00E823F5" w:rsidP="00D95A63">
      <w:pPr>
        <w:spacing w:after="120"/>
        <w:jc w:val="both"/>
        <w:rPr>
          <w:sz w:val="18"/>
          <w:szCs w:val="18"/>
          <w:lang w:val="en-US"/>
        </w:rPr>
      </w:pPr>
      <w:r w:rsidRPr="003B41B5">
        <w:rPr>
          <w:sz w:val="18"/>
          <w:szCs w:val="18"/>
          <w:lang w:val="en-US"/>
        </w:rPr>
        <w:t>The relevance of State Parliaments was also to the forefront of consideration in the 1997 review, albeit coupled with localised considerations through the differential in average weekly earnings between Tasmania and the national position.</w:t>
      </w:r>
    </w:p>
    <w:p w:rsidR="00E823F5" w:rsidRPr="003B41B5" w:rsidRDefault="00E823F5" w:rsidP="00D95A63">
      <w:pPr>
        <w:spacing w:after="120"/>
        <w:jc w:val="both"/>
        <w:rPr>
          <w:sz w:val="18"/>
          <w:szCs w:val="18"/>
          <w:lang w:val="en-US"/>
        </w:rPr>
      </w:pPr>
      <w:r w:rsidRPr="003B41B5">
        <w:rPr>
          <w:sz w:val="18"/>
          <w:szCs w:val="18"/>
          <w:lang w:val="en-US"/>
        </w:rPr>
        <w:t>We agree that the basic salary applicable in the State and Territory Parliaments remains a significant consideration in the determination of the Tasmanian salary. However we do not favour the establishment and/or maintenance of a formal arithmetic linkage. There is no logical reason why Tasmania should be the average of (or bear any other arithmetic relationship with) the other jurisdictions, however defined.</w:t>
      </w:r>
    </w:p>
    <w:p w:rsidR="00E823F5" w:rsidRPr="003B41B5" w:rsidRDefault="00E823F5" w:rsidP="00D95A63">
      <w:pPr>
        <w:spacing w:after="120"/>
        <w:jc w:val="both"/>
        <w:rPr>
          <w:sz w:val="18"/>
          <w:szCs w:val="18"/>
          <w:lang w:val="en-US"/>
        </w:rPr>
      </w:pPr>
      <w:r w:rsidRPr="003B41B5">
        <w:rPr>
          <w:sz w:val="18"/>
          <w:szCs w:val="18"/>
          <w:lang w:val="en-US"/>
        </w:rPr>
        <w:t>The other major issue is that it is a moveable feast. Since we commenced our consideration there have been major independent reviews in Queensland and the ACT and the WA review is underway.</w:t>
      </w:r>
    </w:p>
    <w:p w:rsidR="00E823F5" w:rsidRPr="003B41B5" w:rsidRDefault="00E823F5" w:rsidP="00D95A63">
      <w:pPr>
        <w:spacing w:after="120"/>
        <w:jc w:val="both"/>
        <w:rPr>
          <w:sz w:val="18"/>
          <w:szCs w:val="18"/>
          <w:lang w:val="en-US"/>
        </w:rPr>
      </w:pPr>
      <w:r w:rsidRPr="003B41B5">
        <w:rPr>
          <w:sz w:val="18"/>
          <w:szCs w:val="18"/>
          <w:lang w:val="en-US"/>
        </w:rPr>
        <w:t xml:space="preserve">In our view the salaries applicable in the State and Territory Parliaments are an important component in </w:t>
      </w:r>
      <w:r w:rsidRPr="003B41B5">
        <w:rPr>
          <w:i/>
          <w:sz w:val="18"/>
          <w:szCs w:val="18"/>
          <w:lang w:val="en-US"/>
        </w:rPr>
        <w:t xml:space="preserve">the mix </w:t>
      </w:r>
      <w:r w:rsidRPr="003B41B5">
        <w:rPr>
          <w:sz w:val="18"/>
          <w:szCs w:val="18"/>
          <w:lang w:val="en-US"/>
        </w:rPr>
        <w:t>of a range of considerations to be taken into account.</w:t>
      </w:r>
    </w:p>
    <w:p w:rsidR="00E823F5" w:rsidRPr="003B41B5" w:rsidRDefault="00E823F5" w:rsidP="00D95A63">
      <w:pPr>
        <w:spacing w:after="120"/>
        <w:jc w:val="both"/>
        <w:rPr>
          <w:i/>
          <w:sz w:val="18"/>
          <w:szCs w:val="18"/>
          <w:lang w:val="en-US"/>
        </w:rPr>
      </w:pPr>
      <w:r w:rsidRPr="003B41B5">
        <w:rPr>
          <w:i/>
          <w:sz w:val="18"/>
          <w:szCs w:val="18"/>
          <w:lang w:val="en-US"/>
        </w:rPr>
        <w:t>The State Service</w:t>
      </w:r>
    </w:p>
    <w:p w:rsidR="00E823F5" w:rsidRPr="003B41B5" w:rsidRDefault="00E823F5" w:rsidP="00D95A63">
      <w:pPr>
        <w:spacing w:after="120"/>
        <w:jc w:val="both"/>
        <w:rPr>
          <w:sz w:val="18"/>
          <w:szCs w:val="18"/>
          <w:lang w:val="en-US"/>
        </w:rPr>
      </w:pPr>
      <w:r w:rsidRPr="003B41B5">
        <w:rPr>
          <w:sz w:val="18"/>
          <w:szCs w:val="18"/>
          <w:lang w:val="en-US"/>
        </w:rPr>
        <w:t xml:space="preserve">The CPSU submitted that the basic salary should be set and maintained at 202% of Band 3 Range 1 level 5 of the </w:t>
      </w:r>
      <w:r w:rsidRPr="003B41B5">
        <w:rPr>
          <w:i/>
          <w:sz w:val="18"/>
          <w:szCs w:val="18"/>
          <w:lang w:val="en-US"/>
        </w:rPr>
        <w:t>Tasmanian State Service Award</w:t>
      </w:r>
      <w:r w:rsidRPr="003B41B5">
        <w:rPr>
          <w:sz w:val="18"/>
          <w:szCs w:val="18"/>
          <w:lang w:val="en-US"/>
        </w:rPr>
        <w:t>.</w:t>
      </w:r>
    </w:p>
    <w:p w:rsidR="00E823F5" w:rsidRPr="003B41B5" w:rsidRDefault="00E823F5" w:rsidP="00D95A63">
      <w:pPr>
        <w:spacing w:after="120"/>
        <w:jc w:val="both"/>
        <w:rPr>
          <w:sz w:val="18"/>
          <w:szCs w:val="18"/>
          <w:lang w:val="en-US"/>
        </w:rPr>
      </w:pPr>
      <w:r w:rsidRPr="003B41B5">
        <w:rPr>
          <w:sz w:val="18"/>
          <w:szCs w:val="18"/>
          <w:lang w:val="en-US"/>
        </w:rPr>
        <w:t xml:space="preserve">The Greens proposed that the basic salary be set at 95.734% of Level 1, Range 1 of band 9 of the General Stream of the </w:t>
      </w:r>
      <w:r w:rsidRPr="003B41B5">
        <w:rPr>
          <w:i/>
          <w:sz w:val="18"/>
          <w:szCs w:val="18"/>
          <w:lang w:val="en-US"/>
        </w:rPr>
        <w:t>Tasmanian State Service Award</w:t>
      </w:r>
      <w:r w:rsidRPr="003B41B5">
        <w:rPr>
          <w:sz w:val="18"/>
          <w:szCs w:val="18"/>
          <w:lang w:val="en-US"/>
        </w:rPr>
        <w:t xml:space="preserve">. </w:t>
      </w:r>
    </w:p>
    <w:p w:rsidR="00E823F5" w:rsidRPr="003B41B5" w:rsidRDefault="00E823F5" w:rsidP="00D95A63">
      <w:pPr>
        <w:spacing w:after="120"/>
        <w:jc w:val="both"/>
        <w:rPr>
          <w:sz w:val="18"/>
          <w:szCs w:val="18"/>
          <w:lang w:val="en-US"/>
        </w:rPr>
      </w:pPr>
      <w:r w:rsidRPr="003B41B5">
        <w:rPr>
          <w:sz w:val="18"/>
          <w:szCs w:val="18"/>
          <w:lang w:val="en-US"/>
        </w:rPr>
        <w:t>It follows under both the CPSU and Greens proposals, that future adjustments be linked to movements in the award classification.</w:t>
      </w:r>
    </w:p>
    <w:p w:rsidR="00E823F5" w:rsidRPr="003B41B5" w:rsidRDefault="00E823F5" w:rsidP="00D95A63">
      <w:pPr>
        <w:spacing w:after="120"/>
        <w:jc w:val="both"/>
        <w:rPr>
          <w:sz w:val="18"/>
          <w:szCs w:val="18"/>
          <w:lang w:val="en-US"/>
        </w:rPr>
      </w:pPr>
      <w:r w:rsidRPr="003B41B5">
        <w:rPr>
          <w:sz w:val="18"/>
          <w:szCs w:val="18"/>
          <w:lang w:val="en-US"/>
        </w:rPr>
        <w:t>The then State Government submitted that the existing salary be increased in line with State Wages Policy and thereafter adjusted to maintain relativity with the salary movements that are applicable to the general public sector in Tasmania. It was contended that such an approach would:</w:t>
      </w:r>
    </w:p>
    <w:p w:rsidR="00E823F5" w:rsidRPr="003B41B5" w:rsidRDefault="00296756" w:rsidP="003B41B5">
      <w:pPr>
        <w:numPr>
          <w:ilvl w:val="0"/>
          <w:numId w:val="26"/>
        </w:numPr>
        <w:spacing w:after="120"/>
        <w:jc w:val="both"/>
        <w:rPr>
          <w:sz w:val="18"/>
          <w:szCs w:val="18"/>
          <w:lang w:val="en-US"/>
        </w:rPr>
      </w:pPr>
      <w:r w:rsidRPr="003B41B5">
        <w:rPr>
          <w:sz w:val="18"/>
          <w:szCs w:val="18"/>
          <w:lang w:val="en-US"/>
        </w:rPr>
        <w:t xml:space="preserve">be </w:t>
      </w:r>
      <w:r w:rsidR="00E823F5" w:rsidRPr="003B41B5">
        <w:rPr>
          <w:sz w:val="18"/>
          <w:szCs w:val="18"/>
          <w:lang w:val="en-US"/>
        </w:rPr>
        <w:t>automatic and would not require direction intervention by MPs</w:t>
      </w:r>
    </w:p>
    <w:p w:rsidR="00E823F5" w:rsidRPr="003B41B5" w:rsidRDefault="00296756" w:rsidP="003B41B5">
      <w:pPr>
        <w:numPr>
          <w:ilvl w:val="0"/>
          <w:numId w:val="26"/>
        </w:numPr>
        <w:spacing w:after="120"/>
        <w:jc w:val="both"/>
        <w:rPr>
          <w:sz w:val="18"/>
          <w:szCs w:val="18"/>
          <w:lang w:val="en-US"/>
        </w:rPr>
      </w:pPr>
      <w:r w:rsidRPr="003B41B5">
        <w:rPr>
          <w:sz w:val="18"/>
          <w:szCs w:val="18"/>
          <w:lang w:val="en-US"/>
        </w:rPr>
        <w:t xml:space="preserve">be </w:t>
      </w:r>
      <w:r w:rsidR="00E823F5" w:rsidRPr="003B41B5">
        <w:rPr>
          <w:sz w:val="18"/>
          <w:szCs w:val="18"/>
          <w:lang w:val="en-US"/>
        </w:rPr>
        <w:t>transparent and easy to understand and administer</w:t>
      </w:r>
    </w:p>
    <w:p w:rsidR="00E823F5" w:rsidRPr="003B41B5" w:rsidRDefault="00296756" w:rsidP="003B41B5">
      <w:pPr>
        <w:numPr>
          <w:ilvl w:val="0"/>
          <w:numId w:val="26"/>
        </w:numPr>
        <w:spacing w:after="120"/>
        <w:jc w:val="both"/>
        <w:rPr>
          <w:sz w:val="18"/>
          <w:szCs w:val="18"/>
          <w:lang w:val="en-US"/>
        </w:rPr>
      </w:pPr>
      <w:r w:rsidRPr="003B41B5">
        <w:rPr>
          <w:sz w:val="18"/>
          <w:szCs w:val="18"/>
          <w:lang w:val="en-US"/>
        </w:rPr>
        <w:t xml:space="preserve">be </w:t>
      </w:r>
      <w:r w:rsidR="00E823F5" w:rsidRPr="003B41B5">
        <w:rPr>
          <w:sz w:val="18"/>
          <w:szCs w:val="18"/>
          <w:lang w:val="en-US"/>
        </w:rPr>
        <w:t>cost effective in that it would not require a large resource investment, such as the establishment of a remuneration tribunal or extensive independent analysis.</w:t>
      </w:r>
    </w:p>
    <w:p w:rsidR="00E823F5" w:rsidRPr="003B41B5" w:rsidRDefault="00E823F5" w:rsidP="00D95A63">
      <w:pPr>
        <w:spacing w:after="120"/>
        <w:jc w:val="both"/>
        <w:rPr>
          <w:sz w:val="18"/>
          <w:szCs w:val="18"/>
          <w:lang w:val="en-US"/>
        </w:rPr>
      </w:pPr>
      <w:r w:rsidRPr="003B41B5">
        <w:rPr>
          <w:sz w:val="18"/>
          <w:szCs w:val="18"/>
          <w:lang w:val="en-US"/>
        </w:rPr>
        <w:t>The HACSU, by inference, supported a salary adjustment in line with the State Service but was silent on a future adjustment mechanism.</w:t>
      </w:r>
    </w:p>
    <w:p w:rsidR="00E823F5" w:rsidRPr="003B41B5" w:rsidRDefault="00E823F5" w:rsidP="00D95A63">
      <w:pPr>
        <w:spacing w:after="120"/>
        <w:jc w:val="both"/>
        <w:rPr>
          <w:sz w:val="18"/>
          <w:szCs w:val="18"/>
          <w:lang w:val="en-US"/>
        </w:rPr>
      </w:pPr>
      <w:r w:rsidRPr="003B41B5">
        <w:rPr>
          <w:sz w:val="18"/>
          <w:szCs w:val="18"/>
          <w:lang w:val="en-US"/>
        </w:rPr>
        <w:t>There was limited (and qualified) support for some form of linkage with the State Service from a number of individual submissions.</w:t>
      </w:r>
    </w:p>
    <w:p w:rsidR="00E823F5" w:rsidRPr="003B41B5" w:rsidRDefault="00E823F5" w:rsidP="00D95A63">
      <w:pPr>
        <w:spacing w:after="120"/>
        <w:jc w:val="both"/>
        <w:rPr>
          <w:sz w:val="18"/>
          <w:szCs w:val="18"/>
          <w:lang w:val="en-US"/>
        </w:rPr>
      </w:pPr>
      <w:r w:rsidRPr="003B41B5">
        <w:rPr>
          <w:sz w:val="18"/>
          <w:szCs w:val="18"/>
          <w:lang w:val="en-US"/>
        </w:rPr>
        <w:t>The position of MPs (past and present) was almost universally opposed to any formal linkage with the State Service.</w:t>
      </w:r>
    </w:p>
    <w:p w:rsidR="00E823F5" w:rsidRPr="003B41B5" w:rsidRDefault="00E823F5" w:rsidP="00D95A63">
      <w:pPr>
        <w:spacing w:after="120"/>
        <w:jc w:val="both"/>
        <w:rPr>
          <w:sz w:val="18"/>
          <w:szCs w:val="18"/>
          <w:lang w:val="en-US"/>
        </w:rPr>
      </w:pPr>
      <w:r w:rsidRPr="003B41B5">
        <w:rPr>
          <w:sz w:val="18"/>
          <w:szCs w:val="18"/>
          <w:lang w:val="en-US"/>
        </w:rPr>
        <w:lastRenderedPageBreak/>
        <w:t>We accept the positions advanced in a number of submissions that the role of an MP is quite different to any level of the State Service. We respect the view of those proposing a direct linkage to a particular State Service classification. However in reality, these proposals do no more than accept that the existing salary level is correct and preserve the existing arithmetic relationship (Greens 95.734%, CPSU 202%). It does not amount to a considered finding as to comparability between an MP and a nominated State Service position in terms of role, responsibility and work value. It may well be a convenient approach, but it lacks the rigor deserving of a review charged with establishing a base which will be sustainable into the future.</w:t>
      </w:r>
    </w:p>
    <w:p w:rsidR="00E823F5" w:rsidRPr="003B41B5" w:rsidRDefault="00E823F5" w:rsidP="00D95A63">
      <w:pPr>
        <w:spacing w:after="120"/>
        <w:jc w:val="both"/>
        <w:rPr>
          <w:sz w:val="18"/>
          <w:szCs w:val="18"/>
          <w:lang w:val="en-US"/>
        </w:rPr>
      </w:pPr>
      <w:r w:rsidRPr="003B41B5">
        <w:rPr>
          <w:sz w:val="18"/>
          <w:szCs w:val="18"/>
          <w:lang w:val="en-US"/>
        </w:rPr>
        <w:t>We do not favour any formal link with a State Service classification for the purpose of establishing the basic salary.</w:t>
      </w:r>
    </w:p>
    <w:p w:rsidR="00E823F5" w:rsidRPr="003B41B5" w:rsidRDefault="00E823F5" w:rsidP="00D95A63">
      <w:pPr>
        <w:spacing w:after="120"/>
        <w:jc w:val="both"/>
        <w:rPr>
          <w:sz w:val="18"/>
          <w:szCs w:val="18"/>
          <w:lang w:val="en-US"/>
        </w:rPr>
      </w:pPr>
      <w:r w:rsidRPr="003B41B5">
        <w:rPr>
          <w:sz w:val="18"/>
          <w:szCs w:val="18"/>
          <w:lang w:val="en-US"/>
        </w:rPr>
        <w:t>That said, the level of salaries and wages paid in the wider State Service is part of the overall consideration in determining the basic salary.</w:t>
      </w:r>
    </w:p>
    <w:p w:rsidR="00E823F5" w:rsidRPr="003B41B5" w:rsidRDefault="00E823F5" w:rsidP="00D95A63">
      <w:pPr>
        <w:spacing w:after="120"/>
        <w:jc w:val="both"/>
        <w:rPr>
          <w:sz w:val="18"/>
          <w:szCs w:val="18"/>
          <w:lang w:val="en-US"/>
        </w:rPr>
      </w:pPr>
      <w:r w:rsidRPr="003B41B5">
        <w:rPr>
          <w:sz w:val="18"/>
          <w:szCs w:val="18"/>
          <w:lang w:val="en-US"/>
        </w:rPr>
        <w:t>There is considerably greater force in the argument that a future adjustment mechanism be linked to movements in the State Service. It is essentially the position that applies in NSW and the Northern Territory, but not in any other jurisdiction.</w:t>
      </w:r>
    </w:p>
    <w:p w:rsidR="00E823F5" w:rsidRPr="003B41B5" w:rsidRDefault="00E823F5" w:rsidP="00D95A63">
      <w:pPr>
        <w:spacing w:after="120"/>
        <w:jc w:val="both"/>
        <w:rPr>
          <w:sz w:val="18"/>
          <w:szCs w:val="18"/>
          <w:lang w:val="en-US"/>
        </w:rPr>
      </w:pPr>
      <w:r w:rsidRPr="003B41B5">
        <w:rPr>
          <w:sz w:val="18"/>
          <w:szCs w:val="18"/>
          <w:lang w:val="en-US"/>
        </w:rPr>
        <w:t>The obvious advantage is that it ensures salary movements for MPs are in line with the public sector generally, thus largely removing scope for public discontent.</w:t>
      </w:r>
    </w:p>
    <w:p w:rsidR="00E823F5" w:rsidRPr="003B41B5" w:rsidRDefault="00E823F5" w:rsidP="00D95A63">
      <w:pPr>
        <w:spacing w:after="120"/>
        <w:jc w:val="both"/>
        <w:rPr>
          <w:sz w:val="18"/>
          <w:szCs w:val="18"/>
          <w:lang w:val="en-US"/>
        </w:rPr>
      </w:pPr>
      <w:r w:rsidRPr="003B41B5">
        <w:rPr>
          <w:sz w:val="18"/>
          <w:szCs w:val="18"/>
          <w:lang w:val="en-US"/>
        </w:rPr>
        <w:t>A disadvantage is that the Government, as party to State Service wage negotiations, might be perceived as indirectly determining, or at least significantly influencing, their own salary outcomes. In reality, the checks and balances within the system means that it would be extremely unlikely that this bargaining position would be used improperly or mischievously (eg to achieve a favourable outcome for MPs would mean the same outcome extending to at least 13</w:t>
      </w:r>
      <w:r w:rsidR="00296756" w:rsidRPr="003B41B5">
        <w:rPr>
          <w:sz w:val="18"/>
          <w:szCs w:val="18"/>
          <w:lang w:val="en-US"/>
        </w:rPr>
        <w:t xml:space="preserve"> </w:t>
      </w:r>
      <w:r w:rsidRPr="003B41B5">
        <w:rPr>
          <w:sz w:val="18"/>
          <w:szCs w:val="18"/>
          <w:lang w:val="en-US"/>
        </w:rPr>
        <w:t>000 State Servants</w:t>
      </w:r>
      <w:r w:rsidRPr="003B41B5">
        <w:rPr>
          <w:rStyle w:val="FootnoteReference"/>
          <w:sz w:val="18"/>
          <w:szCs w:val="18"/>
          <w:lang w:val="en-US"/>
        </w:rPr>
        <w:footnoteReference w:id="112"/>
      </w:r>
      <w:r w:rsidRPr="003B41B5">
        <w:rPr>
          <w:sz w:val="18"/>
          <w:szCs w:val="18"/>
          <w:lang w:val="en-US"/>
        </w:rPr>
        <w:t xml:space="preserve">, with the obvious budgetary implications). Nonetheless, from the point of view of public perception, it is a consideration which should not be ignored. </w:t>
      </w:r>
    </w:p>
    <w:p w:rsidR="00E823F5" w:rsidRPr="003B41B5" w:rsidRDefault="00E823F5" w:rsidP="00D95A63">
      <w:pPr>
        <w:spacing w:after="120"/>
        <w:jc w:val="both"/>
        <w:rPr>
          <w:sz w:val="18"/>
          <w:szCs w:val="18"/>
          <w:lang w:val="en-US"/>
        </w:rPr>
      </w:pPr>
      <w:r w:rsidRPr="003B41B5">
        <w:rPr>
          <w:sz w:val="18"/>
          <w:szCs w:val="18"/>
          <w:lang w:val="en-US"/>
        </w:rPr>
        <w:t>In the context of the above discussion we note the observations of the ACT Remuneration Tribunal, with which we broadly agree.</w:t>
      </w:r>
      <w:r w:rsidRPr="003B41B5">
        <w:rPr>
          <w:rStyle w:val="FootnoteReference"/>
          <w:sz w:val="18"/>
          <w:szCs w:val="18"/>
          <w:lang w:val="en-US"/>
        </w:rPr>
        <w:footnoteReference w:id="113"/>
      </w:r>
    </w:p>
    <w:p w:rsidR="00E823F5" w:rsidRPr="003B41B5" w:rsidRDefault="00E823F5" w:rsidP="00267AAF">
      <w:pPr>
        <w:spacing w:after="120"/>
        <w:ind w:left="567" w:right="521" w:hanging="141"/>
        <w:jc w:val="both"/>
        <w:rPr>
          <w:i/>
          <w:sz w:val="18"/>
          <w:szCs w:val="18"/>
          <w:lang w:val="en-US"/>
        </w:rPr>
      </w:pPr>
      <w:r w:rsidRPr="003B41B5">
        <w:rPr>
          <w:i/>
          <w:sz w:val="18"/>
          <w:szCs w:val="18"/>
          <w:lang w:val="en-US"/>
        </w:rPr>
        <w:t>“</w:t>
      </w:r>
      <w:r w:rsidR="00267AAF" w:rsidRPr="003B41B5">
        <w:rPr>
          <w:i/>
          <w:sz w:val="18"/>
          <w:szCs w:val="18"/>
          <w:lang w:val="en-US"/>
        </w:rPr>
        <w:tab/>
      </w:r>
      <w:r w:rsidRPr="003B41B5">
        <w:rPr>
          <w:i/>
          <w:sz w:val="18"/>
          <w:szCs w:val="18"/>
          <w:lang w:val="en-US"/>
        </w:rPr>
        <w:t>Section 4 of the Tribunal’s report outlines the difficulty of equating work value of a Member with other Politicians around Australia and with the ACTPS. In particular, the Tribunal is at pains to ensure that there is no direct linkage with the ACTPS as it would be an inappropriate linkage. A deliberate decision has therefore been made to ensure that there is no direct linkage or ongoing ‘tie’ with any other jurisdictional politician or public servant.”</w:t>
      </w:r>
    </w:p>
    <w:p w:rsidR="00E823F5" w:rsidRPr="003B41B5" w:rsidRDefault="00E823F5" w:rsidP="00D95A63">
      <w:pPr>
        <w:spacing w:after="120"/>
        <w:jc w:val="both"/>
        <w:rPr>
          <w:sz w:val="18"/>
          <w:szCs w:val="18"/>
          <w:lang w:val="en-US"/>
        </w:rPr>
      </w:pPr>
      <w:r w:rsidRPr="003B41B5">
        <w:rPr>
          <w:sz w:val="18"/>
          <w:szCs w:val="18"/>
          <w:lang w:val="en-US"/>
        </w:rPr>
        <w:t>A further disadvantage relates to difficulties with linkages generally. A linkage may be suitable at a given point in time, but takes no account of changed circumstances in the future. For example, the growth of enterprise bargaining and the attendant demise of award based salary increases appear to have resulted in an unintended wage freeze for MPs between 1991 and 1993. Other unforeseen changes might include a work value change or new classification structure for State Servants of no relevance to MPs.</w:t>
      </w:r>
    </w:p>
    <w:p w:rsidR="00E823F5" w:rsidRPr="003B41B5" w:rsidRDefault="00E823F5" w:rsidP="00D95A63">
      <w:pPr>
        <w:spacing w:after="120"/>
        <w:jc w:val="both"/>
        <w:rPr>
          <w:sz w:val="18"/>
          <w:szCs w:val="18"/>
          <w:lang w:val="en-US"/>
        </w:rPr>
      </w:pPr>
      <w:r w:rsidRPr="003B41B5">
        <w:rPr>
          <w:sz w:val="18"/>
          <w:szCs w:val="18"/>
          <w:lang w:val="en-US"/>
        </w:rPr>
        <w:t xml:space="preserve">There is one further aspect that persuades us not to adopt a formal linkage with the State Service. </w:t>
      </w:r>
    </w:p>
    <w:p w:rsidR="00E823F5" w:rsidRPr="003B41B5" w:rsidRDefault="00E823F5" w:rsidP="00D95A63">
      <w:pPr>
        <w:spacing w:after="120"/>
        <w:jc w:val="both"/>
        <w:rPr>
          <w:sz w:val="18"/>
          <w:szCs w:val="18"/>
          <w:lang w:val="en-US"/>
        </w:rPr>
      </w:pPr>
      <w:r w:rsidRPr="003B41B5">
        <w:rPr>
          <w:sz w:val="18"/>
          <w:szCs w:val="18"/>
          <w:lang w:val="en-US"/>
        </w:rPr>
        <w:t>State employment is a relatively small component (approx. 13%) of the total Tasmanian workforce. In our view, if there is to be a linkage with external wage movements as part of a mechanism for future adjustment, then that link should be with an appropriate index applicable to the wider community, which includes, but is not limited to, the State Sector. This aspect is discussed in the next section.</w:t>
      </w:r>
    </w:p>
    <w:p w:rsidR="00E823F5" w:rsidRPr="003B41B5" w:rsidRDefault="00E823F5" w:rsidP="006A11FD">
      <w:pPr>
        <w:rPr>
          <w:sz w:val="18"/>
          <w:szCs w:val="18"/>
          <w:u w:val="single"/>
        </w:rPr>
      </w:pPr>
      <w:r w:rsidRPr="003B41B5">
        <w:rPr>
          <w:sz w:val="18"/>
          <w:szCs w:val="18"/>
          <w:u w:val="single"/>
        </w:rPr>
        <w:t>Linking the Salary to a relevant ABS Wage/Earnings index</w:t>
      </w:r>
    </w:p>
    <w:p w:rsidR="00E823F5" w:rsidRPr="003B41B5" w:rsidRDefault="00E823F5" w:rsidP="00D95A63">
      <w:pPr>
        <w:spacing w:after="120"/>
        <w:jc w:val="both"/>
        <w:rPr>
          <w:sz w:val="18"/>
          <w:szCs w:val="18"/>
          <w:lang w:val="en-US"/>
        </w:rPr>
      </w:pPr>
      <w:r w:rsidRPr="003B41B5">
        <w:rPr>
          <w:sz w:val="18"/>
          <w:szCs w:val="18"/>
          <w:lang w:val="en-US"/>
        </w:rPr>
        <w:t>It is possible to link the basic salary, once established, to changes in a relevant ABS index. A number of options are discussed below.</w:t>
      </w:r>
    </w:p>
    <w:p w:rsidR="00E823F5" w:rsidRPr="003B41B5" w:rsidRDefault="00E823F5" w:rsidP="00D95A63">
      <w:pPr>
        <w:spacing w:after="120"/>
        <w:jc w:val="both"/>
        <w:rPr>
          <w:i/>
          <w:sz w:val="18"/>
          <w:szCs w:val="18"/>
          <w:lang w:val="en-US"/>
        </w:rPr>
      </w:pPr>
      <w:r w:rsidRPr="003B41B5">
        <w:rPr>
          <w:i/>
          <w:sz w:val="18"/>
          <w:szCs w:val="18"/>
          <w:lang w:val="en-US"/>
        </w:rPr>
        <w:t>Average Weekly Earnings (AWE)</w:t>
      </w:r>
    </w:p>
    <w:p w:rsidR="00E823F5" w:rsidRPr="003B41B5" w:rsidRDefault="00E823F5" w:rsidP="00D95A63">
      <w:pPr>
        <w:spacing w:after="120"/>
        <w:jc w:val="both"/>
        <w:rPr>
          <w:sz w:val="18"/>
          <w:szCs w:val="18"/>
          <w:lang w:val="en-US"/>
        </w:rPr>
      </w:pPr>
      <w:r w:rsidRPr="003B41B5">
        <w:rPr>
          <w:sz w:val="18"/>
          <w:szCs w:val="18"/>
          <w:lang w:val="en-US"/>
        </w:rPr>
        <w:t xml:space="preserve">The AWE survey is designed to measure the level of average earnings at a point in time. AWE statistics represent average gross earnings of employees and do not relate to average award rates or to the earnings of the ‘average person.’ AWE estimates are derived by dividing estimates of weekly total earnings by estimates of the number of employees. Changes in the averages may be </w:t>
      </w:r>
      <w:r w:rsidRPr="003B41B5">
        <w:rPr>
          <w:sz w:val="18"/>
          <w:szCs w:val="18"/>
          <w:lang w:val="en-US"/>
        </w:rPr>
        <w:lastRenderedPageBreak/>
        <w:t>affected not only by changes in the level of earnings of employees but also by changes in the overall composition of the wage and salary earner segment of the workforce.</w:t>
      </w:r>
    </w:p>
    <w:p w:rsidR="00E823F5" w:rsidRPr="003B41B5" w:rsidRDefault="00E823F5" w:rsidP="00D95A63">
      <w:pPr>
        <w:spacing w:after="120"/>
        <w:jc w:val="both"/>
        <w:rPr>
          <w:sz w:val="18"/>
          <w:szCs w:val="18"/>
          <w:lang w:val="en-US"/>
        </w:rPr>
      </w:pPr>
      <w:r w:rsidRPr="003B41B5">
        <w:rPr>
          <w:sz w:val="18"/>
          <w:szCs w:val="18"/>
          <w:lang w:val="en-US"/>
        </w:rPr>
        <w:t>There are several factors which can contribute to compositional changes, including variations over time in the proportion of full–time, part-time, casual and junior employees; variations in occupational distribution, and variations in the distribution of employment between industries. Such effects may apply differently within different states and territories, and over time. There are three indices in this series:</w:t>
      </w:r>
    </w:p>
    <w:p w:rsidR="00E823F5" w:rsidRPr="003B41B5" w:rsidRDefault="00E823F5" w:rsidP="00513633">
      <w:pPr>
        <w:numPr>
          <w:ilvl w:val="0"/>
          <w:numId w:val="7"/>
        </w:numPr>
        <w:spacing w:after="120"/>
        <w:ind w:left="1418" w:hanging="207"/>
        <w:jc w:val="both"/>
        <w:rPr>
          <w:sz w:val="18"/>
          <w:szCs w:val="18"/>
          <w:lang w:val="en-US"/>
        </w:rPr>
      </w:pPr>
      <w:r w:rsidRPr="003B41B5">
        <w:rPr>
          <w:sz w:val="18"/>
          <w:szCs w:val="18"/>
          <w:lang w:val="en-US"/>
        </w:rPr>
        <w:t>Earnings, Persons, Full-Time, Total Earnings</w:t>
      </w:r>
    </w:p>
    <w:p w:rsidR="00E823F5" w:rsidRPr="003B41B5" w:rsidRDefault="00E823F5" w:rsidP="00591E6D">
      <w:pPr>
        <w:numPr>
          <w:ilvl w:val="0"/>
          <w:numId w:val="7"/>
        </w:numPr>
        <w:spacing w:after="120"/>
        <w:ind w:left="1418" w:hanging="207"/>
        <w:jc w:val="both"/>
        <w:rPr>
          <w:sz w:val="18"/>
          <w:szCs w:val="18"/>
          <w:lang w:val="en-US"/>
        </w:rPr>
      </w:pPr>
      <w:r w:rsidRPr="003B41B5">
        <w:rPr>
          <w:sz w:val="18"/>
          <w:szCs w:val="18"/>
          <w:lang w:val="en-US"/>
        </w:rPr>
        <w:t>Earnings, Persons, Full-Time, Ordinary Time Earnings (this excludes overtime)</w:t>
      </w:r>
    </w:p>
    <w:p w:rsidR="00E823F5" w:rsidRPr="003B41B5" w:rsidRDefault="00E823F5" w:rsidP="00591E6D">
      <w:pPr>
        <w:numPr>
          <w:ilvl w:val="0"/>
          <w:numId w:val="7"/>
        </w:numPr>
        <w:spacing w:after="120"/>
        <w:ind w:left="1418" w:hanging="207"/>
        <w:jc w:val="both"/>
        <w:rPr>
          <w:sz w:val="18"/>
          <w:szCs w:val="18"/>
          <w:lang w:val="en-US"/>
        </w:rPr>
      </w:pPr>
      <w:r w:rsidRPr="003B41B5">
        <w:rPr>
          <w:sz w:val="18"/>
          <w:szCs w:val="18"/>
          <w:lang w:val="en-US"/>
        </w:rPr>
        <w:t>Earnings, Persons, Total Earnings (this includes part-time, casual and junior employees).</w:t>
      </w:r>
    </w:p>
    <w:p w:rsidR="00E823F5" w:rsidRPr="003B41B5" w:rsidRDefault="00E823F5" w:rsidP="00D95A63">
      <w:pPr>
        <w:spacing w:after="120"/>
        <w:jc w:val="both"/>
        <w:rPr>
          <w:i/>
          <w:sz w:val="18"/>
          <w:szCs w:val="18"/>
          <w:lang w:val="en-US"/>
        </w:rPr>
      </w:pPr>
      <w:r w:rsidRPr="003B41B5">
        <w:rPr>
          <w:i/>
          <w:sz w:val="18"/>
          <w:szCs w:val="18"/>
          <w:lang w:val="en-US"/>
        </w:rPr>
        <w:t>Wage Price Index (WPI)</w:t>
      </w:r>
    </w:p>
    <w:p w:rsidR="00E823F5" w:rsidRPr="003B41B5" w:rsidRDefault="00E823F5" w:rsidP="00D95A63">
      <w:pPr>
        <w:spacing w:after="120"/>
        <w:jc w:val="both"/>
        <w:rPr>
          <w:sz w:val="18"/>
          <w:szCs w:val="18"/>
          <w:lang w:val="en-US"/>
        </w:rPr>
      </w:pPr>
      <w:r w:rsidRPr="003B41B5">
        <w:rPr>
          <w:sz w:val="18"/>
          <w:szCs w:val="18"/>
          <w:lang w:val="en-US"/>
        </w:rPr>
        <w:t>The WPI is a price index designed to measure the change over time in the price of wages and salaries. It does this by pricing specific jobs, in terms of wage and salary payments, to employees occupying those jobs. It is unaffected by changes in the quality and quantity of labour services purchased by employers, changes in hours worked or changes in the composition of the employee workforce.</w:t>
      </w:r>
    </w:p>
    <w:p w:rsidR="00E823F5" w:rsidRPr="003B41B5" w:rsidRDefault="00E823F5" w:rsidP="00D95A63">
      <w:pPr>
        <w:spacing w:after="120"/>
        <w:jc w:val="both"/>
        <w:rPr>
          <w:sz w:val="18"/>
          <w:szCs w:val="18"/>
          <w:lang w:val="en-US"/>
        </w:rPr>
      </w:pPr>
      <w:r w:rsidRPr="003B41B5">
        <w:rPr>
          <w:sz w:val="18"/>
          <w:szCs w:val="18"/>
          <w:lang w:val="en-US"/>
        </w:rPr>
        <w:t>The WPI is a better measure of changes in wage and salary movements for specific jobs, as distinct from changes in average earnings. For example, an apprentice moving to a tradesperson role might impact on AWE, but not the WPI, which measures the rate (price) for apprentices and tradespersons as separate entities.</w:t>
      </w:r>
    </w:p>
    <w:p w:rsidR="00E823F5" w:rsidRPr="003B41B5" w:rsidRDefault="00E823F5" w:rsidP="00D95A63">
      <w:pPr>
        <w:spacing w:after="120"/>
        <w:jc w:val="both"/>
        <w:rPr>
          <w:sz w:val="18"/>
          <w:szCs w:val="18"/>
          <w:lang w:val="en-US"/>
        </w:rPr>
      </w:pPr>
      <w:r w:rsidRPr="003B41B5">
        <w:rPr>
          <w:sz w:val="18"/>
          <w:szCs w:val="18"/>
          <w:lang w:val="en-US"/>
        </w:rPr>
        <w:t>The WPI is favoured by the Fair Work Commission in considering National Wage matters.</w:t>
      </w:r>
    </w:p>
    <w:p w:rsidR="00E823F5" w:rsidRPr="003B41B5" w:rsidRDefault="00E823F5" w:rsidP="00D95A63">
      <w:pPr>
        <w:spacing w:after="120"/>
        <w:jc w:val="both"/>
        <w:rPr>
          <w:sz w:val="18"/>
          <w:szCs w:val="18"/>
          <w:lang w:val="en-US"/>
        </w:rPr>
      </w:pPr>
      <w:r w:rsidRPr="003B41B5">
        <w:rPr>
          <w:sz w:val="18"/>
          <w:szCs w:val="18"/>
          <w:lang w:val="en-US"/>
        </w:rPr>
        <w:t>In Victoria, AWOTE has been adopted in the relevant legislation for the determination of the basic salary on 1 July 2015.</w:t>
      </w:r>
    </w:p>
    <w:p w:rsidR="00E823F5" w:rsidRPr="003B41B5" w:rsidRDefault="00E823F5" w:rsidP="00D95A63">
      <w:pPr>
        <w:spacing w:after="120"/>
        <w:jc w:val="both"/>
        <w:rPr>
          <w:i/>
          <w:sz w:val="18"/>
          <w:szCs w:val="18"/>
          <w:lang w:val="en-US"/>
        </w:rPr>
      </w:pPr>
      <w:r w:rsidRPr="003B41B5">
        <w:rPr>
          <w:sz w:val="18"/>
          <w:szCs w:val="18"/>
          <w:lang w:val="en-US"/>
        </w:rPr>
        <w:t>In commenting on the Victorian position, Michael Toby</w:t>
      </w:r>
      <w:r w:rsidRPr="003B41B5">
        <w:rPr>
          <w:b/>
          <w:sz w:val="18"/>
          <w:szCs w:val="18"/>
          <w:lang w:val="en-US"/>
        </w:rPr>
        <w:t xml:space="preserve"> </w:t>
      </w:r>
      <w:r w:rsidRPr="003B41B5">
        <w:rPr>
          <w:sz w:val="18"/>
          <w:szCs w:val="18"/>
          <w:lang w:val="en-US"/>
        </w:rPr>
        <w:t>noted that this</w:t>
      </w:r>
      <w:r w:rsidRPr="003B41B5">
        <w:rPr>
          <w:b/>
          <w:sz w:val="18"/>
          <w:szCs w:val="18"/>
          <w:lang w:val="en-US"/>
        </w:rPr>
        <w:t xml:space="preserve"> </w:t>
      </w:r>
      <w:r w:rsidRPr="003B41B5">
        <w:rPr>
          <w:sz w:val="18"/>
          <w:szCs w:val="18"/>
          <w:lang w:val="en-US"/>
        </w:rPr>
        <w:t>“</w:t>
      </w:r>
      <w:r w:rsidRPr="003B41B5">
        <w:rPr>
          <w:i/>
          <w:sz w:val="18"/>
          <w:szCs w:val="18"/>
          <w:lang w:val="en-US"/>
        </w:rPr>
        <w:t>neatly achieved two objectives, it provided a reasonable formula for movements linked to the economy of the State and it obviated the need for Parliament to consider future adjustments to the salary.”</w:t>
      </w:r>
    </w:p>
    <w:p w:rsidR="00E823F5" w:rsidRPr="003B41B5" w:rsidRDefault="00E823F5" w:rsidP="00D95A63">
      <w:pPr>
        <w:spacing w:after="120"/>
        <w:jc w:val="both"/>
        <w:rPr>
          <w:i/>
          <w:sz w:val="18"/>
          <w:szCs w:val="18"/>
          <w:lang w:val="en-US"/>
        </w:rPr>
      </w:pPr>
      <w:r w:rsidRPr="003B41B5">
        <w:rPr>
          <w:i/>
          <w:sz w:val="18"/>
          <w:szCs w:val="18"/>
          <w:lang w:val="en-US"/>
        </w:rPr>
        <w:t>Periodic Reviews</w:t>
      </w:r>
    </w:p>
    <w:p w:rsidR="00E823F5" w:rsidRPr="003B41B5" w:rsidRDefault="00E823F5" w:rsidP="00D95A63">
      <w:pPr>
        <w:spacing w:after="120"/>
        <w:jc w:val="both"/>
        <w:rPr>
          <w:sz w:val="18"/>
          <w:szCs w:val="18"/>
          <w:lang w:val="en-US"/>
        </w:rPr>
      </w:pPr>
      <w:r w:rsidRPr="003B41B5">
        <w:rPr>
          <w:sz w:val="18"/>
          <w:szCs w:val="18"/>
          <w:lang w:val="en-US"/>
        </w:rPr>
        <w:t>As an alternative to a formal linking mechanism, the basic salary could be subject to periodic reviews by an independent tribunal. Under such a mechanism the considerations referred to in this Report might all be ‘in the mix’ with none being binding in absolute terms. That said, once the basic salary starting point is established, such reviews (assuming they were on an annual basis), would be of a more limited nature and would likely be finalised in a timely manner. It is an arrangement that appears to work well in Western Australia.</w:t>
      </w:r>
    </w:p>
    <w:p w:rsidR="00E823F5" w:rsidRPr="003B41B5" w:rsidRDefault="00E823F5" w:rsidP="00D95A63">
      <w:pPr>
        <w:spacing w:after="120"/>
        <w:jc w:val="both"/>
        <w:rPr>
          <w:sz w:val="18"/>
          <w:szCs w:val="18"/>
          <w:lang w:val="en-US"/>
        </w:rPr>
      </w:pPr>
      <w:r w:rsidRPr="003B41B5">
        <w:rPr>
          <w:sz w:val="18"/>
          <w:szCs w:val="18"/>
          <w:lang w:val="en-US"/>
        </w:rPr>
        <w:t>An alternative to annual reviews might be to establish a formal linkage with an external measure for the two years following the initial determination, with a wider ranging review say every three years.</w:t>
      </w:r>
    </w:p>
    <w:p w:rsidR="00E823F5" w:rsidRPr="003B41B5" w:rsidRDefault="00E823F5" w:rsidP="00D95A63">
      <w:pPr>
        <w:spacing w:after="120"/>
        <w:jc w:val="both"/>
        <w:rPr>
          <w:sz w:val="18"/>
          <w:szCs w:val="18"/>
          <w:lang w:val="en-US"/>
        </w:rPr>
      </w:pPr>
      <w:r w:rsidRPr="003B41B5">
        <w:rPr>
          <w:sz w:val="18"/>
          <w:szCs w:val="18"/>
          <w:lang w:val="en-US"/>
        </w:rPr>
        <w:t>The major advantage of periodic reviews (whether annual or less frequently) is that circumstances which were not anticipated can be taken into account and unintended consequences avoided.</w:t>
      </w:r>
    </w:p>
    <w:p w:rsidR="00F67F05" w:rsidRDefault="00F67F05" w:rsidP="00D95A63">
      <w:pPr>
        <w:spacing w:after="120"/>
        <w:jc w:val="both"/>
        <w:rPr>
          <w:sz w:val="18"/>
          <w:szCs w:val="18"/>
          <w:lang w:val="en-US"/>
        </w:rPr>
        <w:sectPr w:rsidR="00F67F05" w:rsidSect="00AB279D">
          <w:pgSz w:w="11906" w:h="16838"/>
          <w:pgMar w:top="1440" w:right="1440" w:bottom="1440" w:left="1276" w:header="708" w:footer="708" w:gutter="0"/>
          <w:cols w:space="708"/>
          <w:docGrid w:linePitch="360"/>
        </w:sectPr>
      </w:pPr>
    </w:p>
    <w:p w:rsidR="00856AE8" w:rsidRDefault="00856AE8" w:rsidP="006B3AD1">
      <w:pPr>
        <w:pStyle w:val="Heading1"/>
        <w:spacing w:after="480"/>
      </w:pPr>
      <w:bookmarkStart w:id="114" w:name="_Toc443486979"/>
      <w:r>
        <w:lastRenderedPageBreak/>
        <w:t>Appendix 5 – Cost</w:t>
      </w:r>
      <w:r w:rsidR="006B3AD1">
        <w:rPr>
          <w:rStyle w:val="FootnoteReference"/>
        </w:rPr>
        <w:footnoteReference w:id="114"/>
      </w:r>
      <w:r>
        <w:t xml:space="preserve"> of </w:t>
      </w:r>
      <w:r w:rsidR="0006046E">
        <w:t>V</w:t>
      </w:r>
      <w:r>
        <w:t xml:space="preserve">arious </w:t>
      </w:r>
      <w:r w:rsidR="0006046E">
        <w:t>A</w:t>
      </w:r>
      <w:r>
        <w:t xml:space="preserve">llowances </w:t>
      </w:r>
      <w:r w:rsidRPr="00EB315D">
        <w:t>1997</w:t>
      </w:r>
      <w:r>
        <w:t>-</w:t>
      </w:r>
      <w:r w:rsidRPr="00EB315D">
        <w:t>98 to 201</w:t>
      </w:r>
      <w:r>
        <w:t>4-</w:t>
      </w:r>
      <w:r w:rsidRPr="00EB315D">
        <w:t>1</w:t>
      </w:r>
      <w:r>
        <w:t>5</w:t>
      </w:r>
      <w:bookmarkEnd w:id="114"/>
    </w:p>
    <w:tbl>
      <w:tblPr>
        <w:tblW w:w="1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120"/>
        <w:gridCol w:w="1352"/>
        <w:gridCol w:w="1509"/>
        <w:gridCol w:w="1356"/>
        <w:gridCol w:w="1405"/>
        <w:gridCol w:w="1335"/>
        <w:gridCol w:w="1338"/>
        <w:gridCol w:w="1327"/>
        <w:gridCol w:w="1100"/>
        <w:gridCol w:w="1340"/>
        <w:gridCol w:w="1111"/>
      </w:tblGrid>
      <w:tr w:rsidR="00DF2C8B" w:rsidRPr="00060E2B" w:rsidTr="00060E2B">
        <w:trPr>
          <w:trHeight w:val="470"/>
        </w:trPr>
        <w:tc>
          <w:tcPr>
            <w:tcW w:w="1110" w:type="dxa"/>
            <w:shd w:val="clear" w:color="auto" w:fill="D9D9D9" w:themeFill="background1" w:themeFillShade="D9"/>
          </w:tcPr>
          <w:p w:rsidR="00DF2C8B" w:rsidRPr="00060E2B" w:rsidRDefault="00DF2C8B" w:rsidP="001C028F">
            <w:pPr>
              <w:spacing w:before="120" w:after="120"/>
              <w:jc w:val="center"/>
              <w:rPr>
                <w:b/>
                <w:sz w:val="16"/>
                <w:szCs w:val="16"/>
                <w:lang w:val="en-US"/>
              </w:rPr>
            </w:pPr>
            <w:r w:rsidRPr="00060E2B">
              <w:rPr>
                <w:b/>
                <w:sz w:val="16"/>
                <w:szCs w:val="16"/>
                <w:lang w:val="en-US"/>
              </w:rPr>
              <w:t>Year</w:t>
            </w:r>
          </w:p>
        </w:tc>
        <w:tc>
          <w:tcPr>
            <w:tcW w:w="1133" w:type="dxa"/>
            <w:shd w:val="clear" w:color="auto" w:fill="D9D9D9" w:themeFill="background1" w:themeFillShade="D9"/>
          </w:tcPr>
          <w:p w:rsidR="00DF2C8B" w:rsidRPr="00060E2B" w:rsidRDefault="00DF2C8B" w:rsidP="001C028F">
            <w:pPr>
              <w:spacing w:before="120" w:after="120"/>
              <w:jc w:val="center"/>
              <w:rPr>
                <w:b/>
                <w:sz w:val="16"/>
                <w:lang w:val="en-US"/>
              </w:rPr>
            </w:pPr>
            <w:r w:rsidRPr="00060E2B">
              <w:rPr>
                <w:b/>
                <w:sz w:val="16"/>
                <w:lang w:val="en-US"/>
              </w:rPr>
              <w:t>Sitting fees</w:t>
            </w:r>
          </w:p>
        </w:tc>
        <w:tc>
          <w:tcPr>
            <w:tcW w:w="1361" w:type="dxa"/>
            <w:shd w:val="clear" w:color="auto" w:fill="D9D9D9" w:themeFill="background1" w:themeFillShade="D9"/>
          </w:tcPr>
          <w:p w:rsidR="00DF2C8B" w:rsidRPr="00060E2B" w:rsidRDefault="00DF2C8B" w:rsidP="001C028F">
            <w:pPr>
              <w:spacing w:before="120" w:after="120"/>
              <w:jc w:val="center"/>
              <w:rPr>
                <w:b/>
                <w:sz w:val="16"/>
                <w:lang w:val="en-US"/>
              </w:rPr>
            </w:pPr>
            <w:r w:rsidRPr="00060E2B">
              <w:rPr>
                <w:b/>
                <w:sz w:val="16"/>
                <w:lang w:val="en-US"/>
              </w:rPr>
              <w:t>Electorate</w:t>
            </w:r>
          </w:p>
        </w:tc>
        <w:tc>
          <w:tcPr>
            <w:tcW w:w="1365" w:type="dxa"/>
            <w:shd w:val="clear" w:color="auto" w:fill="D9D9D9" w:themeFill="background1" w:themeFillShade="D9"/>
          </w:tcPr>
          <w:p w:rsidR="00DF2C8B" w:rsidRPr="00060E2B" w:rsidRDefault="00DF2C8B" w:rsidP="001C028F">
            <w:pPr>
              <w:spacing w:before="120" w:after="120"/>
              <w:jc w:val="center"/>
              <w:rPr>
                <w:b/>
                <w:sz w:val="16"/>
                <w:lang w:val="en-US"/>
              </w:rPr>
            </w:pPr>
            <w:r w:rsidRPr="00060E2B">
              <w:rPr>
                <w:b/>
                <w:sz w:val="16"/>
                <w:lang w:val="en-US"/>
              </w:rPr>
              <w:t>Entertainment</w:t>
            </w:r>
          </w:p>
        </w:tc>
        <w:tc>
          <w:tcPr>
            <w:tcW w:w="1361" w:type="dxa"/>
            <w:shd w:val="clear" w:color="auto" w:fill="D9D9D9" w:themeFill="background1" w:themeFillShade="D9"/>
          </w:tcPr>
          <w:p w:rsidR="00DF2C8B" w:rsidRPr="00060E2B" w:rsidRDefault="00DF2C8B" w:rsidP="001C028F">
            <w:pPr>
              <w:spacing w:before="120" w:after="120"/>
              <w:jc w:val="center"/>
              <w:rPr>
                <w:b/>
                <w:sz w:val="16"/>
                <w:lang w:val="en-US"/>
              </w:rPr>
            </w:pPr>
            <w:r w:rsidRPr="00060E2B">
              <w:rPr>
                <w:b/>
                <w:sz w:val="16"/>
                <w:lang w:val="en-US"/>
              </w:rPr>
              <w:t>Telecomms</w:t>
            </w:r>
          </w:p>
        </w:tc>
        <w:tc>
          <w:tcPr>
            <w:tcW w:w="1361" w:type="dxa"/>
            <w:shd w:val="clear" w:color="auto" w:fill="D9D9D9" w:themeFill="background1" w:themeFillShade="D9"/>
          </w:tcPr>
          <w:p w:rsidR="00DF2C8B" w:rsidRPr="00060E2B" w:rsidRDefault="00DF2C8B" w:rsidP="001C028F">
            <w:pPr>
              <w:spacing w:before="120" w:after="120"/>
              <w:jc w:val="center"/>
              <w:rPr>
                <w:b/>
                <w:sz w:val="16"/>
                <w:lang w:val="en-US"/>
              </w:rPr>
            </w:pPr>
            <w:r w:rsidRPr="00060E2B">
              <w:rPr>
                <w:b/>
                <w:sz w:val="16"/>
                <w:lang w:val="en-US"/>
              </w:rPr>
              <w:t>Professional Development</w:t>
            </w:r>
          </w:p>
        </w:tc>
        <w:tc>
          <w:tcPr>
            <w:tcW w:w="1361" w:type="dxa"/>
            <w:shd w:val="clear" w:color="auto" w:fill="D9D9D9" w:themeFill="background1" w:themeFillShade="D9"/>
          </w:tcPr>
          <w:p w:rsidR="00DF2C8B" w:rsidRPr="00060E2B" w:rsidRDefault="00DF2C8B" w:rsidP="001C028F">
            <w:pPr>
              <w:spacing w:before="120" w:after="120"/>
              <w:jc w:val="center"/>
              <w:rPr>
                <w:b/>
                <w:sz w:val="16"/>
                <w:lang w:val="en-US"/>
              </w:rPr>
            </w:pPr>
            <w:r w:rsidRPr="00060E2B">
              <w:rPr>
                <w:b/>
                <w:sz w:val="16"/>
                <w:lang w:val="en-US"/>
              </w:rPr>
              <w:t>Bass Strait</w:t>
            </w:r>
          </w:p>
        </w:tc>
        <w:tc>
          <w:tcPr>
            <w:tcW w:w="1361" w:type="dxa"/>
            <w:shd w:val="clear" w:color="auto" w:fill="D9D9D9" w:themeFill="background1" w:themeFillShade="D9"/>
          </w:tcPr>
          <w:p w:rsidR="00DF2C8B" w:rsidRPr="00060E2B" w:rsidRDefault="00DF2C8B" w:rsidP="001C028F">
            <w:pPr>
              <w:spacing w:before="120" w:after="120"/>
              <w:jc w:val="center"/>
              <w:rPr>
                <w:b/>
                <w:sz w:val="16"/>
                <w:lang w:val="en-US"/>
              </w:rPr>
            </w:pPr>
            <w:r w:rsidRPr="00060E2B">
              <w:rPr>
                <w:b/>
                <w:sz w:val="16"/>
                <w:lang w:val="en-US"/>
              </w:rPr>
              <w:t>Travel</w:t>
            </w:r>
          </w:p>
        </w:tc>
        <w:tc>
          <w:tcPr>
            <w:tcW w:w="1360" w:type="dxa"/>
            <w:shd w:val="clear" w:color="auto" w:fill="D9D9D9" w:themeFill="background1" w:themeFillShade="D9"/>
          </w:tcPr>
          <w:p w:rsidR="00DF2C8B" w:rsidRPr="00060E2B" w:rsidRDefault="00DF2C8B" w:rsidP="001C028F">
            <w:pPr>
              <w:spacing w:before="120" w:after="120"/>
              <w:jc w:val="center"/>
              <w:rPr>
                <w:b/>
                <w:sz w:val="16"/>
                <w:lang w:val="en-US"/>
              </w:rPr>
            </w:pPr>
            <w:r w:rsidRPr="00060E2B">
              <w:rPr>
                <w:b/>
                <w:sz w:val="16"/>
                <w:lang w:val="en-US"/>
              </w:rPr>
              <w:t>I/S air</w:t>
            </w:r>
          </w:p>
        </w:tc>
        <w:tc>
          <w:tcPr>
            <w:tcW w:w="1122" w:type="dxa"/>
            <w:shd w:val="clear" w:color="auto" w:fill="D9D9D9" w:themeFill="background1" w:themeFillShade="D9"/>
          </w:tcPr>
          <w:p w:rsidR="00DF2C8B" w:rsidRPr="00060E2B" w:rsidRDefault="00DF2C8B" w:rsidP="001C028F">
            <w:pPr>
              <w:spacing w:before="120" w:after="120"/>
              <w:jc w:val="center"/>
              <w:rPr>
                <w:b/>
                <w:sz w:val="16"/>
                <w:lang w:val="en-US"/>
              </w:rPr>
            </w:pPr>
            <w:r w:rsidRPr="00060E2B">
              <w:rPr>
                <w:b/>
                <w:sz w:val="16"/>
                <w:lang w:val="en-US"/>
              </w:rPr>
              <w:t>Km.</w:t>
            </w:r>
          </w:p>
        </w:tc>
        <w:tc>
          <w:tcPr>
            <w:tcW w:w="1361" w:type="dxa"/>
            <w:shd w:val="clear" w:color="auto" w:fill="D9D9D9" w:themeFill="background1" w:themeFillShade="D9"/>
          </w:tcPr>
          <w:p w:rsidR="00DF2C8B" w:rsidRPr="00060E2B" w:rsidRDefault="00DF2C8B" w:rsidP="001C028F">
            <w:pPr>
              <w:spacing w:before="120" w:after="120"/>
              <w:jc w:val="center"/>
              <w:rPr>
                <w:b/>
                <w:sz w:val="16"/>
                <w:lang w:val="en-US"/>
              </w:rPr>
            </w:pPr>
            <w:r w:rsidRPr="00060E2B">
              <w:rPr>
                <w:b/>
                <w:sz w:val="16"/>
                <w:lang w:val="en-US"/>
              </w:rPr>
              <w:t>Motor vehicle</w:t>
            </w:r>
          </w:p>
        </w:tc>
        <w:tc>
          <w:tcPr>
            <w:tcW w:w="1129" w:type="dxa"/>
            <w:shd w:val="clear" w:color="auto" w:fill="D9D9D9" w:themeFill="background1" w:themeFillShade="D9"/>
          </w:tcPr>
          <w:p w:rsidR="00DF2C8B" w:rsidRPr="00060E2B" w:rsidRDefault="00DF2C8B" w:rsidP="001C028F">
            <w:pPr>
              <w:spacing w:before="120" w:after="120"/>
              <w:jc w:val="center"/>
              <w:rPr>
                <w:b/>
                <w:sz w:val="16"/>
                <w:lang w:val="en-US"/>
              </w:rPr>
            </w:pPr>
            <w:r w:rsidRPr="00060E2B">
              <w:rPr>
                <w:b/>
                <w:sz w:val="16"/>
                <w:lang w:val="en-US"/>
              </w:rPr>
              <w:t>Total</w:t>
            </w:r>
          </w:p>
        </w:tc>
      </w:tr>
      <w:tr w:rsidR="00DF2C8B" w:rsidRPr="0074045D" w:rsidTr="00DF2C8B">
        <w:tc>
          <w:tcPr>
            <w:tcW w:w="1110" w:type="dxa"/>
            <w:shd w:val="clear" w:color="auto" w:fill="auto"/>
          </w:tcPr>
          <w:p w:rsidR="00DF2C8B" w:rsidRPr="0074045D" w:rsidRDefault="003F1AA5" w:rsidP="006B3AD1">
            <w:pPr>
              <w:spacing w:before="60" w:after="60"/>
              <w:jc w:val="center"/>
              <w:rPr>
                <w:sz w:val="16"/>
                <w:szCs w:val="16"/>
                <w:lang w:val="en-US"/>
              </w:rPr>
            </w:pPr>
            <w:r>
              <w:rPr>
                <w:sz w:val="16"/>
                <w:szCs w:val="16"/>
                <w:lang w:val="en-US"/>
              </w:rPr>
              <w:t>19</w:t>
            </w:r>
            <w:r w:rsidR="00DF2C8B" w:rsidRPr="0074045D">
              <w:rPr>
                <w:sz w:val="16"/>
                <w:szCs w:val="16"/>
                <w:lang w:val="en-US"/>
              </w:rPr>
              <w:t>97</w:t>
            </w:r>
            <w:r w:rsidR="00DF2C8B">
              <w:rPr>
                <w:sz w:val="16"/>
                <w:szCs w:val="16"/>
                <w:lang w:val="en-US"/>
              </w:rPr>
              <w:t>-</w:t>
            </w:r>
            <w:r w:rsidR="00DF2C8B" w:rsidRPr="0074045D">
              <w:rPr>
                <w:sz w:val="16"/>
                <w:szCs w:val="16"/>
                <w:lang w:val="en-US"/>
              </w:rPr>
              <w:t>98</w:t>
            </w:r>
          </w:p>
        </w:tc>
        <w:tc>
          <w:tcPr>
            <w:tcW w:w="1133"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24</w:t>
            </w:r>
            <w:r>
              <w:rPr>
                <w:sz w:val="16"/>
                <w:szCs w:val="16"/>
                <w:lang w:val="en-US"/>
              </w:rPr>
              <w:t xml:space="preserve"> </w:t>
            </w:r>
            <w:r w:rsidRPr="0074045D">
              <w:rPr>
                <w:sz w:val="16"/>
                <w:szCs w:val="16"/>
                <w:lang w:val="en-US"/>
              </w:rPr>
              <w:t>500</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889</w:t>
            </w:r>
            <w:r>
              <w:rPr>
                <w:sz w:val="16"/>
                <w:szCs w:val="16"/>
                <w:lang w:val="en-US"/>
              </w:rPr>
              <w:t xml:space="preserve"> </w:t>
            </w:r>
            <w:r w:rsidRPr="0074045D">
              <w:rPr>
                <w:sz w:val="16"/>
                <w:szCs w:val="16"/>
                <w:lang w:val="en-US"/>
              </w:rPr>
              <w:t>045</w:t>
            </w:r>
          </w:p>
        </w:tc>
        <w:tc>
          <w:tcPr>
            <w:tcW w:w="1365"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16</w:t>
            </w:r>
            <w:r>
              <w:rPr>
                <w:sz w:val="16"/>
                <w:szCs w:val="16"/>
                <w:lang w:val="en-US"/>
              </w:rPr>
              <w:t xml:space="preserve"> </w:t>
            </w:r>
            <w:r w:rsidRPr="0074045D">
              <w:rPr>
                <w:sz w:val="16"/>
                <w:szCs w:val="16"/>
                <w:lang w:val="en-US"/>
              </w:rPr>
              <w:t>843</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79</w:t>
            </w:r>
            <w:r>
              <w:rPr>
                <w:sz w:val="16"/>
                <w:szCs w:val="16"/>
                <w:lang w:val="en-US"/>
              </w:rPr>
              <w:t xml:space="preserve"> </w:t>
            </w:r>
            <w:r w:rsidRPr="0074045D">
              <w:rPr>
                <w:sz w:val="16"/>
                <w:szCs w:val="16"/>
                <w:lang w:val="en-US"/>
              </w:rPr>
              <w:t>3</w:t>
            </w:r>
            <w:r>
              <w:rPr>
                <w:sz w:val="16"/>
                <w:szCs w:val="16"/>
                <w:lang w:val="en-US"/>
              </w:rPr>
              <w:t>72</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45</w:t>
            </w:r>
            <w:r>
              <w:rPr>
                <w:sz w:val="16"/>
                <w:szCs w:val="16"/>
                <w:lang w:val="en-US"/>
              </w:rPr>
              <w:t xml:space="preserve"> </w:t>
            </w:r>
            <w:r w:rsidRPr="0074045D">
              <w:rPr>
                <w:sz w:val="16"/>
                <w:szCs w:val="16"/>
                <w:lang w:val="en-US"/>
              </w:rPr>
              <w:t>268</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7</w:t>
            </w:r>
            <w:r>
              <w:rPr>
                <w:sz w:val="16"/>
                <w:szCs w:val="16"/>
                <w:lang w:val="en-US"/>
              </w:rPr>
              <w:t xml:space="preserve"> </w:t>
            </w:r>
            <w:r w:rsidRPr="0074045D">
              <w:rPr>
                <w:sz w:val="16"/>
                <w:szCs w:val="16"/>
                <w:lang w:val="en-US"/>
              </w:rPr>
              <w:t>675</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223</w:t>
            </w:r>
            <w:r>
              <w:rPr>
                <w:sz w:val="16"/>
                <w:szCs w:val="16"/>
                <w:lang w:val="en-US"/>
              </w:rPr>
              <w:t xml:space="preserve"> </w:t>
            </w:r>
            <w:r w:rsidRPr="0074045D">
              <w:rPr>
                <w:sz w:val="16"/>
                <w:szCs w:val="16"/>
                <w:lang w:val="en-US"/>
              </w:rPr>
              <w:t>287</w:t>
            </w:r>
          </w:p>
        </w:tc>
        <w:tc>
          <w:tcPr>
            <w:tcW w:w="1360"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w:t>
            </w:r>
            <w:r>
              <w:rPr>
                <w:sz w:val="16"/>
                <w:szCs w:val="16"/>
                <w:lang w:val="en-US"/>
              </w:rPr>
              <w:t xml:space="preserve"> </w:t>
            </w:r>
            <w:r w:rsidRPr="0074045D">
              <w:rPr>
                <w:sz w:val="16"/>
                <w:szCs w:val="16"/>
                <w:lang w:val="en-US"/>
              </w:rPr>
              <w:t>619</w:t>
            </w:r>
          </w:p>
        </w:tc>
        <w:tc>
          <w:tcPr>
            <w:tcW w:w="1122"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105</w:t>
            </w:r>
            <w:r>
              <w:rPr>
                <w:sz w:val="16"/>
                <w:szCs w:val="16"/>
                <w:lang w:val="en-US"/>
              </w:rPr>
              <w:t xml:space="preserve"> </w:t>
            </w:r>
            <w:r w:rsidRPr="0074045D">
              <w:rPr>
                <w:sz w:val="16"/>
                <w:szCs w:val="16"/>
                <w:lang w:val="en-US"/>
              </w:rPr>
              <w:t>706</w:t>
            </w:r>
          </w:p>
        </w:tc>
        <w:tc>
          <w:tcPr>
            <w:tcW w:w="1361" w:type="dxa"/>
            <w:shd w:val="clear" w:color="auto" w:fill="auto"/>
          </w:tcPr>
          <w:p w:rsidR="00DF2C8B" w:rsidRPr="0074045D" w:rsidRDefault="00DF2C8B" w:rsidP="006B3AD1">
            <w:pPr>
              <w:spacing w:before="60" w:after="60"/>
              <w:jc w:val="center"/>
              <w:rPr>
                <w:sz w:val="16"/>
                <w:szCs w:val="16"/>
                <w:lang w:val="en-US"/>
              </w:rPr>
            </w:pPr>
          </w:p>
        </w:tc>
        <w:tc>
          <w:tcPr>
            <w:tcW w:w="1129" w:type="dxa"/>
            <w:vAlign w:val="bottom"/>
          </w:tcPr>
          <w:p w:rsidR="00DF2C8B" w:rsidRPr="00DF2C8B" w:rsidRDefault="00DF2C8B" w:rsidP="006B3AD1">
            <w:pPr>
              <w:spacing w:before="60" w:after="60"/>
              <w:jc w:val="right"/>
              <w:rPr>
                <w:color w:val="000000"/>
                <w:sz w:val="16"/>
                <w:szCs w:val="16"/>
              </w:rPr>
            </w:pPr>
            <w:r w:rsidRPr="00DF2C8B">
              <w:rPr>
                <w:color w:val="000000"/>
                <w:sz w:val="16"/>
                <w:szCs w:val="16"/>
              </w:rPr>
              <w:t>1</w:t>
            </w:r>
            <w:r>
              <w:rPr>
                <w:color w:val="000000"/>
                <w:sz w:val="16"/>
                <w:szCs w:val="16"/>
              </w:rPr>
              <w:t xml:space="preserve"> </w:t>
            </w:r>
            <w:r w:rsidRPr="00DF2C8B">
              <w:rPr>
                <w:color w:val="000000"/>
                <w:sz w:val="16"/>
                <w:szCs w:val="16"/>
              </w:rPr>
              <w:t>393</w:t>
            </w:r>
            <w:r>
              <w:rPr>
                <w:color w:val="000000"/>
                <w:sz w:val="16"/>
                <w:szCs w:val="16"/>
              </w:rPr>
              <w:t xml:space="preserve"> </w:t>
            </w:r>
            <w:r w:rsidRPr="00DF2C8B">
              <w:rPr>
                <w:color w:val="000000"/>
                <w:sz w:val="16"/>
                <w:szCs w:val="16"/>
              </w:rPr>
              <w:t>315</w:t>
            </w:r>
          </w:p>
        </w:tc>
      </w:tr>
      <w:tr w:rsidR="00DF2C8B" w:rsidRPr="0074045D" w:rsidTr="00DF2C8B">
        <w:tc>
          <w:tcPr>
            <w:tcW w:w="1110" w:type="dxa"/>
            <w:shd w:val="clear" w:color="auto" w:fill="auto"/>
          </w:tcPr>
          <w:p w:rsidR="00DF2C8B" w:rsidRPr="0074045D" w:rsidRDefault="003F1AA5" w:rsidP="006B3AD1">
            <w:pPr>
              <w:spacing w:before="60" w:after="60"/>
              <w:jc w:val="center"/>
              <w:rPr>
                <w:sz w:val="16"/>
                <w:szCs w:val="16"/>
                <w:lang w:val="en-US"/>
              </w:rPr>
            </w:pPr>
            <w:r>
              <w:rPr>
                <w:sz w:val="16"/>
                <w:szCs w:val="16"/>
                <w:lang w:val="en-US"/>
              </w:rPr>
              <w:t>19</w:t>
            </w:r>
            <w:r w:rsidR="00DF2C8B" w:rsidRPr="0074045D">
              <w:rPr>
                <w:sz w:val="16"/>
                <w:szCs w:val="16"/>
                <w:lang w:val="en-US"/>
              </w:rPr>
              <w:t>98</w:t>
            </w:r>
            <w:r w:rsidR="00DF2C8B">
              <w:rPr>
                <w:sz w:val="16"/>
                <w:szCs w:val="16"/>
                <w:lang w:val="en-US"/>
              </w:rPr>
              <w:t>-</w:t>
            </w:r>
            <w:r w:rsidR="00DF2C8B" w:rsidRPr="0074045D">
              <w:rPr>
                <w:sz w:val="16"/>
                <w:szCs w:val="16"/>
                <w:lang w:val="en-US"/>
              </w:rPr>
              <w:t>99</w:t>
            </w:r>
          </w:p>
        </w:tc>
        <w:tc>
          <w:tcPr>
            <w:tcW w:w="1133"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10</w:t>
            </w:r>
            <w:r>
              <w:rPr>
                <w:sz w:val="16"/>
                <w:szCs w:val="16"/>
                <w:lang w:val="en-US"/>
              </w:rPr>
              <w:t xml:space="preserve"> </w:t>
            </w:r>
            <w:r w:rsidRPr="0074045D">
              <w:rPr>
                <w:sz w:val="16"/>
                <w:szCs w:val="16"/>
                <w:lang w:val="en-US"/>
              </w:rPr>
              <w:t>332</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738</w:t>
            </w:r>
            <w:r>
              <w:rPr>
                <w:sz w:val="16"/>
                <w:szCs w:val="16"/>
                <w:lang w:val="en-US"/>
              </w:rPr>
              <w:t xml:space="preserve"> </w:t>
            </w:r>
            <w:r w:rsidRPr="0074045D">
              <w:rPr>
                <w:sz w:val="16"/>
                <w:szCs w:val="16"/>
                <w:lang w:val="en-US"/>
              </w:rPr>
              <w:t>739</w:t>
            </w:r>
          </w:p>
        </w:tc>
        <w:tc>
          <w:tcPr>
            <w:tcW w:w="1365"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16</w:t>
            </w:r>
            <w:r>
              <w:rPr>
                <w:sz w:val="16"/>
                <w:szCs w:val="16"/>
                <w:lang w:val="en-US"/>
              </w:rPr>
              <w:t xml:space="preserve"> </w:t>
            </w:r>
            <w:r w:rsidRPr="0074045D">
              <w:rPr>
                <w:sz w:val="16"/>
                <w:szCs w:val="16"/>
                <w:lang w:val="en-US"/>
              </w:rPr>
              <w:t>843</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72</w:t>
            </w:r>
            <w:r>
              <w:rPr>
                <w:sz w:val="16"/>
                <w:szCs w:val="16"/>
                <w:lang w:val="en-US"/>
              </w:rPr>
              <w:t xml:space="preserve"> </w:t>
            </w:r>
            <w:r w:rsidRPr="0074045D">
              <w:rPr>
                <w:sz w:val="16"/>
                <w:szCs w:val="16"/>
                <w:lang w:val="en-US"/>
              </w:rPr>
              <w:t>761</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85</w:t>
            </w:r>
            <w:r>
              <w:rPr>
                <w:sz w:val="16"/>
                <w:szCs w:val="16"/>
                <w:lang w:val="en-US"/>
              </w:rPr>
              <w:t xml:space="preserve"> </w:t>
            </w:r>
            <w:r w:rsidRPr="0074045D">
              <w:rPr>
                <w:sz w:val="16"/>
                <w:szCs w:val="16"/>
                <w:lang w:val="en-US"/>
              </w:rPr>
              <w:t>779</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4</w:t>
            </w:r>
            <w:r>
              <w:rPr>
                <w:sz w:val="16"/>
                <w:szCs w:val="16"/>
                <w:lang w:val="en-US"/>
              </w:rPr>
              <w:t xml:space="preserve"> </w:t>
            </w:r>
            <w:r w:rsidRPr="0074045D">
              <w:rPr>
                <w:sz w:val="16"/>
                <w:szCs w:val="16"/>
                <w:lang w:val="en-US"/>
              </w:rPr>
              <w:t>194</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208</w:t>
            </w:r>
            <w:r>
              <w:rPr>
                <w:sz w:val="16"/>
                <w:szCs w:val="16"/>
                <w:lang w:val="en-US"/>
              </w:rPr>
              <w:t xml:space="preserve"> </w:t>
            </w:r>
            <w:r w:rsidRPr="0074045D">
              <w:rPr>
                <w:sz w:val="16"/>
                <w:szCs w:val="16"/>
                <w:lang w:val="en-US"/>
              </w:rPr>
              <w:t>704</w:t>
            </w:r>
          </w:p>
        </w:tc>
        <w:tc>
          <w:tcPr>
            <w:tcW w:w="1360"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w:t>
            </w:r>
            <w:r>
              <w:rPr>
                <w:sz w:val="16"/>
                <w:szCs w:val="16"/>
                <w:lang w:val="en-US"/>
              </w:rPr>
              <w:t xml:space="preserve"> </w:t>
            </w:r>
            <w:r w:rsidRPr="0074045D">
              <w:rPr>
                <w:sz w:val="16"/>
                <w:szCs w:val="16"/>
                <w:lang w:val="en-US"/>
              </w:rPr>
              <w:t>820</w:t>
            </w:r>
          </w:p>
        </w:tc>
        <w:tc>
          <w:tcPr>
            <w:tcW w:w="1122"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87</w:t>
            </w:r>
            <w:r>
              <w:rPr>
                <w:sz w:val="16"/>
                <w:szCs w:val="16"/>
                <w:lang w:val="en-US"/>
              </w:rPr>
              <w:t xml:space="preserve"> </w:t>
            </w:r>
            <w:r w:rsidRPr="0074045D">
              <w:rPr>
                <w:sz w:val="16"/>
                <w:szCs w:val="16"/>
                <w:lang w:val="en-US"/>
              </w:rPr>
              <w:t>798</w:t>
            </w:r>
          </w:p>
        </w:tc>
        <w:tc>
          <w:tcPr>
            <w:tcW w:w="1361" w:type="dxa"/>
            <w:shd w:val="clear" w:color="auto" w:fill="auto"/>
          </w:tcPr>
          <w:p w:rsidR="00DF2C8B" w:rsidRPr="0074045D" w:rsidRDefault="00DF2C8B" w:rsidP="006B3AD1">
            <w:pPr>
              <w:spacing w:before="60" w:after="60"/>
              <w:jc w:val="center"/>
              <w:rPr>
                <w:sz w:val="16"/>
                <w:szCs w:val="16"/>
                <w:lang w:val="en-US"/>
              </w:rPr>
            </w:pPr>
          </w:p>
        </w:tc>
        <w:tc>
          <w:tcPr>
            <w:tcW w:w="1129" w:type="dxa"/>
            <w:vAlign w:val="bottom"/>
          </w:tcPr>
          <w:p w:rsidR="00DF2C8B" w:rsidRPr="00DF2C8B" w:rsidRDefault="00DF2C8B" w:rsidP="006B3AD1">
            <w:pPr>
              <w:spacing w:before="60" w:after="60"/>
              <w:jc w:val="right"/>
              <w:rPr>
                <w:color w:val="000000"/>
                <w:sz w:val="16"/>
                <w:szCs w:val="16"/>
              </w:rPr>
            </w:pPr>
            <w:r w:rsidRPr="00DF2C8B">
              <w:rPr>
                <w:color w:val="000000"/>
                <w:sz w:val="16"/>
                <w:szCs w:val="16"/>
              </w:rPr>
              <w:t>1</w:t>
            </w:r>
            <w:r>
              <w:rPr>
                <w:color w:val="000000"/>
                <w:sz w:val="16"/>
                <w:szCs w:val="16"/>
              </w:rPr>
              <w:t xml:space="preserve"> </w:t>
            </w:r>
            <w:r w:rsidRPr="00DF2C8B">
              <w:rPr>
                <w:color w:val="000000"/>
                <w:sz w:val="16"/>
                <w:szCs w:val="16"/>
              </w:rPr>
              <w:t>226</w:t>
            </w:r>
            <w:r>
              <w:rPr>
                <w:color w:val="000000"/>
                <w:sz w:val="16"/>
                <w:szCs w:val="16"/>
              </w:rPr>
              <w:t xml:space="preserve"> </w:t>
            </w:r>
            <w:r w:rsidRPr="00DF2C8B">
              <w:rPr>
                <w:color w:val="000000"/>
                <w:sz w:val="16"/>
                <w:szCs w:val="16"/>
              </w:rPr>
              <w:t>970</w:t>
            </w:r>
          </w:p>
        </w:tc>
      </w:tr>
      <w:tr w:rsidR="00DF2C8B" w:rsidRPr="0074045D" w:rsidTr="00DF2C8B">
        <w:tc>
          <w:tcPr>
            <w:tcW w:w="1110" w:type="dxa"/>
            <w:shd w:val="clear" w:color="auto" w:fill="auto"/>
          </w:tcPr>
          <w:p w:rsidR="00DF2C8B" w:rsidRPr="0074045D" w:rsidRDefault="003F1AA5" w:rsidP="006B3AD1">
            <w:pPr>
              <w:spacing w:before="60" w:after="60"/>
              <w:jc w:val="center"/>
              <w:rPr>
                <w:sz w:val="16"/>
                <w:szCs w:val="16"/>
                <w:lang w:val="en-US"/>
              </w:rPr>
            </w:pPr>
            <w:r>
              <w:rPr>
                <w:sz w:val="16"/>
                <w:szCs w:val="16"/>
                <w:lang w:val="en-US"/>
              </w:rPr>
              <w:t>19</w:t>
            </w:r>
            <w:r w:rsidR="00DF2C8B" w:rsidRPr="0074045D">
              <w:rPr>
                <w:sz w:val="16"/>
                <w:szCs w:val="16"/>
                <w:lang w:val="en-US"/>
              </w:rPr>
              <w:t>99</w:t>
            </w:r>
            <w:r w:rsidR="00DF2C8B">
              <w:rPr>
                <w:sz w:val="16"/>
                <w:szCs w:val="16"/>
                <w:lang w:val="en-US"/>
              </w:rPr>
              <w:t>-</w:t>
            </w:r>
            <w:r w:rsidR="00DF2C8B" w:rsidRPr="0074045D">
              <w:rPr>
                <w:sz w:val="16"/>
                <w:szCs w:val="16"/>
                <w:lang w:val="en-US"/>
              </w:rPr>
              <w:t>00</w:t>
            </w:r>
          </w:p>
        </w:tc>
        <w:tc>
          <w:tcPr>
            <w:tcW w:w="1133"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14</w:t>
            </w:r>
            <w:r>
              <w:rPr>
                <w:sz w:val="16"/>
                <w:szCs w:val="16"/>
                <w:lang w:val="en-US"/>
              </w:rPr>
              <w:t xml:space="preserve"> </w:t>
            </w:r>
            <w:r w:rsidRPr="0074045D">
              <w:rPr>
                <w:sz w:val="16"/>
                <w:szCs w:val="16"/>
                <w:lang w:val="en-US"/>
              </w:rPr>
              <w:t>112</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689</w:t>
            </w:r>
            <w:r>
              <w:rPr>
                <w:sz w:val="16"/>
                <w:szCs w:val="16"/>
                <w:lang w:val="en-US"/>
              </w:rPr>
              <w:t xml:space="preserve"> </w:t>
            </w:r>
            <w:r w:rsidRPr="0074045D">
              <w:rPr>
                <w:sz w:val="16"/>
                <w:szCs w:val="16"/>
                <w:lang w:val="en-US"/>
              </w:rPr>
              <w:t>116</w:t>
            </w:r>
          </w:p>
        </w:tc>
        <w:tc>
          <w:tcPr>
            <w:tcW w:w="1365"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16</w:t>
            </w:r>
            <w:r>
              <w:rPr>
                <w:sz w:val="16"/>
                <w:szCs w:val="16"/>
                <w:lang w:val="en-US"/>
              </w:rPr>
              <w:t xml:space="preserve"> </w:t>
            </w:r>
            <w:r w:rsidRPr="0074045D">
              <w:rPr>
                <w:sz w:val="16"/>
                <w:szCs w:val="16"/>
                <w:lang w:val="en-US"/>
              </w:rPr>
              <w:t>843</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63</w:t>
            </w:r>
            <w:r>
              <w:rPr>
                <w:sz w:val="16"/>
                <w:szCs w:val="16"/>
                <w:lang w:val="en-US"/>
              </w:rPr>
              <w:t xml:space="preserve"> </w:t>
            </w:r>
            <w:r w:rsidRPr="0074045D">
              <w:rPr>
                <w:sz w:val="16"/>
                <w:szCs w:val="16"/>
                <w:lang w:val="en-US"/>
              </w:rPr>
              <w:t>303</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75</w:t>
            </w:r>
            <w:r>
              <w:rPr>
                <w:sz w:val="16"/>
                <w:szCs w:val="16"/>
                <w:lang w:val="en-US"/>
              </w:rPr>
              <w:t xml:space="preserve"> </w:t>
            </w:r>
            <w:r w:rsidRPr="0074045D">
              <w:rPr>
                <w:sz w:val="16"/>
                <w:szCs w:val="16"/>
                <w:lang w:val="en-US"/>
              </w:rPr>
              <w:t>615</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4</w:t>
            </w:r>
            <w:r>
              <w:rPr>
                <w:sz w:val="16"/>
                <w:szCs w:val="16"/>
                <w:lang w:val="en-US"/>
              </w:rPr>
              <w:t xml:space="preserve"> </w:t>
            </w:r>
            <w:r w:rsidRPr="0074045D">
              <w:rPr>
                <w:sz w:val="16"/>
                <w:szCs w:val="16"/>
                <w:lang w:val="en-US"/>
              </w:rPr>
              <w:t>298</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194</w:t>
            </w:r>
            <w:r>
              <w:rPr>
                <w:sz w:val="16"/>
                <w:szCs w:val="16"/>
                <w:lang w:val="en-US"/>
              </w:rPr>
              <w:t xml:space="preserve"> </w:t>
            </w:r>
            <w:r w:rsidRPr="0074045D">
              <w:rPr>
                <w:sz w:val="16"/>
                <w:szCs w:val="16"/>
                <w:lang w:val="en-US"/>
              </w:rPr>
              <w:t>001</w:t>
            </w:r>
          </w:p>
        </w:tc>
        <w:tc>
          <w:tcPr>
            <w:tcW w:w="1360"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w:t>
            </w:r>
            <w:r>
              <w:rPr>
                <w:sz w:val="16"/>
                <w:szCs w:val="16"/>
                <w:lang w:val="en-US"/>
              </w:rPr>
              <w:t xml:space="preserve"> </w:t>
            </w:r>
            <w:r w:rsidRPr="0074045D">
              <w:rPr>
                <w:sz w:val="16"/>
                <w:szCs w:val="16"/>
                <w:lang w:val="en-US"/>
              </w:rPr>
              <w:t>940</w:t>
            </w:r>
          </w:p>
        </w:tc>
        <w:tc>
          <w:tcPr>
            <w:tcW w:w="1122"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85</w:t>
            </w:r>
            <w:r>
              <w:rPr>
                <w:sz w:val="16"/>
                <w:szCs w:val="16"/>
                <w:lang w:val="en-US"/>
              </w:rPr>
              <w:t xml:space="preserve"> </w:t>
            </w:r>
            <w:r w:rsidRPr="0074045D">
              <w:rPr>
                <w:sz w:val="16"/>
                <w:szCs w:val="16"/>
                <w:lang w:val="en-US"/>
              </w:rPr>
              <w:t>641</w:t>
            </w:r>
          </w:p>
        </w:tc>
        <w:tc>
          <w:tcPr>
            <w:tcW w:w="1361" w:type="dxa"/>
            <w:shd w:val="clear" w:color="auto" w:fill="auto"/>
          </w:tcPr>
          <w:p w:rsidR="00DF2C8B" w:rsidRPr="0074045D" w:rsidRDefault="00DF2C8B" w:rsidP="006B3AD1">
            <w:pPr>
              <w:spacing w:before="60" w:after="60"/>
              <w:jc w:val="center"/>
              <w:rPr>
                <w:sz w:val="16"/>
                <w:szCs w:val="16"/>
                <w:lang w:val="en-US"/>
              </w:rPr>
            </w:pPr>
          </w:p>
        </w:tc>
        <w:tc>
          <w:tcPr>
            <w:tcW w:w="1129" w:type="dxa"/>
            <w:vAlign w:val="bottom"/>
          </w:tcPr>
          <w:p w:rsidR="00DF2C8B" w:rsidRPr="00DF2C8B" w:rsidRDefault="00DF2C8B" w:rsidP="006B3AD1">
            <w:pPr>
              <w:spacing w:before="60" w:after="60"/>
              <w:jc w:val="right"/>
              <w:rPr>
                <w:color w:val="000000"/>
                <w:sz w:val="16"/>
                <w:szCs w:val="16"/>
              </w:rPr>
            </w:pPr>
            <w:r w:rsidRPr="00DF2C8B">
              <w:rPr>
                <w:color w:val="000000"/>
                <w:sz w:val="16"/>
                <w:szCs w:val="16"/>
              </w:rPr>
              <w:t>1</w:t>
            </w:r>
            <w:r>
              <w:rPr>
                <w:color w:val="000000"/>
                <w:sz w:val="16"/>
                <w:szCs w:val="16"/>
              </w:rPr>
              <w:t xml:space="preserve"> </w:t>
            </w:r>
            <w:r w:rsidRPr="00DF2C8B">
              <w:rPr>
                <w:color w:val="000000"/>
                <w:sz w:val="16"/>
                <w:szCs w:val="16"/>
              </w:rPr>
              <w:t>144</w:t>
            </w:r>
            <w:r>
              <w:rPr>
                <w:color w:val="000000"/>
                <w:sz w:val="16"/>
                <w:szCs w:val="16"/>
              </w:rPr>
              <w:t xml:space="preserve"> </w:t>
            </w:r>
            <w:r w:rsidRPr="00DF2C8B">
              <w:rPr>
                <w:color w:val="000000"/>
                <w:sz w:val="16"/>
                <w:szCs w:val="16"/>
              </w:rPr>
              <w:t>869</w:t>
            </w:r>
          </w:p>
        </w:tc>
      </w:tr>
      <w:tr w:rsidR="00DF2C8B" w:rsidRPr="0074045D" w:rsidTr="00DF2C8B">
        <w:tc>
          <w:tcPr>
            <w:tcW w:w="1110" w:type="dxa"/>
            <w:shd w:val="clear" w:color="auto" w:fill="auto"/>
          </w:tcPr>
          <w:p w:rsidR="00DF2C8B" w:rsidRPr="0074045D" w:rsidRDefault="003F1AA5" w:rsidP="006B3AD1">
            <w:pPr>
              <w:spacing w:before="60" w:after="60"/>
              <w:jc w:val="center"/>
              <w:rPr>
                <w:sz w:val="16"/>
                <w:szCs w:val="16"/>
                <w:lang w:val="en-US"/>
              </w:rPr>
            </w:pPr>
            <w:r>
              <w:rPr>
                <w:sz w:val="16"/>
                <w:szCs w:val="16"/>
                <w:lang w:val="en-US"/>
              </w:rPr>
              <w:t>20</w:t>
            </w:r>
            <w:r w:rsidR="00DF2C8B" w:rsidRPr="0074045D">
              <w:rPr>
                <w:sz w:val="16"/>
                <w:szCs w:val="16"/>
                <w:lang w:val="en-US"/>
              </w:rPr>
              <w:t>00</w:t>
            </w:r>
            <w:r w:rsidR="00DF2C8B">
              <w:rPr>
                <w:sz w:val="16"/>
                <w:szCs w:val="16"/>
                <w:lang w:val="en-US"/>
              </w:rPr>
              <w:t>-</w:t>
            </w:r>
            <w:r w:rsidR="00DF2C8B" w:rsidRPr="0074045D">
              <w:rPr>
                <w:sz w:val="16"/>
                <w:szCs w:val="16"/>
                <w:lang w:val="en-US"/>
              </w:rPr>
              <w:t>01</w:t>
            </w:r>
          </w:p>
        </w:tc>
        <w:tc>
          <w:tcPr>
            <w:tcW w:w="1133"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16</w:t>
            </w:r>
            <w:r>
              <w:rPr>
                <w:sz w:val="16"/>
                <w:szCs w:val="16"/>
                <w:lang w:val="en-US"/>
              </w:rPr>
              <w:t xml:space="preserve"> </w:t>
            </w:r>
            <w:r w:rsidRPr="0074045D">
              <w:rPr>
                <w:sz w:val="16"/>
                <w:szCs w:val="16"/>
                <w:lang w:val="en-US"/>
              </w:rPr>
              <w:t>092</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699</w:t>
            </w:r>
            <w:r>
              <w:rPr>
                <w:sz w:val="16"/>
                <w:szCs w:val="16"/>
                <w:lang w:val="en-US"/>
              </w:rPr>
              <w:t xml:space="preserve"> </w:t>
            </w:r>
            <w:r w:rsidRPr="0074045D">
              <w:rPr>
                <w:sz w:val="16"/>
                <w:szCs w:val="16"/>
                <w:lang w:val="en-US"/>
              </w:rPr>
              <w:t>095</w:t>
            </w:r>
          </w:p>
        </w:tc>
        <w:tc>
          <w:tcPr>
            <w:tcW w:w="1365"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16</w:t>
            </w:r>
            <w:r>
              <w:rPr>
                <w:sz w:val="16"/>
                <w:szCs w:val="16"/>
                <w:lang w:val="en-US"/>
              </w:rPr>
              <w:t xml:space="preserve"> </w:t>
            </w:r>
            <w:r w:rsidRPr="0074045D">
              <w:rPr>
                <w:sz w:val="16"/>
                <w:szCs w:val="16"/>
                <w:lang w:val="en-US"/>
              </w:rPr>
              <w:t>843</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60</w:t>
            </w:r>
            <w:r>
              <w:rPr>
                <w:sz w:val="16"/>
                <w:szCs w:val="16"/>
                <w:lang w:val="en-US"/>
              </w:rPr>
              <w:t xml:space="preserve"> </w:t>
            </w:r>
            <w:r w:rsidRPr="0074045D">
              <w:rPr>
                <w:sz w:val="16"/>
                <w:szCs w:val="16"/>
                <w:lang w:val="en-US"/>
              </w:rPr>
              <w:t>873</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83</w:t>
            </w:r>
            <w:r>
              <w:rPr>
                <w:sz w:val="16"/>
                <w:szCs w:val="16"/>
                <w:lang w:val="en-US"/>
              </w:rPr>
              <w:t xml:space="preserve"> </w:t>
            </w:r>
            <w:r w:rsidRPr="0074045D">
              <w:rPr>
                <w:sz w:val="16"/>
                <w:szCs w:val="16"/>
                <w:lang w:val="en-US"/>
              </w:rPr>
              <w:t>330</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3</w:t>
            </w:r>
            <w:r>
              <w:rPr>
                <w:sz w:val="16"/>
                <w:szCs w:val="16"/>
                <w:lang w:val="en-US"/>
              </w:rPr>
              <w:t xml:space="preserve"> </w:t>
            </w:r>
            <w:r w:rsidRPr="0074045D">
              <w:rPr>
                <w:sz w:val="16"/>
                <w:szCs w:val="16"/>
                <w:lang w:val="en-US"/>
              </w:rPr>
              <w:t>074</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206</w:t>
            </w:r>
            <w:r>
              <w:rPr>
                <w:sz w:val="16"/>
                <w:szCs w:val="16"/>
                <w:lang w:val="en-US"/>
              </w:rPr>
              <w:t xml:space="preserve"> </w:t>
            </w:r>
            <w:r w:rsidRPr="0074045D">
              <w:rPr>
                <w:sz w:val="16"/>
                <w:szCs w:val="16"/>
                <w:lang w:val="en-US"/>
              </w:rPr>
              <w:t>046</w:t>
            </w:r>
          </w:p>
        </w:tc>
        <w:tc>
          <w:tcPr>
            <w:tcW w:w="1360"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w:t>
            </w:r>
            <w:r>
              <w:rPr>
                <w:sz w:val="16"/>
                <w:szCs w:val="16"/>
                <w:lang w:val="en-US"/>
              </w:rPr>
              <w:t xml:space="preserve"> </w:t>
            </w:r>
            <w:r w:rsidRPr="0074045D">
              <w:rPr>
                <w:sz w:val="16"/>
                <w:szCs w:val="16"/>
                <w:lang w:val="en-US"/>
              </w:rPr>
              <w:t>500</w:t>
            </w:r>
          </w:p>
        </w:tc>
        <w:tc>
          <w:tcPr>
            <w:tcW w:w="1122"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87</w:t>
            </w:r>
            <w:r>
              <w:rPr>
                <w:sz w:val="16"/>
                <w:szCs w:val="16"/>
                <w:lang w:val="en-US"/>
              </w:rPr>
              <w:t xml:space="preserve"> </w:t>
            </w:r>
            <w:r w:rsidRPr="0074045D">
              <w:rPr>
                <w:sz w:val="16"/>
                <w:szCs w:val="16"/>
                <w:lang w:val="en-US"/>
              </w:rPr>
              <w:t>981</w:t>
            </w:r>
          </w:p>
        </w:tc>
        <w:tc>
          <w:tcPr>
            <w:tcW w:w="1361" w:type="dxa"/>
            <w:shd w:val="clear" w:color="auto" w:fill="auto"/>
          </w:tcPr>
          <w:p w:rsidR="00DF2C8B" w:rsidRPr="0074045D" w:rsidRDefault="00DF2C8B" w:rsidP="006B3AD1">
            <w:pPr>
              <w:spacing w:before="60" w:after="60"/>
              <w:jc w:val="center"/>
              <w:rPr>
                <w:sz w:val="16"/>
                <w:szCs w:val="16"/>
                <w:lang w:val="en-US"/>
              </w:rPr>
            </w:pPr>
          </w:p>
        </w:tc>
        <w:tc>
          <w:tcPr>
            <w:tcW w:w="1129" w:type="dxa"/>
            <w:vAlign w:val="bottom"/>
          </w:tcPr>
          <w:p w:rsidR="00DF2C8B" w:rsidRPr="00DF2C8B" w:rsidRDefault="00DF2C8B" w:rsidP="006B3AD1">
            <w:pPr>
              <w:spacing w:before="60" w:after="60"/>
              <w:jc w:val="right"/>
              <w:rPr>
                <w:color w:val="000000"/>
                <w:sz w:val="16"/>
                <w:szCs w:val="16"/>
              </w:rPr>
            </w:pPr>
            <w:r w:rsidRPr="00DF2C8B">
              <w:rPr>
                <w:color w:val="000000"/>
                <w:sz w:val="16"/>
                <w:szCs w:val="16"/>
              </w:rPr>
              <w:t>1</w:t>
            </w:r>
            <w:r>
              <w:rPr>
                <w:color w:val="000000"/>
                <w:sz w:val="16"/>
                <w:szCs w:val="16"/>
              </w:rPr>
              <w:t xml:space="preserve"> </w:t>
            </w:r>
            <w:r w:rsidRPr="00DF2C8B">
              <w:rPr>
                <w:color w:val="000000"/>
                <w:sz w:val="16"/>
                <w:szCs w:val="16"/>
              </w:rPr>
              <w:t>174</w:t>
            </w:r>
            <w:r>
              <w:rPr>
                <w:color w:val="000000"/>
                <w:sz w:val="16"/>
                <w:szCs w:val="16"/>
              </w:rPr>
              <w:t xml:space="preserve"> </w:t>
            </w:r>
            <w:r w:rsidRPr="00DF2C8B">
              <w:rPr>
                <w:color w:val="000000"/>
                <w:sz w:val="16"/>
                <w:szCs w:val="16"/>
              </w:rPr>
              <w:t>834</w:t>
            </w:r>
          </w:p>
        </w:tc>
      </w:tr>
      <w:tr w:rsidR="00DF2C8B" w:rsidRPr="0074045D" w:rsidTr="00DF2C8B">
        <w:tc>
          <w:tcPr>
            <w:tcW w:w="1110" w:type="dxa"/>
            <w:shd w:val="clear" w:color="auto" w:fill="auto"/>
          </w:tcPr>
          <w:p w:rsidR="00DF2C8B" w:rsidRPr="0074045D" w:rsidRDefault="003F1AA5" w:rsidP="006B3AD1">
            <w:pPr>
              <w:spacing w:before="60" w:after="60"/>
              <w:jc w:val="center"/>
              <w:rPr>
                <w:sz w:val="16"/>
                <w:szCs w:val="16"/>
                <w:lang w:val="en-US"/>
              </w:rPr>
            </w:pPr>
            <w:r>
              <w:rPr>
                <w:sz w:val="16"/>
                <w:szCs w:val="16"/>
                <w:lang w:val="en-US"/>
              </w:rPr>
              <w:t>20</w:t>
            </w:r>
            <w:r w:rsidR="00DF2C8B" w:rsidRPr="0074045D">
              <w:rPr>
                <w:sz w:val="16"/>
                <w:szCs w:val="16"/>
                <w:lang w:val="en-US"/>
              </w:rPr>
              <w:t>01</w:t>
            </w:r>
            <w:r w:rsidR="00DF2C8B">
              <w:rPr>
                <w:sz w:val="16"/>
                <w:szCs w:val="16"/>
                <w:lang w:val="en-US"/>
              </w:rPr>
              <w:t>-</w:t>
            </w:r>
            <w:r w:rsidR="00DF2C8B" w:rsidRPr="0074045D">
              <w:rPr>
                <w:sz w:val="16"/>
                <w:szCs w:val="16"/>
                <w:lang w:val="en-US"/>
              </w:rPr>
              <w:t>02</w:t>
            </w:r>
          </w:p>
        </w:tc>
        <w:tc>
          <w:tcPr>
            <w:tcW w:w="1133"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25</w:t>
            </w:r>
            <w:r>
              <w:rPr>
                <w:sz w:val="16"/>
                <w:szCs w:val="16"/>
                <w:lang w:val="en-US"/>
              </w:rPr>
              <w:t xml:space="preserve"> </w:t>
            </w:r>
            <w:r w:rsidRPr="0074045D">
              <w:rPr>
                <w:sz w:val="16"/>
                <w:szCs w:val="16"/>
                <w:lang w:val="en-US"/>
              </w:rPr>
              <w:t>773</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697</w:t>
            </w:r>
            <w:r>
              <w:rPr>
                <w:sz w:val="16"/>
                <w:szCs w:val="16"/>
                <w:lang w:val="en-US"/>
              </w:rPr>
              <w:t xml:space="preserve"> </w:t>
            </w:r>
            <w:r w:rsidRPr="0074045D">
              <w:rPr>
                <w:sz w:val="16"/>
                <w:szCs w:val="16"/>
                <w:lang w:val="en-US"/>
              </w:rPr>
              <w:t>811</w:t>
            </w:r>
          </w:p>
        </w:tc>
        <w:tc>
          <w:tcPr>
            <w:tcW w:w="1365"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16</w:t>
            </w:r>
            <w:r>
              <w:rPr>
                <w:sz w:val="16"/>
                <w:szCs w:val="16"/>
                <w:lang w:val="en-US"/>
              </w:rPr>
              <w:t xml:space="preserve"> </w:t>
            </w:r>
            <w:r w:rsidRPr="0074045D">
              <w:rPr>
                <w:sz w:val="16"/>
                <w:szCs w:val="16"/>
                <w:lang w:val="en-US"/>
              </w:rPr>
              <w:t>843</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56</w:t>
            </w:r>
            <w:r>
              <w:rPr>
                <w:sz w:val="16"/>
                <w:szCs w:val="16"/>
                <w:lang w:val="en-US"/>
              </w:rPr>
              <w:t xml:space="preserve"> </w:t>
            </w:r>
            <w:r w:rsidRPr="0074045D">
              <w:rPr>
                <w:sz w:val="16"/>
                <w:szCs w:val="16"/>
                <w:lang w:val="en-US"/>
              </w:rPr>
              <w:t>751</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77</w:t>
            </w:r>
            <w:r>
              <w:rPr>
                <w:sz w:val="16"/>
                <w:szCs w:val="16"/>
                <w:lang w:val="en-US"/>
              </w:rPr>
              <w:t xml:space="preserve"> </w:t>
            </w:r>
            <w:r w:rsidRPr="0074045D">
              <w:rPr>
                <w:sz w:val="16"/>
                <w:szCs w:val="16"/>
                <w:lang w:val="en-US"/>
              </w:rPr>
              <w:t>112</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4</w:t>
            </w:r>
            <w:r>
              <w:rPr>
                <w:sz w:val="16"/>
                <w:szCs w:val="16"/>
                <w:lang w:val="en-US"/>
              </w:rPr>
              <w:t xml:space="preserve"> </w:t>
            </w:r>
            <w:r w:rsidRPr="0074045D">
              <w:rPr>
                <w:sz w:val="16"/>
                <w:szCs w:val="16"/>
                <w:lang w:val="en-US"/>
              </w:rPr>
              <w:t>802</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195</w:t>
            </w:r>
            <w:r>
              <w:rPr>
                <w:sz w:val="16"/>
                <w:szCs w:val="16"/>
                <w:lang w:val="en-US"/>
              </w:rPr>
              <w:t xml:space="preserve"> </w:t>
            </w:r>
            <w:r w:rsidRPr="0074045D">
              <w:rPr>
                <w:sz w:val="16"/>
                <w:szCs w:val="16"/>
                <w:lang w:val="en-US"/>
              </w:rPr>
              <w:t>158</w:t>
            </w:r>
          </w:p>
        </w:tc>
        <w:tc>
          <w:tcPr>
            <w:tcW w:w="1360"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w:t>
            </w:r>
            <w:r>
              <w:rPr>
                <w:sz w:val="16"/>
                <w:szCs w:val="16"/>
                <w:lang w:val="en-US"/>
              </w:rPr>
              <w:t xml:space="preserve"> </w:t>
            </w:r>
            <w:r w:rsidRPr="0074045D">
              <w:rPr>
                <w:sz w:val="16"/>
                <w:szCs w:val="16"/>
                <w:lang w:val="en-US"/>
              </w:rPr>
              <w:t>500</w:t>
            </w:r>
          </w:p>
        </w:tc>
        <w:tc>
          <w:tcPr>
            <w:tcW w:w="1122"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88</w:t>
            </w:r>
            <w:r>
              <w:rPr>
                <w:sz w:val="16"/>
                <w:szCs w:val="16"/>
                <w:lang w:val="en-US"/>
              </w:rPr>
              <w:t xml:space="preserve"> </w:t>
            </w:r>
            <w:r w:rsidRPr="0074045D">
              <w:rPr>
                <w:sz w:val="16"/>
                <w:szCs w:val="16"/>
                <w:lang w:val="en-US"/>
              </w:rPr>
              <w:t>486</w:t>
            </w:r>
          </w:p>
        </w:tc>
        <w:tc>
          <w:tcPr>
            <w:tcW w:w="1361" w:type="dxa"/>
            <w:shd w:val="clear" w:color="auto" w:fill="auto"/>
          </w:tcPr>
          <w:p w:rsidR="00DF2C8B" w:rsidRPr="0074045D" w:rsidRDefault="00DF2C8B" w:rsidP="006B3AD1">
            <w:pPr>
              <w:spacing w:before="60" w:after="60"/>
              <w:jc w:val="center"/>
              <w:rPr>
                <w:sz w:val="16"/>
                <w:szCs w:val="16"/>
                <w:lang w:val="en-US"/>
              </w:rPr>
            </w:pPr>
          </w:p>
        </w:tc>
        <w:tc>
          <w:tcPr>
            <w:tcW w:w="1129" w:type="dxa"/>
            <w:vAlign w:val="bottom"/>
          </w:tcPr>
          <w:p w:rsidR="00DF2C8B" w:rsidRPr="00DF2C8B" w:rsidRDefault="00DF2C8B" w:rsidP="006B3AD1">
            <w:pPr>
              <w:spacing w:before="60" w:after="60"/>
              <w:jc w:val="right"/>
              <w:rPr>
                <w:color w:val="000000"/>
                <w:sz w:val="16"/>
                <w:szCs w:val="16"/>
              </w:rPr>
            </w:pPr>
            <w:r w:rsidRPr="00DF2C8B">
              <w:rPr>
                <w:color w:val="000000"/>
                <w:sz w:val="16"/>
                <w:szCs w:val="16"/>
              </w:rPr>
              <w:t>1</w:t>
            </w:r>
            <w:r>
              <w:rPr>
                <w:color w:val="000000"/>
                <w:sz w:val="16"/>
                <w:szCs w:val="16"/>
              </w:rPr>
              <w:t xml:space="preserve"> </w:t>
            </w:r>
            <w:r w:rsidRPr="00DF2C8B">
              <w:rPr>
                <w:color w:val="000000"/>
                <w:sz w:val="16"/>
                <w:szCs w:val="16"/>
              </w:rPr>
              <w:t>164</w:t>
            </w:r>
            <w:r>
              <w:rPr>
                <w:color w:val="000000"/>
                <w:sz w:val="16"/>
                <w:szCs w:val="16"/>
              </w:rPr>
              <w:t xml:space="preserve"> </w:t>
            </w:r>
            <w:r w:rsidRPr="00DF2C8B">
              <w:rPr>
                <w:color w:val="000000"/>
                <w:sz w:val="16"/>
                <w:szCs w:val="16"/>
              </w:rPr>
              <w:t>236</w:t>
            </w:r>
          </w:p>
        </w:tc>
      </w:tr>
      <w:tr w:rsidR="00DF2C8B" w:rsidRPr="0074045D" w:rsidTr="00DF2C8B">
        <w:tc>
          <w:tcPr>
            <w:tcW w:w="1110" w:type="dxa"/>
            <w:shd w:val="clear" w:color="auto" w:fill="auto"/>
          </w:tcPr>
          <w:p w:rsidR="00DF2C8B" w:rsidRPr="0074045D" w:rsidRDefault="003F1AA5" w:rsidP="006B3AD1">
            <w:pPr>
              <w:spacing w:before="60" w:after="60"/>
              <w:jc w:val="center"/>
              <w:rPr>
                <w:sz w:val="16"/>
                <w:szCs w:val="16"/>
                <w:lang w:val="en-US"/>
              </w:rPr>
            </w:pPr>
            <w:r>
              <w:rPr>
                <w:sz w:val="16"/>
                <w:szCs w:val="16"/>
                <w:lang w:val="en-US"/>
              </w:rPr>
              <w:t>20</w:t>
            </w:r>
            <w:r w:rsidR="00DF2C8B" w:rsidRPr="0074045D">
              <w:rPr>
                <w:sz w:val="16"/>
                <w:szCs w:val="16"/>
                <w:lang w:val="en-US"/>
              </w:rPr>
              <w:t>02</w:t>
            </w:r>
            <w:r w:rsidR="00DF2C8B">
              <w:rPr>
                <w:sz w:val="16"/>
                <w:szCs w:val="16"/>
                <w:lang w:val="en-US"/>
              </w:rPr>
              <w:t>-</w:t>
            </w:r>
            <w:r w:rsidR="00DF2C8B" w:rsidRPr="0074045D">
              <w:rPr>
                <w:sz w:val="16"/>
                <w:szCs w:val="16"/>
                <w:lang w:val="en-US"/>
              </w:rPr>
              <w:t>03</w:t>
            </w:r>
          </w:p>
        </w:tc>
        <w:tc>
          <w:tcPr>
            <w:tcW w:w="1133"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24</w:t>
            </w:r>
            <w:r>
              <w:rPr>
                <w:sz w:val="16"/>
                <w:szCs w:val="16"/>
                <w:lang w:val="en-US"/>
              </w:rPr>
              <w:t xml:space="preserve"> </w:t>
            </w:r>
            <w:r w:rsidRPr="0074045D">
              <w:rPr>
                <w:sz w:val="16"/>
                <w:szCs w:val="16"/>
                <w:lang w:val="en-US"/>
              </w:rPr>
              <w:t>272</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699</w:t>
            </w:r>
            <w:r>
              <w:rPr>
                <w:sz w:val="16"/>
                <w:szCs w:val="16"/>
                <w:lang w:val="en-US"/>
              </w:rPr>
              <w:t xml:space="preserve"> </w:t>
            </w:r>
            <w:r w:rsidRPr="0074045D">
              <w:rPr>
                <w:sz w:val="16"/>
                <w:szCs w:val="16"/>
                <w:lang w:val="en-US"/>
              </w:rPr>
              <w:t>110</w:t>
            </w:r>
          </w:p>
        </w:tc>
        <w:tc>
          <w:tcPr>
            <w:tcW w:w="1365"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16</w:t>
            </w:r>
            <w:r>
              <w:rPr>
                <w:sz w:val="16"/>
                <w:szCs w:val="16"/>
                <w:lang w:val="en-US"/>
              </w:rPr>
              <w:t xml:space="preserve"> </w:t>
            </w:r>
            <w:r w:rsidRPr="0074045D">
              <w:rPr>
                <w:sz w:val="16"/>
                <w:szCs w:val="16"/>
                <w:lang w:val="en-US"/>
              </w:rPr>
              <w:t>843</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63</w:t>
            </w:r>
            <w:r>
              <w:rPr>
                <w:sz w:val="16"/>
                <w:szCs w:val="16"/>
                <w:lang w:val="en-US"/>
              </w:rPr>
              <w:t xml:space="preserve"> </w:t>
            </w:r>
            <w:r w:rsidRPr="0074045D">
              <w:rPr>
                <w:sz w:val="16"/>
                <w:szCs w:val="16"/>
                <w:lang w:val="en-US"/>
              </w:rPr>
              <w:t>330</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52</w:t>
            </w:r>
            <w:r>
              <w:rPr>
                <w:sz w:val="16"/>
                <w:szCs w:val="16"/>
                <w:lang w:val="en-US"/>
              </w:rPr>
              <w:t xml:space="preserve"> </w:t>
            </w:r>
            <w:r w:rsidRPr="0074045D">
              <w:rPr>
                <w:sz w:val="16"/>
                <w:szCs w:val="16"/>
                <w:lang w:val="en-US"/>
              </w:rPr>
              <w:t>524</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5</w:t>
            </w:r>
            <w:r>
              <w:rPr>
                <w:sz w:val="16"/>
                <w:szCs w:val="16"/>
                <w:lang w:val="en-US"/>
              </w:rPr>
              <w:t xml:space="preserve"> </w:t>
            </w:r>
            <w:r w:rsidRPr="0074045D">
              <w:rPr>
                <w:sz w:val="16"/>
                <w:szCs w:val="16"/>
                <w:lang w:val="en-US"/>
              </w:rPr>
              <w:t>568</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182</w:t>
            </w:r>
            <w:r>
              <w:rPr>
                <w:sz w:val="16"/>
                <w:szCs w:val="16"/>
                <w:lang w:val="en-US"/>
              </w:rPr>
              <w:t xml:space="preserve"> </w:t>
            </w:r>
            <w:r w:rsidRPr="0074045D">
              <w:rPr>
                <w:sz w:val="16"/>
                <w:szCs w:val="16"/>
                <w:lang w:val="en-US"/>
              </w:rPr>
              <w:t>344</w:t>
            </w:r>
          </w:p>
        </w:tc>
        <w:tc>
          <w:tcPr>
            <w:tcW w:w="1360"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5</w:t>
            </w:r>
            <w:r>
              <w:rPr>
                <w:sz w:val="16"/>
                <w:szCs w:val="16"/>
                <w:lang w:val="en-US"/>
              </w:rPr>
              <w:t xml:space="preserve"> </w:t>
            </w:r>
            <w:r w:rsidRPr="0074045D">
              <w:rPr>
                <w:sz w:val="16"/>
                <w:szCs w:val="16"/>
                <w:lang w:val="en-US"/>
              </w:rPr>
              <w:t>925</w:t>
            </w:r>
          </w:p>
        </w:tc>
        <w:tc>
          <w:tcPr>
            <w:tcW w:w="1122"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67</w:t>
            </w:r>
            <w:r>
              <w:rPr>
                <w:sz w:val="16"/>
                <w:szCs w:val="16"/>
                <w:lang w:val="en-US"/>
              </w:rPr>
              <w:t xml:space="preserve"> </w:t>
            </w:r>
            <w:r w:rsidRPr="0074045D">
              <w:rPr>
                <w:sz w:val="16"/>
                <w:szCs w:val="16"/>
                <w:lang w:val="en-US"/>
              </w:rPr>
              <w:t>107</w:t>
            </w:r>
          </w:p>
        </w:tc>
        <w:tc>
          <w:tcPr>
            <w:tcW w:w="1361" w:type="dxa"/>
            <w:shd w:val="clear" w:color="auto" w:fill="auto"/>
          </w:tcPr>
          <w:p w:rsidR="00DF2C8B" w:rsidRPr="0074045D" w:rsidRDefault="00DF2C8B" w:rsidP="006B3AD1">
            <w:pPr>
              <w:spacing w:before="60" w:after="60"/>
              <w:jc w:val="center"/>
              <w:rPr>
                <w:sz w:val="16"/>
                <w:szCs w:val="16"/>
                <w:lang w:val="en-US"/>
              </w:rPr>
            </w:pPr>
          </w:p>
        </w:tc>
        <w:tc>
          <w:tcPr>
            <w:tcW w:w="1129" w:type="dxa"/>
            <w:vAlign w:val="bottom"/>
          </w:tcPr>
          <w:p w:rsidR="00DF2C8B" w:rsidRPr="00DF2C8B" w:rsidRDefault="00DF2C8B" w:rsidP="006B3AD1">
            <w:pPr>
              <w:spacing w:before="60" w:after="60"/>
              <w:jc w:val="right"/>
              <w:rPr>
                <w:color w:val="000000"/>
                <w:sz w:val="16"/>
                <w:szCs w:val="16"/>
              </w:rPr>
            </w:pPr>
            <w:r w:rsidRPr="00DF2C8B">
              <w:rPr>
                <w:color w:val="000000"/>
                <w:sz w:val="16"/>
                <w:szCs w:val="16"/>
              </w:rPr>
              <w:t>1</w:t>
            </w:r>
            <w:r>
              <w:rPr>
                <w:color w:val="000000"/>
                <w:sz w:val="16"/>
                <w:szCs w:val="16"/>
              </w:rPr>
              <w:t xml:space="preserve"> </w:t>
            </w:r>
            <w:r w:rsidRPr="00DF2C8B">
              <w:rPr>
                <w:color w:val="000000"/>
                <w:sz w:val="16"/>
                <w:szCs w:val="16"/>
              </w:rPr>
              <w:t>117</w:t>
            </w:r>
            <w:r>
              <w:rPr>
                <w:color w:val="000000"/>
                <w:sz w:val="16"/>
                <w:szCs w:val="16"/>
              </w:rPr>
              <w:t xml:space="preserve"> </w:t>
            </w:r>
            <w:r w:rsidRPr="00DF2C8B">
              <w:rPr>
                <w:color w:val="000000"/>
                <w:sz w:val="16"/>
                <w:szCs w:val="16"/>
              </w:rPr>
              <w:t>023</w:t>
            </w:r>
          </w:p>
        </w:tc>
      </w:tr>
      <w:tr w:rsidR="00DF2C8B" w:rsidRPr="0074045D" w:rsidTr="00DF2C8B">
        <w:tc>
          <w:tcPr>
            <w:tcW w:w="1110" w:type="dxa"/>
            <w:shd w:val="clear" w:color="auto" w:fill="auto"/>
          </w:tcPr>
          <w:p w:rsidR="00DF2C8B" w:rsidRPr="0074045D" w:rsidRDefault="003F1AA5" w:rsidP="006B3AD1">
            <w:pPr>
              <w:spacing w:before="60" w:after="60"/>
              <w:jc w:val="center"/>
              <w:rPr>
                <w:sz w:val="16"/>
                <w:szCs w:val="16"/>
                <w:lang w:val="en-US"/>
              </w:rPr>
            </w:pPr>
            <w:r>
              <w:rPr>
                <w:sz w:val="16"/>
                <w:szCs w:val="16"/>
                <w:lang w:val="en-US"/>
              </w:rPr>
              <w:t>20</w:t>
            </w:r>
            <w:r w:rsidR="00DF2C8B" w:rsidRPr="0074045D">
              <w:rPr>
                <w:sz w:val="16"/>
                <w:szCs w:val="16"/>
                <w:lang w:val="en-US"/>
              </w:rPr>
              <w:t>03</w:t>
            </w:r>
            <w:r w:rsidR="00DF2C8B">
              <w:rPr>
                <w:sz w:val="16"/>
                <w:szCs w:val="16"/>
                <w:lang w:val="en-US"/>
              </w:rPr>
              <w:t>-</w:t>
            </w:r>
            <w:r w:rsidR="00DF2C8B" w:rsidRPr="0074045D">
              <w:rPr>
                <w:sz w:val="16"/>
                <w:szCs w:val="16"/>
                <w:lang w:val="en-US"/>
              </w:rPr>
              <w:t>04</w:t>
            </w:r>
          </w:p>
        </w:tc>
        <w:tc>
          <w:tcPr>
            <w:tcW w:w="1133"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33</w:t>
            </w:r>
            <w:r>
              <w:rPr>
                <w:sz w:val="16"/>
                <w:szCs w:val="16"/>
                <w:lang w:val="en-US"/>
              </w:rPr>
              <w:t xml:space="preserve"> </w:t>
            </w:r>
            <w:r w:rsidRPr="0074045D">
              <w:rPr>
                <w:sz w:val="16"/>
                <w:szCs w:val="16"/>
                <w:lang w:val="en-US"/>
              </w:rPr>
              <w:t>778</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698</w:t>
            </w:r>
            <w:r>
              <w:rPr>
                <w:sz w:val="16"/>
                <w:szCs w:val="16"/>
                <w:lang w:val="en-US"/>
              </w:rPr>
              <w:t xml:space="preserve"> </w:t>
            </w:r>
            <w:r w:rsidRPr="0074045D">
              <w:rPr>
                <w:sz w:val="16"/>
                <w:szCs w:val="16"/>
                <w:lang w:val="en-US"/>
              </w:rPr>
              <w:t>800</w:t>
            </w:r>
          </w:p>
        </w:tc>
        <w:tc>
          <w:tcPr>
            <w:tcW w:w="1365"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16</w:t>
            </w:r>
            <w:r>
              <w:rPr>
                <w:sz w:val="16"/>
                <w:szCs w:val="16"/>
                <w:lang w:val="en-US"/>
              </w:rPr>
              <w:t xml:space="preserve"> </w:t>
            </w:r>
            <w:r w:rsidRPr="0074045D">
              <w:rPr>
                <w:sz w:val="16"/>
                <w:szCs w:val="16"/>
                <w:lang w:val="en-US"/>
              </w:rPr>
              <w:t>843</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54</w:t>
            </w:r>
            <w:r>
              <w:rPr>
                <w:sz w:val="16"/>
                <w:szCs w:val="16"/>
                <w:lang w:val="en-US"/>
              </w:rPr>
              <w:t xml:space="preserve"> </w:t>
            </w:r>
            <w:r w:rsidRPr="0074045D">
              <w:rPr>
                <w:sz w:val="16"/>
                <w:szCs w:val="16"/>
                <w:lang w:val="en-US"/>
              </w:rPr>
              <w:t>681</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69</w:t>
            </w:r>
            <w:r>
              <w:rPr>
                <w:sz w:val="16"/>
                <w:szCs w:val="16"/>
                <w:lang w:val="en-US"/>
              </w:rPr>
              <w:t xml:space="preserve"> </w:t>
            </w:r>
            <w:r w:rsidRPr="0074045D">
              <w:rPr>
                <w:sz w:val="16"/>
                <w:szCs w:val="16"/>
                <w:lang w:val="en-US"/>
              </w:rPr>
              <w:t>083</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6</w:t>
            </w:r>
            <w:r>
              <w:rPr>
                <w:sz w:val="16"/>
                <w:szCs w:val="16"/>
                <w:lang w:val="en-US"/>
              </w:rPr>
              <w:t xml:space="preserve"> </w:t>
            </w:r>
            <w:r w:rsidRPr="0074045D">
              <w:rPr>
                <w:sz w:val="16"/>
                <w:szCs w:val="16"/>
                <w:lang w:val="en-US"/>
              </w:rPr>
              <w:t>031</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207</w:t>
            </w:r>
            <w:r>
              <w:rPr>
                <w:sz w:val="16"/>
                <w:szCs w:val="16"/>
                <w:lang w:val="en-US"/>
              </w:rPr>
              <w:t xml:space="preserve"> </w:t>
            </w:r>
            <w:r w:rsidRPr="0074045D">
              <w:rPr>
                <w:sz w:val="16"/>
                <w:szCs w:val="16"/>
                <w:lang w:val="en-US"/>
              </w:rPr>
              <w:t>028</w:t>
            </w:r>
          </w:p>
        </w:tc>
        <w:tc>
          <w:tcPr>
            <w:tcW w:w="1360"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2</w:t>
            </w:r>
            <w:r>
              <w:rPr>
                <w:sz w:val="16"/>
                <w:szCs w:val="16"/>
                <w:lang w:val="en-US"/>
              </w:rPr>
              <w:t xml:space="preserve"> </w:t>
            </w:r>
            <w:r w:rsidRPr="0074045D">
              <w:rPr>
                <w:sz w:val="16"/>
                <w:szCs w:val="16"/>
                <w:lang w:val="en-US"/>
              </w:rPr>
              <w:t>184</w:t>
            </w:r>
          </w:p>
        </w:tc>
        <w:tc>
          <w:tcPr>
            <w:tcW w:w="1122"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75</w:t>
            </w:r>
            <w:r>
              <w:rPr>
                <w:sz w:val="16"/>
                <w:szCs w:val="16"/>
                <w:lang w:val="en-US"/>
              </w:rPr>
              <w:t xml:space="preserve"> </w:t>
            </w:r>
            <w:r w:rsidRPr="0074045D">
              <w:rPr>
                <w:sz w:val="16"/>
                <w:szCs w:val="16"/>
                <w:lang w:val="en-US"/>
              </w:rPr>
              <w:t>529</w:t>
            </w:r>
          </w:p>
        </w:tc>
        <w:tc>
          <w:tcPr>
            <w:tcW w:w="1361" w:type="dxa"/>
            <w:shd w:val="clear" w:color="auto" w:fill="auto"/>
          </w:tcPr>
          <w:p w:rsidR="00DF2C8B" w:rsidRPr="0074045D" w:rsidRDefault="00DF2C8B" w:rsidP="006B3AD1">
            <w:pPr>
              <w:spacing w:before="60" w:after="60"/>
              <w:jc w:val="center"/>
              <w:rPr>
                <w:sz w:val="16"/>
                <w:szCs w:val="16"/>
                <w:lang w:val="en-US"/>
              </w:rPr>
            </w:pPr>
          </w:p>
        </w:tc>
        <w:tc>
          <w:tcPr>
            <w:tcW w:w="1129" w:type="dxa"/>
            <w:vAlign w:val="bottom"/>
          </w:tcPr>
          <w:p w:rsidR="00DF2C8B" w:rsidRPr="00DF2C8B" w:rsidRDefault="00DF2C8B" w:rsidP="006B3AD1">
            <w:pPr>
              <w:spacing w:before="60" w:after="60"/>
              <w:jc w:val="right"/>
              <w:rPr>
                <w:color w:val="000000"/>
                <w:sz w:val="16"/>
                <w:szCs w:val="16"/>
              </w:rPr>
            </w:pPr>
            <w:r w:rsidRPr="00DF2C8B">
              <w:rPr>
                <w:color w:val="000000"/>
                <w:sz w:val="16"/>
                <w:szCs w:val="16"/>
              </w:rPr>
              <w:t>1</w:t>
            </w:r>
            <w:r>
              <w:rPr>
                <w:color w:val="000000"/>
                <w:sz w:val="16"/>
                <w:szCs w:val="16"/>
              </w:rPr>
              <w:t xml:space="preserve"> </w:t>
            </w:r>
            <w:r w:rsidRPr="00DF2C8B">
              <w:rPr>
                <w:color w:val="000000"/>
                <w:sz w:val="16"/>
                <w:szCs w:val="16"/>
              </w:rPr>
              <w:t>163</w:t>
            </w:r>
            <w:r>
              <w:rPr>
                <w:color w:val="000000"/>
                <w:sz w:val="16"/>
                <w:szCs w:val="16"/>
              </w:rPr>
              <w:t xml:space="preserve"> </w:t>
            </w:r>
            <w:r w:rsidRPr="00DF2C8B">
              <w:rPr>
                <w:color w:val="000000"/>
                <w:sz w:val="16"/>
                <w:szCs w:val="16"/>
              </w:rPr>
              <w:t>957</w:t>
            </w:r>
          </w:p>
        </w:tc>
      </w:tr>
      <w:tr w:rsidR="00DF2C8B" w:rsidRPr="0074045D" w:rsidTr="00DF2C8B">
        <w:tc>
          <w:tcPr>
            <w:tcW w:w="1110" w:type="dxa"/>
            <w:shd w:val="clear" w:color="auto" w:fill="auto"/>
          </w:tcPr>
          <w:p w:rsidR="00DF2C8B" w:rsidRPr="0074045D" w:rsidRDefault="003F1AA5" w:rsidP="006B3AD1">
            <w:pPr>
              <w:spacing w:before="60" w:after="60"/>
              <w:jc w:val="center"/>
              <w:rPr>
                <w:sz w:val="16"/>
                <w:szCs w:val="16"/>
                <w:lang w:val="en-US"/>
              </w:rPr>
            </w:pPr>
            <w:r>
              <w:rPr>
                <w:sz w:val="16"/>
                <w:szCs w:val="16"/>
                <w:lang w:val="en-US"/>
              </w:rPr>
              <w:t>20</w:t>
            </w:r>
            <w:r w:rsidR="00DF2C8B" w:rsidRPr="0074045D">
              <w:rPr>
                <w:sz w:val="16"/>
                <w:szCs w:val="16"/>
                <w:lang w:val="en-US"/>
              </w:rPr>
              <w:t>04</w:t>
            </w:r>
            <w:r w:rsidR="00DF2C8B">
              <w:rPr>
                <w:sz w:val="16"/>
                <w:szCs w:val="16"/>
                <w:lang w:val="en-US"/>
              </w:rPr>
              <w:t>-</w:t>
            </w:r>
            <w:r w:rsidR="00DF2C8B" w:rsidRPr="0074045D">
              <w:rPr>
                <w:sz w:val="16"/>
                <w:szCs w:val="16"/>
                <w:lang w:val="en-US"/>
              </w:rPr>
              <w:t>05</w:t>
            </w:r>
          </w:p>
        </w:tc>
        <w:tc>
          <w:tcPr>
            <w:tcW w:w="1133"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33</w:t>
            </w:r>
            <w:r>
              <w:rPr>
                <w:sz w:val="16"/>
                <w:szCs w:val="16"/>
                <w:lang w:val="en-US"/>
              </w:rPr>
              <w:t xml:space="preserve"> </w:t>
            </w:r>
            <w:r w:rsidRPr="0074045D">
              <w:rPr>
                <w:sz w:val="16"/>
                <w:szCs w:val="16"/>
                <w:lang w:val="en-US"/>
              </w:rPr>
              <w:t>307</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697</w:t>
            </w:r>
            <w:r>
              <w:rPr>
                <w:sz w:val="16"/>
                <w:szCs w:val="16"/>
                <w:lang w:val="en-US"/>
              </w:rPr>
              <w:t xml:space="preserve"> </w:t>
            </w:r>
            <w:r w:rsidRPr="0074045D">
              <w:rPr>
                <w:sz w:val="16"/>
                <w:szCs w:val="16"/>
                <w:lang w:val="en-US"/>
              </w:rPr>
              <w:t>542</w:t>
            </w:r>
          </w:p>
        </w:tc>
        <w:tc>
          <w:tcPr>
            <w:tcW w:w="1365"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16</w:t>
            </w:r>
            <w:r>
              <w:rPr>
                <w:sz w:val="16"/>
                <w:szCs w:val="16"/>
                <w:lang w:val="en-US"/>
              </w:rPr>
              <w:t xml:space="preserve"> </w:t>
            </w:r>
            <w:r w:rsidRPr="0074045D">
              <w:rPr>
                <w:sz w:val="16"/>
                <w:szCs w:val="16"/>
                <w:lang w:val="en-US"/>
              </w:rPr>
              <w:t>843</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66</w:t>
            </w:r>
            <w:r>
              <w:rPr>
                <w:sz w:val="16"/>
                <w:szCs w:val="16"/>
                <w:lang w:val="en-US"/>
              </w:rPr>
              <w:t xml:space="preserve"> </w:t>
            </w:r>
            <w:r w:rsidRPr="0074045D">
              <w:rPr>
                <w:sz w:val="16"/>
                <w:szCs w:val="16"/>
                <w:lang w:val="en-US"/>
              </w:rPr>
              <w:t>057</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47</w:t>
            </w:r>
            <w:r>
              <w:rPr>
                <w:sz w:val="16"/>
                <w:szCs w:val="16"/>
                <w:lang w:val="en-US"/>
              </w:rPr>
              <w:t xml:space="preserve"> </w:t>
            </w:r>
            <w:r w:rsidRPr="0074045D">
              <w:rPr>
                <w:sz w:val="16"/>
                <w:szCs w:val="16"/>
                <w:lang w:val="en-US"/>
              </w:rPr>
              <w:t>117</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5</w:t>
            </w:r>
            <w:r>
              <w:rPr>
                <w:sz w:val="16"/>
                <w:szCs w:val="16"/>
                <w:lang w:val="en-US"/>
              </w:rPr>
              <w:t xml:space="preserve"> </w:t>
            </w:r>
            <w:r w:rsidRPr="0074045D">
              <w:rPr>
                <w:sz w:val="16"/>
                <w:szCs w:val="16"/>
                <w:lang w:val="en-US"/>
              </w:rPr>
              <w:t>473</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189</w:t>
            </w:r>
            <w:r>
              <w:rPr>
                <w:sz w:val="16"/>
                <w:szCs w:val="16"/>
                <w:lang w:val="en-US"/>
              </w:rPr>
              <w:t xml:space="preserve"> </w:t>
            </w:r>
            <w:r w:rsidRPr="0074045D">
              <w:rPr>
                <w:sz w:val="16"/>
                <w:szCs w:val="16"/>
                <w:lang w:val="en-US"/>
              </w:rPr>
              <w:t>619</w:t>
            </w:r>
          </w:p>
        </w:tc>
        <w:tc>
          <w:tcPr>
            <w:tcW w:w="1360"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2</w:t>
            </w:r>
            <w:r>
              <w:rPr>
                <w:sz w:val="16"/>
                <w:szCs w:val="16"/>
                <w:lang w:val="en-US"/>
              </w:rPr>
              <w:t xml:space="preserve"> </w:t>
            </w:r>
            <w:r w:rsidRPr="0074045D">
              <w:rPr>
                <w:sz w:val="16"/>
                <w:szCs w:val="16"/>
                <w:lang w:val="en-US"/>
              </w:rPr>
              <w:t>075</w:t>
            </w:r>
          </w:p>
        </w:tc>
        <w:tc>
          <w:tcPr>
            <w:tcW w:w="1122"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68</w:t>
            </w:r>
            <w:r>
              <w:rPr>
                <w:sz w:val="16"/>
                <w:szCs w:val="16"/>
                <w:lang w:val="en-US"/>
              </w:rPr>
              <w:t xml:space="preserve"> </w:t>
            </w:r>
            <w:r w:rsidRPr="0074045D">
              <w:rPr>
                <w:sz w:val="16"/>
                <w:szCs w:val="16"/>
                <w:lang w:val="en-US"/>
              </w:rPr>
              <w:t>211</w:t>
            </w:r>
          </w:p>
        </w:tc>
        <w:tc>
          <w:tcPr>
            <w:tcW w:w="1361" w:type="dxa"/>
            <w:shd w:val="clear" w:color="auto" w:fill="auto"/>
          </w:tcPr>
          <w:p w:rsidR="00DF2C8B" w:rsidRPr="0074045D" w:rsidRDefault="00DF2C8B" w:rsidP="006B3AD1">
            <w:pPr>
              <w:spacing w:before="60" w:after="60"/>
              <w:jc w:val="center"/>
              <w:rPr>
                <w:sz w:val="16"/>
                <w:szCs w:val="16"/>
                <w:lang w:val="en-US"/>
              </w:rPr>
            </w:pPr>
          </w:p>
        </w:tc>
        <w:tc>
          <w:tcPr>
            <w:tcW w:w="1129" w:type="dxa"/>
            <w:vAlign w:val="bottom"/>
          </w:tcPr>
          <w:p w:rsidR="00DF2C8B" w:rsidRPr="00DF2C8B" w:rsidRDefault="00DF2C8B" w:rsidP="006B3AD1">
            <w:pPr>
              <w:spacing w:before="60" w:after="60"/>
              <w:jc w:val="right"/>
              <w:rPr>
                <w:color w:val="000000"/>
                <w:sz w:val="16"/>
                <w:szCs w:val="16"/>
              </w:rPr>
            </w:pPr>
            <w:r w:rsidRPr="00DF2C8B">
              <w:rPr>
                <w:color w:val="000000"/>
                <w:sz w:val="16"/>
                <w:szCs w:val="16"/>
              </w:rPr>
              <w:t>1</w:t>
            </w:r>
            <w:r>
              <w:rPr>
                <w:color w:val="000000"/>
                <w:sz w:val="16"/>
                <w:szCs w:val="16"/>
              </w:rPr>
              <w:t xml:space="preserve"> </w:t>
            </w:r>
            <w:r w:rsidRPr="00DF2C8B">
              <w:rPr>
                <w:color w:val="000000"/>
                <w:sz w:val="16"/>
                <w:szCs w:val="16"/>
              </w:rPr>
              <w:t>126</w:t>
            </w:r>
            <w:r>
              <w:rPr>
                <w:color w:val="000000"/>
                <w:sz w:val="16"/>
                <w:szCs w:val="16"/>
              </w:rPr>
              <w:t xml:space="preserve"> </w:t>
            </w:r>
            <w:r w:rsidRPr="00DF2C8B">
              <w:rPr>
                <w:color w:val="000000"/>
                <w:sz w:val="16"/>
                <w:szCs w:val="16"/>
              </w:rPr>
              <w:t>244</w:t>
            </w:r>
          </w:p>
        </w:tc>
      </w:tr>
      <w:tr w:rsidR="00DF2C8B" w:rsidRPr="0074045D" w:rsidTr="00DF2C8B">
        <w:tc>
          <w:tcPr>
            <w:tcW w:w="1110" w:type="dxa"/>
            <w:shd w:val="clear" w:color="auto" w:fill="auto"/>
          </w:tcPr>
          <w:p w:rsidR="00DF2C8B" w:rsidRPr="0074045D" w:rsidRDefault="003F1AA5" w:rsidP="006B3AD1">
            <w:pPr>
              <w:spacing w:before="60" w:after="60"/>
              <w:jc w:val="center"/>
              <w:rPr>
                <w:sz w:val="16"/>
                <w:szCs w:val="16"/>
                <w:lang w:val="en-US"/>
              </w:rPr>
            </w:pPr>
            <w:r>
              <w:rPr>
                <w:sz w:val="16"/>
                <w:szCs w:val="16"/>
                <w:lang w:val="en-US"/>
              </w:rPr>
              <w:t>20</w:t>
            </w:r>
            <w:r w:rsidR="00DF2C8B" w:rsidRPr="0074045D">
              <w:rPr>
                <w:sz w:val="16"/>
                <w:szCs w:val="16"/>
                <w:lang w:val="en-US"/>
              </w:rPr>
              <w:t>05</w:t>
            </w:r>
            <w:r w:rsidR="00DF2C8B">
              <w:rPr>
                <w:sz w:val="16"/>
                <w:szCs w:val="16"/>
                <w:lang w:val="en-US"/>
              </w:rPr>
              <w:t>-</w:t>
            </w:r>
            <w:r w:rsidR="00DF2C8B" w:rsidRPr="0074045D">
              <w:rPr>
                <w:sz w:val="16"/>
                <w:szCs w:val="16"/>
                <w:lang w:val="en-US"/>
              </w:rPr>
              <w:t>06</w:t>
            </w:r>
          </w:p>
        </w:tc>
        <w:tc>
          <w:tcPr>
            <w:tcW w:w="1133"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17</w:t>
            </w:r>
            <w:r>
              <w:rPr>
                <w:sz w:val="16"/>
                <w:szCs w:val="16"/>
                <w:lang w:val="en-US"/>
              </w:rPr>
              <w:t xml:space="preserve"> </w:t>
            </w:r>
            <w:r w:rsidRPr="0074045D">
              <w:rPr>
                <w:sz w:val="16"/>
                <w:szCs w:val="16"/>
                <w:lang w:val="en-US"/>
              </w:rPr>
              <w:t>814</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699</w:t>
            </w:r>
            <w:r>
              <w:rPr>
                <w:sz w:val="16"/>
                <w:szCs w:val="16"/>
                <w:lang w:val="en-US"/>
              </w:rPr>
              <w:t xml:space="preserve"> </w:t>
            </w:r>
            <w:r w:rsidRPr="0074045D">
              <w:rPr>
                <w:sz w:val="16"/>
                <w:szCs w:val="16"/>
                <w:lang w:val="en-US"/>
              </w:rPr>
              <w:t>099</w:t>
            </w:r>
          </w:p>
        </w:tc>
        <w:tc>
          <w:tcPr>
            <w:tcW w:w="1365"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16</w:t>
            </w:r>
            <w:r>
              <w:rPr>
                <w:sz w:val="16"/>
                <w:szCs w:val="16"/>
                <w:lang w:val="en-US"/>
              </w:rPr>
              <w:t xml:space="preserve"> </w:t>
            </w:r>
            <w:r w:rsidRPr="0074045D">
              <w:rPr>
                <w:sz w:val="16"/>
                <w:szCs w:val="16"/>
                <w:lang w:val="en-US"/>
              </w:rPr>
              <w:t>843</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75</w:t>
            </w:r>
            <w:r>
              <w:rPr>
                <w:sz w:val="16"/>
                <w:szCs w:val="16"/>
                <w:lang w:val="en-US"/>
              </w:rPr>
              <w:t xml:space="preserve"> </w:t>
            </w:r>
            <w:r w:rsidRPr="0074045D">
              <w:rPr>
                <w:sz w:val="16"/>
                <w:szCs w:val="16"/>
                <w:lang w:val="en-US"/>
              </w:rPr>
              <w:t>343</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49</w:t>
            </w:r>
            <w:r>
              <w:rPr>
                <w:sz w:val="16"/>
                <w:szCs w:val="16"/>
                <w:lang w:val="en-US"/>
              </w:rPr>
              <w:t xml:space="preserve"> </w:t>
            </w:r>
            <w:r w:rsidRPr="0074045D">
              <w:rPr>
                <w:sz w:val="16"/>
                <w:szCs w:val="16"/>
                <w:lang w:val="en-US"/>
              </w:rPr>
              <w:t>075</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3</w:t>
            </w:r>
            <w:r>
              <w:rPr>
                <w:sz w:val="16"/>
                <w:szCs w:val="16"/>
                <w:lang w:val="en-US"/>
              </w:rPr>
              <w:t xml:space="preserve"> </w:t>
            </w:r>
            <w:r w:rsidRPr="0074045D">
              <w:rPr>
                <w:sz w:val="16"/>
                <w:szCs w:val="16"/>
                <w:lang w:val="en-US"/>
              </w:rPr>
              <w:t>235</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125</w:t>
            </w:r>
            <w:r>
              <w:rPr>
                <w:sz w:val="16"/>
                <w:szCs w:val="16"/>
                <w:lang w:val="en-US"/>
              </w:rPr>
              <w:t xml:space="preserve"> </w:t>
            </w:r>
            <w:r w:rsidRPr="0074045D">
              <w:rPr>
                <w:sz w:val="16"/>
                <w:szCs w:val="16"/>
                <w:lang w:val="en-US"/>
              </w:rPr>
              <w:t>774</w:t>
            </w:r>
          </w:p>
        </w:tc>
        <w:tc>
          <w:tcPr>
            <w:tcW w:w="1360"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2</w:t>
            </w:r>
            <w:r>
              <w:rPr>
                <w:sz w:val="16"/>
                <w:szCs w:val="16"/>
                <w:lang w:val="en-US"/>
              </w:rPr>
              <w:t xml:space="preserve"> </w:t>
            </w:r>
            <w:r w:rsidRPr="0074045D">
              <w:rPr>
                <w:sz w:val="16"/>
                <w:szCs w:val="16"/>
                <w:lang w:val="en-US"/>
              </w:rPr>
              <w:t>010</w:t>
            </w:r>
          </w:p>
        </w:tc>
        <w:tc>
          <w:tcPr>
            <w:tcW w:w="1122"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41</w:t>
            </w:r>
            <w:r>
              <w:rPr>
                <w:sz w:val="16"/>
                <w:szCs w:val="16"/>
                <w:lang w:val="en-US"/>
              </w:rPr>
              <w:t xml:space="preserve"> </w:t>
            </w:r>
            <w:r w:rsidRPr="0074045D">
              <w:rPr>
                <w:sz w:val="16"/>
                <w:szCs w:val="16"/>
                <w:lang w:val="en-US"/>
              </w:rPr>
              <w:t>090</w:t>
            </w:r>
          </w:p>
        </w:tc>
        <w:tc>
          <w:tcPr>
            <w:tcW w:w="1361" w:type="dxa"/>
            <w:shd w:val="clear" w:color="auto" w:fill="auto"/>
          </w:tcPr>
          <w:p w:rsidR="00DF2C8B" w:rsidRPr="0074045D" w:rsidRDefault="00DF2C8B" w:rsidP="006B3AD1">
            <w:pPr>
              <w:spacing w:before="60" w:after="60"/>
              <w:jc w:val="center"/>
              <w:rPr>
                <w:sz w:val="16"/>
                <w:szCs w:val="16"/>
                <w:lang w:val="en-US"/>
              </w:rPr>
            </w:pPr>
          </w:p>
        </w:tc>
        <w:tc>
          <w:tcPr>
            <w:tcW w:w="1129" w:type="dxa"/>
            <w:vAlign w:val="bottom"/>
          </w:tcPr>
          <w:p w:rsidR="00DF2C8B" w:rsidRPr="00DF2C8B" w:rsidRDefault="00DF2C8B" w:rsidP="006B3AD1">
            <w:pPr>
              <w:spacing w:before="60" w:after="60"/>
              <w:jc w:val="right"/>
              <w:rPr>
                <w:color w:val="000000"/>
                <w:sz w:val="16"/>
                <w:szCs w:val="16"/>
              </w:rPr>
            </w:pPr>
            <w:r w:rsidRPr="00DF2C8B">
              <w:rPr>
                <w:color w:val="000000"/>
                <w:sz w:val="16"/>
                <w:szCs w:val="16"/>
              </w:rPr>
              <w:t>1</w:t>
            </w:r>
            <w:r>
              <w:rPr>
                <w:color w:val="000000"/>
                <w:sz w:val="16"/>
                <w:szCs w:val="16"/>
              </w:rPr>
              <w:t xml:space="preserve"> </w:t>
            </w:r>
            <w:r w:rsidRPr="00DF2C8B">
              <w:rPr>
                <w:color w:val="000000"/>
                <w:sz w:val="16"/>
                <w:szCs w:val="16"/>
              </w:rPr>
              <w:t>030</w:t>
            </w:r>
            <w:r w:rsidR="00D44252">
              <w:rPr>
                <w:color w:val="000000"/>
                <w:sz w:val="16"/>
                <w:szCs w:val="16"/>
              </w:rPr>
              <w:t xml:space="preserve"> </w:t>
            </w:r>
            <w:r w:rsidRPr="00DF2C8B">
              <w:rPr>
                <w:color w:val="000000"/>
                <w:sz w:val="16"/>
                <w:szCs w:val="16"/>
              </w:rPr>
              <w:t>283</w:t>
            </w:r>
          </w:p>
        </w:tc>
      </w:tr>
      <w:tr w:rsidR="00DF2C8B" w:rsidRPr="0074045D" w:rsidTr="00DF2C8B">
        <w:tc>
          <w:tcPr>
            <w:tcW w:w="1110" w:type="dxa"/>
            <w:shd w:val="clear" w:color="auto" w:fill="auto"/>
          </w:tcPr>
          <w:p w:rsidR="00DF2C8B" w:rsidRPr="0074045D" w:rsidRDefault="003F1AA5" w:rsidP="006B3AD1">
            <w:pPr>
              <w:spacing w:before="60" w:after="60"/>
              <w:jc w:val="center"/>
              <w:rPr>
                <w:sz w:val="16"/>
                <w:szCs w:val="16"/>
                <w:lang w:val="en-US"/>
              </w:rPr>
            </w:pPr>
            <w:r>
              <w:rPr>
                <w:sz w:val="16"/>
                <w:szCs w:val="16"/>
                <w:lang w:val="en-US"/>
              </w:rPr>
              <w:t>20</w:t>
            </w:r>
            <w:r w:rsidR="00DF2C8B" w:rsidRPr="0074045D">
              <w:rPr>
                <w:sz w:val="16"/>
                <w:szCs w:val="16"/>
                <w:lang w:val="en-US"/>
              </w:rPr>
              <w:t>06</w:t>
            </w:r>
            <w:r w:rsidR="00DF2C8B">
              <w:rPr>
                <w:sz w:val="16"/>
                <w:szCs w:val="16"/>
                <w:lang w:val="en-US"/>
              </w:rPr>
              <w:t>-</w:t>
            </w:r>
            <w:r w:rsidR="00DF2C8B" w:rsidRPr="0074045D">
              <w:rPr>
                <w:sz w:val="16"/>
                <w:szCs w:val="16"/>
                <w:lang w:val="en-US"/>
              </w:rPr>
              <w:t>07</w:t>
            </w:r>
          </w:p>
        </w:tc>
        <w:tc>
          <w:tcPr>
            <w:tcW w:w="1133"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33</w:t>
            </w:r>
            <w:r>
              <w:rPr>
                <w:sz w:val="16"/>
                <w:szCs w:val="16"/>
                <w:lang w:val="en-US"/>
              </w:rPr>
              <w:t xml:space="preserve"> </w:t>
            </w:r>
            <w:r w:rsidRPr="0074045D">
              <w:rPr>
                <w:sz w:val="16"/>
                <w:szCs w:val="16"/>
                <w:lang w:val="en-US"/>
              </w:rPr>
              <w:t>094</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w:t>
            </w:r>
            <w:r>
              <w:rPr>
                <w:sz w:val="16"/>
                <w:szCs w:val="16"/>
                <w:lang w:val="en-US"/>
              </w:rPr>
              <w:t xml:space="preserve"> </w:t>
            </w:r>
            <w:r w:rsidRPr="0074045D">
              <w:rPr>
                <w:sz w:val="16"/>
                <w:szCs w:val="16"/>
                <w:lang w:val="en-US"/>
              </w:rPr>
              <w:t>226</w:t>
            </w:r>
            <w:r>
              <w:rPr>
                <w:sz w:val="16"/>
                <w:szCs w:val="16"/>
                <w:lang w:val="en-US"/>
              </w:rPr>
              <w:t xml:space="preserve"> </w:t>
            </w:r>
            <w:r w:rsidRPr="0074045D">
              <w:rPr>
                <w:sz w:val="16"/>
                <w:szCs w:val="16"/>
                <w:lang w:val="en-US"/>
              </w:rPr>
              <w:t>000</w:t>
            </w:r>
          </w:p>
        </w:tc>
        <w:tc>
          <w:tcPr>
            <w:tcW w:w="1365"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9</w:t>
            </w:r>
            <w:r>
              <w:rPr>
                <w:sz w:val="16"/>
                <w:szCs w:val="16"/>
                <w:lang w:val="en-US"/>
              </w:rPr>
              <w:t xml:space="preserve"> </w:t>
            </w:r>
            <w:r w:rsidRPr="0074045D">
              <w:rPr>
                <w:sz w:val="16"/>
                <w:szCs w:val="16"/>
                <w:lang w:val="en-US"/>
              </w:rPr>
              <w:t>468</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67</w:t>
            </w:r>
            <w:r>
              <w:rPr>
                <w:sz w:val="16"/>
                <w:szCs w:val="16"/>
                <w:lang w:val="en-US"/>
              </w:rPr>
              <w:t xml:space="preserve"> </w:t>
            </w:r>
            <w:r w:rsidRPr="0074045D">
              <w:rPr>
                <w:sz w:val="16"/>
                <w:szCs w:val="16"/>
                <w:lang w:val="en-US"/>
              </w:rPr>
              <w:t>168</w:t>
            </w:r>
          </w:p>
        </w:tc>
        <w:tc>
          <w:tcPr>
            <w:tcW w:w="1361" w:type="dxa"/>
            <w:shd w:val="clear" w:color="auto" w:fill="auto"/>
          </w:tcPr>
          <w:p w:rsidR="00DF2C8B" w:rsidRPr="0074045D" w:rsidRDefault="00DF2C8B" w:rsidP="006B3AD1">
            <w:pPr>
              <w:spacing w:before="60" w:after="60"/>
              <w:jc w:val="center"/>
              <w:rPr>
                <w:sz w:val="16"/>
                <w:szCs w:val="16"/>
                <w:lang w:val="en-US"/>
              </w:rPr>
            </w:pP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w:t>
            </w:r>
            <w:r>
              <w:rPr>
                <w:sz w:val="16"/>
                <w:szCs w:val="16"/>
                <w:lang w:val="en-US"/>
              </w:rPr>
              <w:t xml:space="preserve"> </w:t>
            </w:r>
            <w:r w:rsidRPr="0074045D">
              <w:rPr>
                <w:sz w:val="16"/>
                <w:szCs w:val="16"/>
                <w:lang w:val="en-US"/>
              </w:rPr>
              <w:t>920</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260</w:t>
            </w:r>
            <w:r>
              <w:rPr>
                <w:sz w:val="16"/>
                <w:szCs w:val="16"/>
                <w:lang w:val="en-US"/>
              </w:rPr>
              <w:t xml:space="preserve"> </w:t>
            </w:r>
            <w:r w:rsidRPr="0074045D">
              <w:rPr>
                <w:sz w:val="16"/>
                <w:szCs w:val="16"/>
                <w:lang w:val="en-US"/>
              </w:rPr>
              <w:t>234</w:t>
            </w:r>
          </w:p>
        </w:tc>
        <w:tc>
          <w:tcPr>
            <w:tcW w:w="1360" w:type="dxa"/>
            <w:shd w:val="clear" w:color="auto" w:fill="auto"/>
          </w:tcPr>
          <w:p w:rsidR="00DF2C8B" w:rsidRPr="0074045D" w:rsidRDefault="00DF2C8B" w:rsidP="006B3AD1">
            <w:pPr>
              <w:spacing w:before="60" w:after="60"/>
              <w:jc w:val="center"/>
              <w:rPr>
                <w:sz w:val="16"/>
                <w:szCs w:val="16"/>
                <w:lang w:val="en-US"/>
              </w:rPr>
            </w:pPr>
          </w:p>
        </w:tc>
        <w:tc>
          <w:tcPr>
            <w:tcW w:w="1122" w:type="dxa"/>
            <w:shd w:val="clear" w:color="auto" w:fill="auto"/>
          </w:tcPr>
          <w:p w:rsidR="00DF2C8B" w:rsidRPr="0074045D" w:rsidRDefault="00DF2C8B" w:rsidP="006B3AD1">
            <w:pPr>
              <w:spacing w:before="60" w:after="60"/>
              <w:jc w:val="center"/>
              <w:rPr>
                <w:sz w:val="16"/>
                <w:szCs w:val="16"/>
                <w:lang w:val="en-US"/>
              </w:rPr>
            </w:pP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486</w:t>
            </w:r>
            <w:r>
              <w:rPr>
                <w:sz w:val="16"/>
                <w:szCs w:val="16"/>
                <w:lang w:val="en-US"/>
              </w:rPr>
              <w:t xml:space="preserve"> </w:t>
            </w:r>
            <w:r w:rsidRPr="0074045D">
              <w:rPr>
                <w:sz w:val="16"/>
                <w:szCs w:val="16"/>
                <w:lang w:val="en-US"/>
              </w:rPr>
              <w:t>686</w:t>
            </w:r>
          </w:p>
        </w:tc>
        <w:tc>
          <w:tcPr>
            <w:tcW w:w="1129" w:type="dxa"/>
            <w:vAlign w:val="bottom"/>
          </w:tcPr>
          <w:p w:rsidR="00DF2C8B" w:rsidRPr="00DF2C8B" w:rsidRDefault="00DF2C8B" w:rsidP="006B3AD1">
            <w:pPr>
              <w:spacing w:before="60" w:after="60"/>
              <w:jc w:val="right"/>
              <w:rPr>
                <w:color w:val="000000"/>
                <w:sz w:val="16"/>
                <w:szCs w:val="16"/>
              </w:rPr>
            </w:pPr>
            <w:r w:rsidRPr="00DF2C8B">
              <w:rPr>
                <w:color w:val="000000"/>
                <w:sz w:val="16"/>
                <w:szCs w:val="16"/>
              </w:rPr>
              <w:t>2</w:t>
            </w:r>
            <w:r w:rsidR="00D44252">
              <w:rPr>
                <w:color w:val="000000"/>
                <w:sz w:val="16"/>
                <w:szCs w:val="16"/>
              </w:rPr>
              <w:t xml:space="preserve"> </w:t>
            </w:r>
            <w:r w:rsidRPr="00DF2C8B">
              <w:rPr>
                <w:color w:val="000000"/>
                <w:sz w:val="16"/>
                <w:szCs w:val="16"/>
              </w:rPr>
              <w:t>084</w:t>
            </w:r>
            <w:r w:rsidR="00D44252">
              <w:rPr>
                <w:color w:val="000000"/>
                <w:sz w:val="16"/>
                <w:szCs w:val="16"/>
              </w:rPr>
              <w:t xml:space="preserve"> </w:t>
            </w:r>
            <w:r w:rsidRPr="00DF2C8B">
              <w:rPr>
                <w:color w:val="000000"/>
                <w:sz w:val="16"/>
                <w:szCs w:val="16"/>
              </w:rPr>
              <w:t>570</w:t>
            </w:r>
          </w:p>
        </w:tc>
      </w:tr>
      <w:tr w:rsidR="00DF2C8B" w:rsidRPr="0074045D" w:rsidTr="00DF2C8B">
        <w:tc>
          <w:tcPr>
            <w:tcW w:w="1110" w:type="dxa"/>
            <w:shd w:val="clear" w:color="auto" w:fill="auto"/>
          </w:tcPr>
          <w:p w:rsidR="00DF2C8B" w:rsidRPr="0074045D" w:rsidRDefault="003F1AA5" w:rsidP="006B3AD1">
            <w:pPr>
              <w:spacing w:before="60" w:after="60"/>
              <w:jc w:val="center"/>
              <w:rPr>
                <w:sz w:val="16"/>
                <w:szCs w:val="16"/>
                <w:lang w:val="en-US"/>
              </w:rPr>
            </w:pPr>
            <w:r>
              <w:rPr>
                <w:sz w:val="16"/>
                <w:szCs w:val="16"/>
                <w:lang w:val="en-US"/>
              </w:rPr>
              <w:t>20</w:t>
            </w:r>
            <w:r w:rsidR="00DF2C8B" w:rsidRPr="0074045D">
              <w:rPr>
                <w:sz w:val="16"/>
                <w:szCs w:val="16"/>
                <w:lang w:val="en-US"/>
              </w:rPr>
              <w:t>07</w:t>
            </w:r>
            <w:r w:rsidR="00DF2C8B">
              <w:rPr>
                <w:sz w:val="16"/>
                <w:szCs w:val="16"/>
                <w:lang w:val="en-US"/>
              </w:rPr>
              <w:t>-</w:t>
            </w:r>
            <w:r w:rsidR="00DF2C8B" w:rsidRPr="0074045D">
              <w:rPr>
                <w:sz w:val="16"/>
                <w:szCs w:val="16"/>
                <w:lang w:val="en-US"/>
              </w:rPr>
              <w:t>08</w:t>
            </w:r>
          </w:p>
        </w:tc>
        <w:tc>
          <w:tcPr>
            <w:tcW w:w="1133"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32</w:t>
            </w:r>
            <w:r>
              <w:rPr>
                <w:sz w:val="16"/>
                <w:szCs w:val="16"/>
                <w:lang w:val="en-US"/>
              </w:rPr>
              <w:t xml:space="preserve"> </w:t>
            </w:r>
            <w:r w:rsidRPr="0074045D">
              <w:rPr>
                <w:sz w:val="16"/>
                <w:szCs w:val="16"/>
                <w:lang w:val="en-US"/>
              </w:rPr>
              <w:t>807</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w:t>
            </w:r>
            <w:r>
              <w:rPr>
                <w:sz w:val="16"/>
                <w:szCs w:val="16"/>
                <w:lang w:val="en-US"/>
              </w:rPr>
              <w:t xml:space="preserve"> </w:t>
            </w:r>
            <w:r w:rsidRPr="0074045D">
              <w:rPr>
                <w:sz w:val="16"/>
                <w:szCs w:val="16"/>
                <w:lang w:val="en-US"/>
              </w:rPr>
              <w:t>310</w:t>
            </w:r>
            <w:r>
              <w:rPr>
                <w:sz w:val="16"/>
                <w:szCs w:val="16"/>
                <w:lang w:val="en-US"/>
              </w:rPr>
              <w:t xml:space="preserve"> </w:t>
            </w:r>
            <w:r w:rsidRPr="0074045D">
              <w:rPr>
                <w:sz w:val="16"/>
                <w:szCs w:val="16"/>
                <w:lang w:val="en-US"/>
              </w:rPr>
              <w:t>92</w:t>
            </w:r>
            <w:r>
              <w:rPr>
                <w:sz w:val="16"/>
                <w:szCs w:val="16"/>
                <w:lang w:val="en-US"/>
              </w:rPr>
              <w:t>9</w:t>
            </w:r>
          </w:p>
        </w:tc>
        <w:tc>
          <w:tcPr>
            <w:tcW w:w="1365"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10</w:t>
            </w:r>
            <w:r>
              <w:rPr>
                <w:sz w:val="16"/>
                <w:szCs w:val="16"/>
                <w:lang w:val="en-US"/>
              </w:rPr>
              <w:t xml:space="preserve"> </w:t>
            </w:r>
            <w:r w:rsidRPr="0074045D">
              <w:rPr>
                <w:sz w:val="16"/>
                <w:szCs w:val="16"/>
                <w:lang w:val="en-US"/>
              </w:rPr>
              <w:t>134</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72</w:t>
            </w:r>
            <w:r>
              <w:rPr>
                <w:sz w:val="16"/>
                <w:szCs w:val="16"/>
                <w:lang w:val="en-US"/>
              </w:rPr>
              <w:t xml:space="preserve"> </w:t>
            </w:r>
            <w:r w:rsidRPr="0074045D">
              <w:rPr>
                <w:sz w:val="16"/>
                <w:szCs w:val="16"/>
                <w:lang w:val="en-US"/>
              </w:rPr>
              <w:t>722</w:t>
            </w:r>
          </w:p>
        </w:tc>
        <w:tc>
          <w:tcPr>
            <w:tcW w:w="1361" w:type="dxa"/>
            <w:shd w:val="clear" w:color="auto" w:fill="auto"/>
          </w:tcPr>
          <w:p w:rsidR="00DF2C8B" w:rsidRPr="0074045D" w:rsidRDefault="00DF2C8B" w:rsidP="006B3AD1">
            <w:pPr>
              <w:spacing w:before="60" w:after="60"/>
              <w:jc w:val="center"/>
              <w:rPr>
                <w:sz w:val="16"/>
                <w:szCs w:val="16"/>
                <w:lang w:val="en-US"/>
              </w:rPr>
            </w:pP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2</w:t>
            </w:r>
            <w:r>
              <w:rPr>
                <w:sz w:val="16"/>
                <w:szCs w:val="16"/>
                <w:lang w:val="en-US"/>
              </w:rPr>
              <w:t xml:space="preserve"> </w:t>
            </w:r>
            <w:r w:rsidRPr="0074045D">
              <w:rPr>
                <w:sz w:val="16"/>
                <w:szCs w:val="16"/>
                <w:lang w:val="en-US"/>
              </w:rPr>
              <w:t>910</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218</w:t>
            </w:r>
            <w:r>
              <w:rPr>
                <w:sz w:val="16"/>
                <w:szCs w:val="16"/>
                <w:lang w:val="en-US"/>
              </w:rPr>
              <w:t xml:space="preserve"> </w:t>
            </w:r>
            <w:r w:rsidRPr="0074045D">
              <w:rPr>
                <w:sz w:val="16"/>
                <w:szCs w:val="16"/>
                <w:lang w:val="en-US"/>
              </w:rPr>
              <w:t>057</w:t>
            </w:r>
          </w:p>
        </w:tc>
        <w:tc>
          <w:tcPr>
            <w:tcW w:w="1360" w:type="dxa"/>
            <w:shd w:val="clear" w:color="auto" w:fill="auto"/>
          </w:tcPr>
          <w:p w:rsidR="00DF2C8B" w:rsidRPr="0074045D" w:rsidRDefault="00DF2C8B" w:rsidP="006B3AD1">
            <w:pPr>
              <w:spacing w:before="60" w:after="60"/>
              <w:jc w:val="center"/>
              <w:rPr>
                <w:sz w:val="16"/>
                <w:szCs w:val="16"/>
                <w:lang w:val="en-US"/>
              </w:rPr>
            </w:pPr>
          </w:p>
        </w:tc>
        <w:tc>
          <w:tcPr>
            <w:tcW w:w="1122" w:type="dxa"/>
            <w:shd w:val="clear" w:color="auto" w:fill="auto"/>
          </w:tcPr>
          <w:p w:rsidR="00DF2C8B" w:rsidRPr="0074045D" w:rsidRDefault="00DF2C8B" w:rsidP="006B3AD1">
            <w:pPr>
              <w:spacing w:before="60" w:after="60"/>
              <w:jc w:val="center"/>
              <w:rPr>
                <w:sz w:val="16"/>
                <w:szCs w:val="16"/>
                <w:lang w:val="en-US"/>
              </w:rPr>
            </w:pP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553</w:t>
            </w:r>
            <w:r>
              <w:rPr>
                <w:sz w:val="16"/>
                <w:szCs w:val="16"/>
                <w:lang w:val="en-US"/>
              </w:rPr>
              <w:t xml:space="preserve"> </w:t>
            </w:r>
            <w:r w:rsidRPr="0074045D">
              <w:rPr>
                <w:sz w:val="16"/>
                <w:szCs w:val="16"/>
                <w:lang w:val="en-US"/>
              </w:rPr>
              <w:t>772</w:t>
            </w:r>
          </w:p>
        </w:tc>
        <w:tc>
          <w:tcPr>
            <w:tcW w:w="1129" w:type="dxa"/>
            <w:vAlign w:val="bottom"/>
          </w:tcPr>
          <w:p w:rsidR="00DF2C8B" w:rsidRPr="00DF2C8B" w:rsidRDefault="00DF2C8B" w:rsidP="006B3AD1">
            <w:pPr>
              <w:spacing w:before="60" w:after="60"/>
              <w:jc w:val="right"/>
              <w:rPr>
                <w:color w:val="000000"/>
                <w:sz w:val="16"/>
                <w:szCs w:val="16"/>
              </w:rPr>
            </w:pPr>
            <w:r w:rsidRPr="00DF2C8B">
              <w:rPr>
                <w:color w:val="000000"/>
                <w:sz w:val="16"/>
                <w:szCs w:val="16"/>
              </w:rPr>
              <w:t>2</w:t>
            </w:r>
            <w:r w:rsidR="00D44252">
              <w:rPr>
                <w:color w:val="000000"/>
                <w:sz w:val="16"/>
                <w:szCs w:val="16"/>
              </w:rPr>
              <w:t xml:space="preserve"> </w:t>
            </w:r>
            <w:r w:rsidRPr="00DF2C8B">
              <w:rPr>
                <w:color w:val="000000"/>
                <w:sz w:val="16"/>
                <w:szCs w:val="16"/>
              </w:rPr>
              <w:t>201</w:t>
            </w:r>
            <w:r w:rsidR="00D44252">
              <w:rPr>
                <w:color w:val="000000"/>
                <w:sz w:val="16"/>
                <w:szCs w:val="16"/>
              </w:rPr>
              <w:t xml:space="preserve"> </w:t>
            </w:r>
            <w:r w:rsidRPr="00DF2C8B">
              <w:rPr>
                <w:color w:val="000000"/>
                <w:sz w:val="16"/>
                <w:szCs w:val="16"/>
              </w:rPr>
              <w:t>331</w:t>
            </w:r>
          </w:p>
        </w:tc>
      </w:tr>
      <w:tr w:rsidR="00DF2C8B" w:rsidRPr="0074045D" w:rsidTr="00DF2C8B">
        <w:tc>
          <w:tcPr>
            <w:tcW w:w="1110" w:type="dxa"/>
            <w:shd w:val="clear" w:color="auto" w:fill="auto"/>
          </w:tcPr>
          <w:p w:rsidR="00DF2C8B" w:rsidRPr="0074045D" w:rsidRDefault="003F1AA5" w:rsidP="006B3AD1">
            <w:pPr>
              <w:spacing w:before="60" w:after="60"/>
              <w:jc w:val="center"/>
              <w:rPr>
                <w:sz w:val="16"/>
                <w:szCs w:val="16"/>
                <w:lang w:val="en-US"/>
              </w:rPr>
            </w:pPr>
            <w:r>
              <w:rPr>
                <w:sz w:val="16"/>
                <w:szCs w:val="16"/>
                <w:lang w:val="en-US"/>
              </w:rPr>
              <w:t>20</w:t>
            </w:r>
            <w:r w:rsidR="00DF2C8B" w:rsidRPr="0074045D">
              <w:rPr>
                <w:sz w:val="16"/>
                <w:szCs w:val="16"/>
                <w:lang w:val="en-US"/>
              </w:rPr>
              <w:t>08</w:t>
            </w:r>
            <w:r w:rsidR="00DF2C8B">
              <w:rPr>
                <w:sz w:val="16"/>
                <w:szCs w:val="16"/>
                <w:lang w:val="en-US"/>
              </w:rPr>
              <w:t>-</w:t>
            </w:r>
            <w:r w:rsidR="00DF2C8B" w:rsidRPr="0074045D">
              <w:rPr>
                <w:sz w:val="16"/>
                <w:szCs w:val="16"/>
                <w:lang w:val="en-US"/>
              </w:rPr>
              <w:t>09</w:t>
            </w:r>
          </w:p>
        </w:tc>
        <w:tc>
          <w:tcPr>
            <w:tcW w:w="1133"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33</w:t>
            </w:r>
            <w:r>
              <w:rPr>
                <w:sz w:val="16"/>
                <w:szCs w:val="16"/>
                <w:lang w:val="en-US"/>
              </w:rPr>
              <w:t xml:space="preserve"> </w:t>
            </w:r>
            <w:r w:rsidRPr="0074045D">
              <w:rPr>
                <w:sz w:val="16"/>
                <w:szCs w:val="16"/>
                <w:lang w:val="en-US"/>
              </w:rPr>
              <w:t>388</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w:t>
            </w:r>
            <w:r>
              <w:rPr>
                <w:sz w:val="16"/>
                <w:szCs w:val="16"/>
                <w:lang w:val="en-US"/>
              </w:rPr>
              <w:t xml:space="preserve"> </w:t>
            </w:r>
            <w:r w:rsidRPr="0074045D">
              <w:rPr>
                <w:sz w:val="16"/>
                <w:szCs w:val="16"/>
                <w:lang w:val="en-US"/>
              </w:rPr>
              <w:t>398</w:t>
            </w:r>
            <w:r>
              <w:rPr>
                <w:sz w:val="16"/>
                <w:szCs w:val="16"/>
                <w:lang w:val="en-US"/>
              </w:rPr>
              <w:t xml:space="preserve"> </w:t>
            </w:r>
            <w:r w:rsidRPr="0074045D">
              <w:rPr>
                <w:sz w:val="16"/>
                <w:szCs w:val="16"/>
                <w:lang w:val="en-US"/>
              </w:rPr>
              <w:t>563</w:t>
            </w:r>
          </w:p>
        </w:tc>
        <w:tc>
          <w:tcPr>
            <w:tcW w:w="1365"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10</w:t>
            </w:r>
            <w:r>
              <w:rPr>
                <w:sz w:val="16"/>
                <w:szCs w:val="16"/>
                <w:lang w:val="en-US"/>
              </w:rPr>
              <w:t xml:space="preserve"> </w:t>
            </w:r>
            <w:r w:rsidRPr="0074045D">
              <w:rPr>
                <w:sz w:val="16"/>
                <w:szCs w:val="16"/>
                <w:lang w:val="en-US"/>
              </w:rPr>
              <w:t>824</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88</w:t>
            </w:r>
            <w:r>
              <w:rPr>
                <w:sz w:val="16"/>
                <w:szCs w:val="16"/>
                <w:lang w:val="en-US"/>
              </w:rPr>
              <w:t xml:space="preserve"> </w:t>
            </w:r>
            <w:r w:rsidRPr="0074045D">
              <w:rPr>
                <w:sz w:val="16"/>
                <w:szCs w:val="16"/>
                <w:lang w:val="en-US"/>
              </w:rPr>
              <w:t>515</w:t>
            </w:r>
          </w:p>
        </w:tc>
        <w:tc>
          <w:tcPr>
            <w:tcW w:w="1361" w:type="dxa"/>
            <w:shd w:val="clear" w:color="auto" w:fill="auto"/>
          </w:tcPr>
          <w:p w:rsidR="00DF2C8B" w:rsidRPr="0074045D" w:rsidRDefault="00DF2C8B" w:rsidP="006B3AD1">
            <w:pPr>
              <w:spacing w:before="60" w:after="60"/>
              <w:jc w:val="center"/>
              <w:rPr>
                <w:sz w:val="16"/>
                <w:szCs w:val="16"/>
                <w:lang w:val="en-US"/>
              </w:rPr>
            </w:pP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2</w:t>
            </w:r>
            <w:r>
              <w:rPr>
                <w:sz w:val="16"/>
                <w:szCs w:val="16"/>
                <w:lang w:val="en-US"/>
              </w:rPr>
              <w:t xml:space="preserve"> </w:t>
            </w:r>
            <w:r w:rsidRPr="0074045D">
              <w:rPr>
                <w:sz w:val="16"/>
                <w:szCs w:val="16"/>
                <w:lang w:val="en-US"/>
              </w:rPr>
              <w:t>254</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32</w:t>
            </w:r>
            <w:r>
              <w:rPr>
                <w:sz w:val="16"/>
                <w:szCs w:val="16"/>
                <w:lang w:val="en-US"/>
              </w:rPr>
              <w:t xml:space="preserve">8 </w:t>
            </w:r>
            <w:r w:rsidRPr="0074045D">
              <w:rPr>
                <w:sz w:val="16"/>
                <w:szCs w:val="16"/>
                <w:lang w:val="en-US"/>
              </w:rPr>
              <w:t>915</w:t>
            </w:r>
          </w:p>
        </w:tc>
        <w:tc>
          <w:tcPr>
            <w:tcW w:w="1360" w:type="dxa"/>
            <w:shd w:val="clear" w:color="auto" w:fill="auto"/>
          </w:tcPr>
          <w:p w:rsidR="00DF2C8B" w:rsidRPr="0074045D" w:rsidRDefault="00DF2C8B" w:rsidP="006B3AD1">
            <w:pPr>
              <w:spacing w:before="60" w:after="60"/>
              <w:jc w:val="center"/>
              <w:rPr>
                <w:sz w:val="16"/>
                <w:szCs w:val="16"/>
                <w:lang w:val="en-US"/>
              </w:rPr>
            </w:pPr>
          </w:p>
        </w:tc>
        <w:tc>
          <w:tcPr>
            <w:tcW w:w="1122" w:type="dxa"/>
            <w:shd w:val="clear" w:color="auto" w:fill="auto"/>
          </w:tcPr>
          <w:p w:rsidR="00DF2C8B" w:rsidRPr="0074045D" w:rsidRDefault="00DF2C8B" w:rsidP="006B3AD1">
            <w:pPr>
              <w:spacing w:before="60" w:after="60"/>
              <w:jc w:val="center"/>
              <w:rPr>
                <w:sz w:val="16"/>
                <w:szCs w:val="16"/>
                <w:lang w:val="en-US"/>
              </w:rPr>
            </w:pP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675</w:t>
            </w:r>
            <w:r>
              <w:rPr>
                <w:sz w:val="16"/>
                <w:szCs w:val="16"/>
                <w:lang w:val="en-US"/>
              </w:rPr>
              <w:t xml:space="preserve"> </w:t>
            </w:r>
            <w:r w:rsidRPr="0074045D">
              <w:rPr>
                <w:sz w:val="16"/>
                <w:szCs w:val="16"/>
                <w:lang w:val="en-US"/>
              </w:rPr>
              <w:t>343</w:t>
            </w:r>
          </w:p>
        </w:tc>
        <w:tc>
          <w:tcPr>
            <w:tcW w:w="1129" w:type="dxa"/>
            <w:vAlign w:val="bottom"/>
          </w:tcPr>
          <w:p w:rsidR="00DF2C8B" w:rsidRPr="00DF2C8B" w:rsidRDefault="00DF2C8B" w:rsidP="006B3AD1">
            <w:pPr>
              <w:spacing w:before="60" w:after="60"/>
              <w:jc w:val="right"/>
              <w:rPr>
                <w:color w:val="000000"/>
                <w:sz w:val="16"/>
                <w:szCs w:val="16"/>
              </w:rPr>
            </w:pPr>
            <w:r w:rsidRPr="00DF2C8B">
              <w:rPr>
                <w:color w:val="000000"/>
                <w:sz w:val="16"/>
                <w:szCs w:val="16"/>
              </w:rPr>
              <w:t>2</w:t>
            </w:r>
            <w:r w:rsidR="00D44252">
              <w:rPr>
                <w:color w:val="000000"/>
                <w:sz w:val="16"/>
                <w:szCs w:val="16"/>
              </w:rPr>
              <w:t xml:space="preserve"> </w:t>
            </w:r>
            <w:r w:rsidRPr="00DF2C8B">
              <w:rPr>
                <w:color w:val="000000"/>
                <w:sz w:val="16"/>
                <w:szCs w:val="16"/>
              </w:rPr>
              <w:t>537</w:t>
            </w:r>
            <w:r w:rsidR="00D44252">
              <w:rPr>
                <w:color w:val="000000"/>
                <w:sz w:val="16"/>
                <w:szCs w:val="16"/>
              </w:rPr>
              <w:t xml:space="preserve"> </w:t>
            </w:r>
            <w:r w:rsidRPr="00DF2C8B">
              <w:rPr>
                <w:color w:val="000000"/>
                <w:sz w:val="16"/>
                <w:szCs w:val="16"/>
              </w:rPr>
              <w:t>802</w:t>
            </w:r>
          </w:p>
        </w:tc>
      </w:tr>
      <w:tr w:rsidR="00DF2C8B" w:rsidRPr="0074045D" w:rsidTr="00DF2C8B">
        <w:tc>
          <w:tcPr>
            <w:tcW w:w="1110" w:type="dxa"/>
            <w:shd w:val="clear" w:color="auto" w:fill="auto"/>
          </w:tcPr>
          <w:p w:rsidR="00DF2C8B" w:rsidRPr="0074045D" w:rsidRDefault="003F1AA5" w:rsidP="006B3AD1">
            <w:pPr>
              <w:spacing w:before="60" w:after="60"/>
              <w:jc w:val="center"/>
              <w:rPr>
                <w:sz w:val="16"/>
                <w:szCs w:val="16"/>
                <w:lang w:val="en-US"/>
              </w:rPr>
            </w:pPr>
            <w:r>
              <w:rPr>
                <w:sz w:val="16"/>
                <w:szCs w:val="16"/>
                <w:lang w:val="en-US"/>
              </w:rPr>
              <w:t>20</w:t>
            </w:r>
            <w:r w:rsidR="00DF2C8B" w:rsidRPr="0074045D">
              <w:rPr>
                <w:sz w:val="16"/>
                <w:szCs w:val="16"/>
                <w:lang w:val="en-US"/>
              </w:rPr>
              <w:t>09</w:t>
            </w:r>
            <w:r w:rsidR="00DF2C8B">
              <w:rPr>
                <w:sz w:val="16"/>
                <w:szCs w:val="16"/>
                <w:lang w:val="en-US"/>
              </w:rPr>
              <w:t>-</w:t>
            </w:r>
            <w:r w:rsidR="00DF2C8B" w:rsidRPr="0074045D">
              <w:rPr>
                <w:sz w:val="16"/>
                <w:szCs w:val="16"/>
                <w:lang w:val="en-US"/>
              </w:rPr>
              <w:t>10</w:t>
            </w:r>
          </w:p>
        </w:tc>
        <w:tc>
          <w:tcPr>
            <w:tcW w:w="1133"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36</w:t>
            </w:r>
            <w:r>
              <w:rPr>
                <w:sz w:val="16"/>
                <w:szCs w:val="16"/>
                <w:lang w:val="en-US"/>
              </w:rPr>
              <w:t xml:space="preserve"> </w:t>
            </w:r>
            <w:r w:rsidRPr="0074045D">
              <w:rPr>
                <w:sz w:val="16"/>
                <w:szCs w:val="16"/>
                <w:lang w:val="en-US"/>
              </w:rPr>
              <w:t>744</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w:t>
            </w:r>
            <w:r>
              <w:rPr>
                <w:sz w:val="16"/>
                <w:szCs w:val="16"/>
                <w:lang w:val="en-US"/>
              </w:rPr>
              <w:t xml:space="preserve"> </w:t>
            </w:r>
            <w:r w:rsidRPr="0074045D">
              <w:rPr>
                <w:sz w:val="16"/>
                <w:szCs w:val="16"/>
                <w:lang w:val="en-US"/>
              </w:rPr>
              <w:t>399</w:t>
            </w:r>
            <w:r>
              <w:rPr>
                <w:sz w:val="16"/>
                <w:szCs w:val="16"/>
                <w:lang w:val="en-US"/>
              </w:rPr>
              <w:t xml:space="preserve"> </w:t>
            </w:r>
            <w:r w:rsidRPr="0074045D">
              <w:rPr>
                <w:sz w:val="16"/>
                <w:szCs w:val="16"/>
                <w:lang w:val="en-US"/>
              </w:rPr>
              <w:t>168</w:t>
            </w:r>
          </w:p>
        </w:tc>
        <w:tc>
          <w:tcPr>
            <w:tcW w:w="1365"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10</w:t>
            </w:r>
            <w:r>
              <w:rPr>
                <w:sz w:val="16"/>
                <w:szCs w:val="16"/>
                <w:lang w:val="en-US"/>
              </w:rPr>
              <w:t xml:space="preserve"> </w:t>
            </w:r>
            <w:r w:rsidRPr="0074045D">
              <w:rPr>
                <w:sz w:val="16"/>
                <w:szCs w:val="16"/>
                <w:lang w:val="en-US"/>
              </w:rPr>
              <w:t>824</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83</w:t>
            </w:r>
            <w:r>
              <w:rPr>
                <w:sz w:val="16"/>
                <w:szCs w:val="16"/>
                <w:lang w:val="en-US"/>
              </w:rPr>
              <w:t xml:space="preserve"> </w:t>
            </w:r>
            <w:r w:rsidRPr="0074045D">
              <w:rPr>
                <w:sz w:val="16"/>
                <w:szCs w:val="16"/>
                <w:lang w:val="en-US"/>
              </w:rPr>
              <w:t>377</w:t>
            </w:r>
          </w:p>
        </w:tc>
        <w:tc>
          <w:tcPr>
            <w:tcW w:w="1361" w:type="dxa"/>
            <w:shd w:val="clear" w:color="auto" w:fill="auto"/>
          </w:tcPr>
          <w:p w:rsidR="00DF2C8B" w:rsidRPr="0074045D" w:rsidRDefault="00DF2C8B" w:rsidP="006B3AD1">
            <w:pPr>
              <w:spacing w:before="60" w:after="60"/>
              <w:jc w:val="center"/>
              <w:rPr>
                <w:sz w:val="16"/>
                <w:szCs w:val="16"/>
                <w:lang w:val="en-US"/>
              </w:rPr>
            </w:pP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6</w:t>
            </w:r>
            <w:r>
              <w:rPr>
                <w:sz w:val="16"/>
                <w:szCs w:val="16"/>
                <w:lang w:val="en-US"/>
              </w:rPr>
              <w:t xml:space="preserve"> </w:t>
            </w:r>
            <w:r w:rsidRPr="0074045D">
              <w:rPr>
                <w:sz w:val="16"/>
                <w:szCs w:val="16"/>
                <w:lang w:val="en-US"/>
              </w:rPr>
              <w:t>675</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254</w:t>
            </w:r>
            <w:r>
              <w:rPr>
                <w:sz w:val="16"/>
                <w:szCs w:val="16"/>
                <w:lang w:val="en-US"/>
              </w:rPr>
              <w:t xml:space="preserve"> </w:t>
            </w:r>
            <w:r w:rsidRPr="0074045D">
              <w:rPr>
                <w:sz w:val="16"/>
                <w:szCs w:val="16"/>
                <w:lang w:val="en-US"/>
              </w:rPr>
              <w:t>515</w:t>
            </w:r>
          </w:p>
        </w:tc>
        <w:tc>
          <w:tcPr>
            <w:tcW w:w="1360" w:type="dxa"/>
            <w:shd w:val="clear" w:color="auto" w:fill="auto"/>
          </w:tcPr>
          <w:p w:rsidR="00DF2C8B" w:rsidRPr="0074045D" w:rsidRDefault="00DF2C8B" w:rsidP="006B3AD1">
            <w:pPr>
              <w:spacing w:before="60" w:after="60"/>
              <w:jc w:val="center"/>
              <w:rPr>
                <w:sz w:val="16"/>
                <w:szCs w:val="16"/>
                <w:lang w:val="en-US"/>
              </w:rPr>
            </w:pPr>
          </w:p>
        </w:tc>
        <w:tc>
          <w:tcPr>
            <w:tcW w:w="1122" w:type="dxa"/>
            <w:shd w:val="clear" w:color="auto" w:fill="auto"/>
          </w:tcPr>
          <w:p w:rsidR="00DF2C8B" w:rsidRPr="0074045D" w:rsidRDefault="00DF2C8B" w:rsidP="006B3AD1">
            <w:pPr>
              <w:spacing w:before="60" w:after="60"/>
              <w:jc w:val="center"/>
              <w:rPr>
                <w:sz w:val="16"/>
                <w:szCs w:val="16"/>
                <w:lang w:val="en-US"/>
              </w:rPr>
            </w:pP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677</w:t>
            </w:r>
            <w:r>
              <w:rPr>
                <w:sz w:val="16"/>
                <w:szCs w:val="16"/>
                <w:lang w:val="en-US"/>
              </w:rPr>
              <w:t xml:space="preserve"> </w:t>
            </w:r>
            <w:r w:rsidRPr="0074045D">
              <w:rPr>
                <w:sz w:val="16"/>
                <w:szCs w:val="16"/>
                <w:lang w:val="en-US"/>
              </w:rPr>
              <w:t>110</w:t>
            </w:r>
          </w:p>
        </w:tc>
        <w:tc>
          <w:tcPr>
            <w:tcW w:w="1129" w:type="dxa"/>
            <w:vAlign w:val="bottom"/>
          </w:tcPr>
          <w:p w:rsidR="00DF2C8B" w:rsidRPr="00DF2C8B" w:rsidRDefault="00DF2C8B" w:rsidP="006B3AD1">
            <w:pPr>
              <w:spacing w:before="60" w:after="60"/>
              <w:jc w:val="right"/>
              <w:rPr>
                <w:color w:val="000000"/>
                <w:sz w:val="16"/>
                <w:szCs w:val="16"/>
              </w:rPr>
            </w:pPr>
            <w:r w:rsidRPr="00DF2C8B">
              <w:rPr>
                <w:color w:val="000000"/>
                <w:sz w:val="16"/>
                <w:szCs w:val="16"/>
              </w:rPr>
              <w:t>2</w:t>
            </w:r>
            <w:r w:rsidR="00D44252">
              <w:rPr>
                <w:color w:val="000000"/>
                <w:sz w:val="16"/>
                <w:szCs w:val="16"/>
              </w:rPr>
              <w:t xml:space="preserve"> </w:t>
            </w:r>
            <w:r w:rsidRPr="00DF2C8B">
              <w:rPr>
                <w:color w:val="000000"/>
                <w:sz w:val="16"/>
                <w:szCs w:val="16"/>
              </w:rPr>
              <w:t>468</w:t>
            </w:r>
            <w:r w:rsidR="00D44252">
              <w:rPr>
                <w:color w:val="000000"/>
                <w:sz w:val="16"/>
                <w:szCs w:val="16"/>
              </w:rPr>
              <w:t xml:space="preserve"> </w:t>
            </w:r>
            <w:r w:rsidRPr="00DF2C8B">
              <w:rPr>
                <w:color w:val="000000"/>
                <w:sz w:val="16"/>
                <w:szCs w:val="16"/>
              </w:rPr>
              <w:t>413</w:t>
            </w:r>
          </w:p>
        </w:tc>
      </w:tr>
      <w:tr w:rsidR="00DF2C8B" w:rsidRPr="0074045D" w:rsidTr="00DF2C8B">
        <w:tc>
          <w:tcPr>
            <w:tcW w:w="1110" w:type="dxa"/>
            <w:shd w:val="clear" w:color="auto" w:fill="auto"/>
          </w:tcPr>
          <w:p w:rsidR="00DF2C8B" w:rsidRPr="0074045D" w:rsidRDefault="003F1AA5" w:rsidP="006B3AD1">
            <w:pPr>
              <w:spacing w:before="60" w:after="60"/>
              <w:jc w:val="center"/>
              <w:rPr>
                <w:sz w:val="16"/>
                <w:szCs w:val="16"/>
                <w:lang w:val="en-US"/>
              </w:rPr>
            </w:pPr>
            <w:r>
              <w:rPr>
                <w:sz w:val="16"/>
                <w:szCs w:val="16"/>
                <w:lang w:val="en-US"/>
              </w:rPr>
              <w:t>20</w:t>
            </w:r>
            <w:r w:rsidR="00DF2C8B" w:rsidRPr="0074045D">
              <w:rPr>
                <w:sz w:val="16"/>
                <w:szCs w:val="16"/>
                <w:lang w:val="en-US"/>
              </w:rPr>
              <w:t>10</w:t>
            </w:r>
            <w:r w:rsidR="00DF2C8B">
              <w:rPr>
                <w:sz w:val="16"/>
                <w:szCs w:val="16"/>
                <w:lang w:val="en-US"/>
              </w:rPr>
              <w:t>-</w:t>
            </w:r>
            <w:r w:rsidR="00DF2C8B" w:rsidRPr="0074045D">
              <w:rPr>
                <w:sz w:val="16"/>
                <w:szCs w:val="16"/>
                <w:lang w:val="en-US"/>
              </w:rPr>
              <w:t>11</w:t>
            </w:r>
          </w:p>
        </w:tc>
        <w:tc>
          <w:tcPr>
            <w:tcW w:w="1133"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18</w:t>
            </w:r>
            <w:r>
              <w:rPr>
                <w:sz w:val="16"/>
                <w:szCs w:val="16"/>
                <w:lang w:val="en-US"/>
              </w:rPr>
              <w:t xml:space="preserve"> </w:t>
            </w:r>
            <w:r w:rsidRPr="0074045D">
              <w:rPr>
                <w:sz w:val="16"/>
                <w:szCs w:val="16"/>
                <w:lang w:val="en-US"/>
              </w:rPr>
              <w:t>4</w:t>
            </w:r>
            <w:r>
              <w:rPr>
                <w:sz w:val="16"/>
                <w:szCs w:val="16"/>
                <w:lang w:val="en-US"/>
              </w:rPr>
              <w:t>16</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w:t>
            </w:r>
            <w:r>
              <w:rPr>
                <w:sz w:val="16"/>
                <w:szCs w:val="16"/>
                <w:lang w:val="en-US"/>
              </w:rPr>
              <w:t xml:space="preserve"> </w:t>
            </w:r>
            <w:r w:rsidRPr="0074045D">
              <w:rPr>
                <w:sz w:val="16"/>
                <w:szCs w:val="16"/>
                <w:lang w:val="en-US"/>
              </w:rPr>
              <w:t>443</w:t>
            </w:r>
            <w:r>
              <w:rPr>
                <w:sz w:val="16"/>
                <w:szCs w:val="16"/>
                <w:lang w:val="en-US"/>
              </w:rPr>
              <w:t xml:space="preserve"> </w:t>
            </w:r>
            <w:r w:rsidRPr="0074045D">
              <w:rPr>
                <w:sz w:val="16"/>
                <w:szCs w:val="16"/>
                <w:lang w:val="en-US"/>
              </w:rPr>
              <w:t>694</w:t>
            </w:r>
          </w:p>
        </w:tc>
        <w:tc>
          <w:tcPr>
            <w:tcW w:w="1365" w:type="dxa"/>
            <w:shd w:val="clear" w:color="auto" w:fill="auto"/>
          </w:tcPr>
          <w:p w:rsidR="00DF2C8B" w:rsidRPr="0074045D" w:rsidRDefault="00DF2C8B" w:rsidP="006B3AD1">
            <w:pPr>
              <w:spacing w:before="60" w:after="60"/>
              <w:jc w:val="center"/>
              <w:rPr>
                <w:sz w:val="16"/>
                <w:szCs w:val="16"/>
                <w:lang w:val="en-US"/>
              </w:rPr>
            </w:pPr>
            <w:r>
              <w:rPr>
                <w:sz w:val="16"/>
                <w:szCs w:val="16"/>
                <w:lang w:val="en-US"/>
              </w:rPr>
              <w:t>11 2</w:t>
            </w:r>
            <w:r w:rsidRPr="0074045D">
              <w:rPr>
                <w:sz w:val="16"/>
                <w:szCs w:val="16"/>
                <w:lang w:val="en-US"/>
              </w:rPr>
              <w:t>03</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62</w:t>
            </w:r>
            <w:r>
              <w:rPr>
                <w:sz w:val="16"/>
                <w:szCs w:val="16"/>
                <w:lang w:val="en-US"/>
              </w:rPr>
              <w:t xml:space="preserve"> </w:t>
            </w:r>
            <w:r w:rsidRPr="0074045D">
              <w:rPr>
                <w:sz w:val="16"/>
                <w:szCs w:val="16"/>
                <w:lang w:val="en-US"/>
              </w:rPr>
              <w:t>101</w:t>
            </w:r>
          </w:p>
        </w:tc>
        <w:tc>
          <w:tcPr>
            <w:tcW w:w="1361" w:type="dxa"/>
            <w:shd w:val="clear" w:color="auto" w:fill="auto"/>
          </w:tcPr>
          <w:p w:rsidR="00DF2C8B" w:rsidRPr="0074045D" w:rsidRDefault="00DF2C8B" w:rsidP="006B3AD1">
            <w:pPr>
              <w:spacing w:before="60" w:after="60"/>
              <w:jc w:val="center"/>
              <w:rPr>
                <w:sz w:val="16"/>
                <w:szCs w:val="16"/>
                <w:lang w:val="en-US"/>
              </w:rPr>
            </w:pP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3</w:t>
            </w:r>
            <w:r>
              <w:rPr>
                <w:sz w:val="16"/>
                <w:szCs w:val="16"/>
                <w:lang w:val="en-US"/>
              </w:rPr>
              <w:t xml:space="preserve"> </w:t>
            </w:r>
            <w:r w:rsidRPr="0074045D">
              <w:rPr>
                <w:sz w:val="16"/>
                <w:szCs w:val="16"/>
                <w:lang w:val="en-US"/>
              </w:rPr>
              <w:t>856</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315</w:t>
            </w:r>
            <w:r>
              <w:rPr>
                <w:sz w:val="16"/>
                <w:szCs w:val="16"/>
                <w:lang w:val="en-US"/>
              </w:rPr>
              <w:t xml:space="preserve"> </w:t>
            </w:r>
            <w:r w:rsidRPr="0074045D">
              <w:rPr>
                <w:sz w:val="16"/>
                <w:szCs w:val="16"/>
                <w:lang w:val="en-US"/>
              </w:rPr>
              <w:t>165</w:t>
            </w:r>
          </w:p>
        </w:tc>
        <w:tc>
          <w:tcPr>
            <w:tcW w:w="1360" w:type="dxa"/>
            <w:shd w:val="clear" w:color="auto" w:fill="auto"/>
          </w:tcPr>
          <w:p w:rsidR="00DF2C8B" w:rsidRPr="0074045D" w:rsidRDefault="00DF2C8B" w:rsidP="006B3AD1">
            <w:pPr>
              <w:spacing w:before="60" w:after="60"/>
              <w:jc w:val="center"/>
              <w:rPr>
                <w:sz w:val="16"/>
                <w:szCs w:val="16"/>
                <w:lang w:val="en-US"/>
              </w:rPr>
            </w:pPr>
          </w:p>
        </w:tc>
        <w:tc>
          <w:tcPr>
            <w:tcW w:w="1122" w:type="dxa"/>
            <w:shd w:val="clear" w:color="auto" w:fill="auto"/>
          </w:tcPr>
          <w:p w:rsidR="00DF2C8B" w:rsidRPr="0074045D" w:rsidRDefault="00DF2C8B" w:rsidP="006B3AD1">
            <w:pPr>
              <w:spacing w:before="60" w:after="60"/>
              <w:jc w:val="center"/>
              <w:rPr>
                <w:sz w:val="16"/>
                <w:szCs w:val="16"/>
                <w:lang w:val="en-US"/>
              </w:rPr>
            </w:pP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673</w:t>
            </w:r>
            <w:r>
              <w:rPr>
                <w:sz w:val="16"/>
                <w:szCs w:val="16"/>
                <w:lang w:val="en-US"/>
              </w:rPr>
              <w:t xml:space="preserve"> </w:t>
            </w:r>
            <w:r w:rsidRPr="0074045D">
              <w:rPr>
                <w:sz w:val="16"/>
                <w:szCs w:val="16"/>
                <w:lang w:val="en-US"/>
              </w:rPr>
              <w:t>911</w:t>
            </w:r>
          </w:p>
        </w:tc>
        <w:tc>
          <w:tcPr>
            <w:tcW w:w="1129" w:type="dxa"/>
            <w:vAlign w:val="bottom"/>
          </w:tcPr>
          <w:p w:rsidR="00DF2C8B" w:rsidRPr="00DF2C8B" w:rsidRDefault="00DF2C8B" w:rsidP="006B3AD1">
            <w:pPr>
              <w:spacing w:before="60" w:after="60"/>
              <w:jc w:val="right"/>
              <w:rPr>
                <w:color w:val="000000"/>
                <w:sz w:val="16"/>
                <w:szCs w:val="16"/>
              </w:rPr>
            </w:pPr>
            <w:r w:rsidRPr="00DF2C8B">
              <w:rPr>
                <w:color w:val="000000"/>
                <w:sz w:val="16"/>
                <w:szCs w:val="16"/>
              </w:rPr>
              <w:t>2</w:t>
            </w:r>
            <w:r w:rsidR="00D44252">
              <w:rPr>
                <w:color w:val="000000"/>
                <w:sz w:val="16"/>
                <w:szCs w:val="16"/>
              </w:rPr>
              <w:t xml:space="preserve"> </w:t>
            </w:r>
            <w:r w:rsidRPr="00DF2C8B">
              <w:rPr>
                <w:color w:val="000000"/>
                <w:sz w:val="16"/>
                <w:szCs w:val="16"/>
              </w:rPr>
              <w:t>528</w:t>
            </w:r>
            <w:r w:rsidR="00D44252">
              <w:rPr>
                <w:color w:val="000000"/>
                <w:sz w:val="16"/>
                <w:szCs w:val="16"/>
              </w:rPr>
              <w:t xml:space="preserve"> </w:t>
            </w:r>
            <w:r w:rsidRPr="00DF2C8B">
              <w:rPr>
                <w:color w:val="000000"/>
                <w:sz w:val="16"/>
                <w:szCs w:val="16"/>
              </w:rPr>
              <w:t>346</w:t>
            </w:r>
          </w:p>
        </w:tc>
      </w:tr>
      <w:tr w:rsidR="00DF2C8B" w:rsidRPr="0074045D" w:rsidTr="00DF2C8B">
        <w:tc>
          <w:tcPr>
            <w:tcW w:w="1110" w:type="dxa"/>
            <w:shd w:val="clear" w:color="auto" w:fill="auto"/>
          </w:tcPr>
          <w:p w:rsidR="00DF2C8B" w:rsidRPr="0074045D" w:rsidRDefault="003F1AA5" w:rsidP="006B3AD1">
            <w:pPr>
              <w:spacing w:before="60" w:after="60"/>
              <w:jc w:val="center"/>
              <w:rPr>
                <w:sz w:val="16"/>
                <w:szCs w:val="16"/>
                <w:lang w:val="en-US"/>
              </w:rPr>
            </w:pPr>
            <w:r>
              <w:rPr>
                <w:sz w:val="16"/>
                <w:szCs w:val="16"/>
                <w:lang w:val="en-US"/>
              </w:rPr>
              <w:t>20</w:t>
            </w:r>
            <w:r w:rsidR="00DF2C8B" w:rsidRPr="0074045D">
              <w:rPr>
                <w:sz w:val="16"/>
                <w:szCs w:val="16"/>
                <w:lang w:val="en-US"/>
              </w:rPr>
              <w:t>11</w:t>
            </w:r>
            <w:r w:rsidR="00DF2C8B">
              <w:rPr>
                <w:sz w:val="16"/>
                <w:szCs w:val="16"/>
                <w:lang w:val="en-US"/>
              </w:rPr>
              <w:t>-</w:t>
            </w:r>
            <w:r w:rsidR="00DF2C8B" w:rsidRPr="0074045D">
              <w:rPr>
                <w:sz w:val="16"/>
                <w:szCs w:val="16"/>
                <w:lang w:val="en-US"/>
              </w:rPr>
              <w:t>12</w:t>
            </w:r>
          </w:p>
        </w:tc>
        <w:tc>
          <w:tcPr>
            <w:tcW w:w="1133"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28</w:t>
            </w:r>
            <w:r>
              <w:rPr>
                <w:sz w:val="16"/>
                <w:szCs w:val="16"/>
                <w:lang w:val="en-US"/>
              </w:rPr>
              <w:t xml:space="preserve"> </w:t>
            </w:r>
            <w:r w:rsidRPr="0074045D">
              <w:rPr>
                <w:sz w:val="16"/>
                <w:szCs w:val="16"/>
                <w:lang w:val="en-US"/>
              </w:rPr>
              <w:t>966</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w:t>
            </w:r>
            <w:r>
              <w:rPr>
                <w:sz w:val="16"/>
                <w:szCs w:val="16"/>
                <w:lang w:val="en-US"/>
              </w:rPr>
              <w:t xml:space="preserve"> </w:t>
            </w:r>
            <w:r w:rsidRPr="0074045D">
              <w:rPr>
                <w:sz w:val="16"/>
                <w:szCs w:val="16"/>
                <w:lang w:val="en-US"/>
              </w:rPr>
              <w:t>498</w:t>
            </w:r>
            <w:r>
              <w:rPr>
                <w:sz w:val="16"/>
                <w:szCs w:val="16"/>
                <w:lang w:val="en-US"/>
              </w:rPr>
              <w:t xml:space="preserve"> </w:t>
            </w:r>
            <w:r w:rsidRPr="0074045D">
              <w:rPr>
                <w:sz w:val="16"/>
                <w:szCs w:val="16"/>
                <w:lang w:val="en-US"/>
              </w:rPr>
              <w:t>69</w:t>
            </w:r>
            <w:r>
              <w:rPr>
                <w:sz w:val="16"/>
                <w:szCs w:val="16"/>
                <w:lang w:val="en-US"/>
              </w:rPr>
              <w:t>2</w:t>
            </w:r>
          </w:p>
        </w:tc>
        <w:tc>
          <w:tcPr>
            <w:tcW w:w="1365"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11</w:t>
            </w:r>
            <w:r>
              <w:rPr>
                <w:sz w:val="16"/>
                <w:szCs w:val="16"/>
                <w:lang w:val="en-US"/>
              </w:rPr>
              <w:t xml:space="preserve"> </w:t>
            </w:r>
            <w:r w:rsidRPr="0074045D">
              <w:rPr>
                <w:sz w:val="16"/>
                <w:szCs w:val="16"/>
                <w:lang w:val="en-US"/>
              </w:rPr>
              <w:t>386</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64</w:t>
            </w:r>
            <w:r>
              <w:rPr>
                <w:sz w:val="16"/>
                <w:szCs w:val="16"/>
                <w:lang w:val="en-US"/>
              </w:rPr>
              <w:t xml:space="preserve"> </w:t>
            </w:r>
            <w:r w:rsidRPr="0074045D">
              <w:rPr>
                <w:sz w:val="16"/>
                <w:szCs w:val="16"/>
                <w:lang w:val="en-US"/>
              </w:rPr>
              <w:t>742</w:t>
            </w:r>
          </w:p>
        </w:tc>
        <w:tc>
          <w:tcPr>
            <w:tcW w:w="1361" w:type="dxa"/>
            <w:shd w:val="clear" w:color="auto" w:fill="auto"/>
          </w:tcPr>
          <w:p w:rsidR="00DF2C8B" w:rsidRPr="0074045D" w:rsidRDefault="00DF2C8B" w:rsidP="006B3AD1">
            <w:pPr>
              <w:spacing w:before="60" w:after="60"/>
              <w:jc w:val="center"/>
              <w:rPr>
                <w:sz w:val="16"/>
                <w:szCs w:val="16"/>
                <w:lang w:val="en-US"/>
              </w:rPr>
            </w:pP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w:t>
            </w:r>
            <w:r>
              <w:rPr>
                <w:sz w:val="16"/>
                <w:szCs w:val="16"/>
                <w:lang w:val="en-US"/>
              </w:rPr>
              <w:t xml:space="preserve"> </w:t>
            </w:r>
            <w:r w:rsidRPr="0074045D">
              <w:rPr>
                <w:sz w:val="16"/>
                <w:szCs w:val="16"/>
                <w:lang w:val="en-US"/>
              </w:rPr>
              <w:t>714</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334</w:t>
            </w:r>
            <w:r>
              <w:rPr>
                <w:sz w:val="16"/>
                <w:szCs w:val="16"/>
                <w:lang w:val="en-US"/>
              </w:rPr>
              <w:t xml:space="preserve"> </w:t>
            </w:r>
            <w:r w:rsidRPr="0074045D">
              <w:rPr>
                <w:sz w:val="16"/>
                <w:szCs w:val="16"/>
                <w:lang w:val="en-US"/>
              </w:rPr>
              <w:t>980</w:t>
            </w:r>
          </w:p>
        </w:tc>
        <w:tc>
          <w:tcPr>
            <w:tcW w:w="1360" w:type="dxa"/>
            <w:shd w:val="clear" w:color="auto" w:fill="auto"/>
          </w:tcPr>
          <w:p w:rsidR="00DF2C8B" w:rsidRPr="0074045D" w:rsidRDefault="00DF2C8B" w:rsidP="006B3AD1">
            <w:pPr>
              <w:spacing w:before="60" w:after="60"/>
              <w:jc w:val="center"/>
              <w:rPr>
                <w:sz w:val="16"/>
                <w:szCs w:val="16"/>
                <w:lang w:val="en-US"/>
              </w:rPr>
            </w:pPr>
          </w:p>
        </w:tc>
        <w:tc>
          <w:tcPr>
            <w:tcW w:w="1122" w:type="dxa"/>
            <w:shd w:val="clear" w:color="auto" w:fill="auto"/>
          </w:tcPr>
          <w:p w:rsidR="00DF2C8B" w:rsidRPr="0074045D" w:rsidRDefault="00DF2C8B" w:rsidP="006B3AD1">
            <w:pPr>
              <w:spacing w:before="60" w:after="60"/>
              <w:jc w:val="center"/>
              <w:rPr>
                <w:sz w:val="16"/>
                <w:szCs w:val="16"/>
                <w:lang w:val="en-US"/>
              </w:rPr>
            </w:pP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596</w:t>
            </w:r>
            <w:r>
              <w:rPr>
                <w:sz w:val="16"/>
                <w:szCs w:val="16"/>
                <w:lang w:val="en-US"/>
              </w:rPr>
              <w:t xml:space="preserve"> </w:t>
            </w:r>
            <w:r w:rsidRPr="0074045D">
              <w:rPr>
                <w:sz w:val="16"/>
                <w:szCs w:val="16"/>
                <w:lang w:val="en-US"/>
              </w:rPr>
              <w:t>136</w:t>
            </w:r>
          </w:p>
        </w:tc>
        <w:tc>
          <w:tcPr>
            <w:tcW w:w="1129" w:type="dxa"/>
            <w:vAlign w:val="bottom"/>
          </w:tcPr>
          <w:p w:rsidR="00DF2C8B" w:rsidRPr="00DF2C8B" w:rsidRDefault="00DF2C8B" w:rsidP="006B3AD1">
            <w:pPr>
              <w:spacing w:before="60" w:after="60"/>
              <w:jc w:val="right"/>
              <w:rPr>
                <w:color w:val="000000"/>
                <w:sz w:val="16"/>
                <w:szCs w:val="16"/>
              </w:rPr>
            </w:pPr>
            <w:r w:rsidRPr="00DF2C8B">
              <w:rPr>
                <w:color w:val="000000"/>
                <w:sz w:val="16"/>
                <w:szCs w:val="16"/>
              </w:rPr>
              <w:t>2</w:t>
            </w:r>
            <w:r w:rsidR="00D44252">
              <w:rPr>
                <w:color w:val="000000"/>
                <w:sz w:val="16"/>
                <w:szCs w:val="16"/>
              </w:rPr>
              <w:t xml:space="preserve"> </w:t>
            </w:r>
            <w:r w:rsidRPr="00DF2C8B">
              <w:rPr>
                <w:color w:val="000000"/>
                <w:sz w:val="16"/>
                <w:szCs w:val="16"/>
              </w:rPr>
              <w:t>536</w:t>
            </w:r>
            <w:r w:rsidR="00D44252">
              <w:rPr>
                <w:color w:val="000000"/>
                <w:sz w:val="16"/>
                <w:szCs w:val="16"/>
              </w:rPr>
              <w:t xml:space="preserve"> </w:t>
            </w:r>
            <w:r w:rsidRPr="00DF2C8B">
              <w:rPr>
                <w:color w:val="000000"/>
                <w:sz w:val="16"/>
                <w:szCs w:val="16"/>
              </w:rPr>
              <w:t>616</w:t>
            </w:r>
          </w:p>
        </w:tc>
      </w:tr>
      <w:tr w:rsidR="00DF2C8B" w:rsidRPr="0074045D" w:rsidTr="00DF2C8B">
        <w:tc>
          <w:tcPr>
            <w:tcW w:w="1110" w:type="dxa"/>
            <w:shd w:val="clear" w:color="auto" w:fill="auto"/>
          </w:tcPr>
          <w:p w:rsidR="00DF2C8B" w:rsidRPr="0074045D" w:rsidRDefault="003F1AA5" w:rsidP="006B3AD1">
            <w:pPr>
              <w:spacing w:before="60" w:after="60"/>
              <w:jc w:val="center"/>
              <w:rPr>
                <w:sz w:val="16"/>
                <w:szCs w:val="16"/>
                <w:lang w:val="en-US"/>
              </w:rPr>
            </w:pPr>
            <w:r>
              <w:rPr>
                <w:sz w:val="16"/>
                <w:szCs w:val="16"/>
                <w:lang w:val="en-US"/>
              </w:rPr>
              <w:t>20</w:t>
            </w:r>
            <w:r w:rsidR="00DF2C8B" w:rsidRPr="0074045D">
              <w:rPr>
                <w:sz w:val="16"/>
                <w:szCs w:val="16"/>
                <w:lang w:val="en-US"/>
              </w:rPr>
              <w:t>12</w:t>
            </w:r>
            <w:r w:rsidR="00DF2C8B">
              <w:rPr>
                <w:sz w:val="16"/>
                <w:szCs w:val="16"/>
                <w:lang w:val="en-US"/>
              </w:rPr>
              <w:t>-</w:t>
            </w:r>
            <w:r w:rsidR="00DF2C8B" w:rsidRPr="0074045D">
              <w:rPr>
                <w:sz w:val="16"/>
                <w:szCs w:val="16"/>
                <w:lang w:val="en-US"/>
              </w:rPr>
              <w:t>13</w:t>
            </w:r>
          </w:p>
        </w:tc>
        <w:tc>
          <w:tcPr>
            <w:tcW w:w="1133" w:type="dxa"/>
            <w:shd w:val="clear" w:color="auto" w:fill="auto"/>
          </w:tcPr>
          <w:p w:rsidR="00DF2C8B" w:rsidRPr="0074045D" w:rsidRDefault="00DF2C8B" w:rsidP="006B3AD1">
            <w:pPr>
              <w:spacing w:before="60" w:after="60"/>
              <w:jc w:val="center"/>
              <w:rPr>
                <w:sz w:val="16"/>
                <w:szCs w:val="16"/>
                <w:lang w:val="en-US"/>
              </w:rPr>
            </w:pPr>
            <w:r>
              <w:rPr>
                <w:sz w:val="16"/>
                <w:szCs w:val="16"/>
                <w:lang w:val="en-US"/>
              </w:rPr>
              <w:t>33 59</w:t>
            </w:r>
            <w:r w:rsidRPr="0074045D">
              <w:rPr>
                <w:sz w:val="16"/>
                <w:szCs w:val="16"/>
                <w:lang w:val="en-US"/>
              </w:rPr>
              <w:t>9</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w:t>
            </w:r>
            <w:r>
              <w:rPr>
                <w:sz w:val="16"/>
                <w:szCs w:val="16"/>
                <w:lang w:val="en-US"/>
              </w:rPr>
              <w:t xml:space="preserve"> </w:t>
            </w:r>
            <w:r w:rsidRPr="0074045D">
              <w:rPr>
                <w:sz w:val="16"/>
                <w:szCs w:val="16"/>
                <w:lang w:val="en-US"/>
              </w:rPr>
              <w:t>531</w:t>
            </w:r>
            <w:r>
              <w:rPr>
                <w:sz w:val="16"/>
                <w:szCs w:val="16"/>
                <w:lang w:val="en-US"/>
              </w:rPr>
              <w:t xml:space="preserve"> </w:t>
            </w:r>
            <w:r w:rsidRPr="0074045D">
              <w:rPr>
                <w:sz w:val="16"/>
                <w:szCs w:val="16"/>
                <w:lang w:val="en-US"/>
              </w:rPr>
              <w:t>336</w:t>
            </w:r>
          </w:p>
        </w:tc>
        <w:tc>
          <w:tcPr>
            <w:tcW w:w="1365"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11</w:t>
            </w:r>
            <w:r>
              <w:rPr>
                <w:sz w:val="16"/>
                <w:szCs w:val="16"/>
                <w:lang w:val="en-US"/>
              </w:rPr>
              <w:t xml:space="preserve"> </w:t>
            </w:r>
            <w:r w:rsidRPr="0074045D">
              <w:rPr>
                <w:sz w:val="16"/>
                <w:szCs w:val="16"/>
                <w:lang w:val="en-US"/>
              </w:rPr>
              <w:t>341</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49</w:t>
            </w:r>
            <w:r>
              <w:rPr>
                <w:sz w:val="16"/>
                <w:szCs w:val="16"/>
                <w:lang w:val="en-US"/>
              </w:rPr>
              <w:t xml:space="preserve"> </w:t>
            </w:r>
            <w:r w:rsidRPr="0074045D">
              <w:rPr>
                <w:sz w:val="16"/>
                <w:szCs w:val="16"/>
                <w:lang w:val="en-US"/>
              </w:rPr>
              <w:t>057</w:t>
            </w:r>
          </w:p>
        </w:tc>
        <w:tc>
          <w:tcPr>
            <w:tcW w:w="1361" w:type="dxa"/>
            <w:shd w:val="clear" w:color="auto" w:fill="auto"/>
          </w:tcPr>
          <w:p w:rsidR="00DF2C8B" w:rsidRPr="0074045D" w:rsidRDefault="00DF2C8B" w:rsidP="006B3AD1">
            <w:pPr>
              <w:spacing w:before="60" w:after="60"/>
              <w:jc w:val="center"/>
              <w:rPr>
                <w:sz w:val="16"/>
                <w:szCs w:val="16"/>
                <w:lang w:val="en-US"/>
              </w:rPr>
            </w:pP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3</w:t>
            </w:r>
            <w:r>
              <w:rPr>
                <w:sz w:val="16"/>
                <w:szCs w:val="16"/>
                <w:lang w:val="en-US"/>
              </w:rPr>
              <w:t xml:space="preserve"> </w:t>
            </w:r>
            <w:r w:rsidRPr="0074045D">
              <w:rPr>
                <w:sz w:val="16"/>
                <w:szCs w:val="16"/>
                <w:lang w:val="en-US"/>
              </w:rPr>
              <w:t>844</w:t>
            </w: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359</w:t>
            </w:r>
            <w:r>
              <w:rPr>
                <w:sz w:val="16"/>
                <w:szCs w:val="16"/>
                <w:lang w:val="en-US"/>
              </w:rPr>
              <w:t xml:space="preserve"> </w:t>
            </w:r>
            <w:r w:rsidRPr="0074045D">
              <w:rPr>
                <w:sz w:val="16"/>
                <w:szCs w:val="16"/>
                <w:lang w:val="en-US"/>
              </w:rPr>
              <w:t>799</w:t>
            </w:r>
          </w:p>
        </w:tc>
        <w:tc>
          <w:tcPr>
            <w:tcW w:w="1360" w:type="dxa"/>
            <w:shd w:val="clear" w:color="auto" w:fill="auto"/>
          </w:tcPr>
          <w:p w:rsidR="00DF2C8B" w:rsidRPr="0074045D" w:rsidRDefault="00DF2C8B" w:rsidP="006B3AD1">
            <w:pPr>
              <w:spacing w:before="60" w:after="60"/>
              <w:jc w:val="center"/>
              <w:rPr>
                <w:sz w:val="16"/>
                <w:szCs w:val="16"/>
                <w:lang w:val="en-US"/>
              </w:rPr>
            </w:pPr>
          </w:p>
        </w:tc>
        <w:tc>
          <w:tcPr>
            <w:tcW w:w="1122" w:type="dxa"/>
            <w:shd w:val="clear" w:color="auto" w:fill="auto"/>
          </w:tcPr>
          <w:p w:rsidR="00DF2C8B" w:rsidRPr="0074045D" w:rsidRDefault="00DF2C8B" w:rsidP="006B3AD1">
            <w:pPr>
              <w:spacing w:before="60" w:after="60"/>
              <w:jc w:val="center"/>
              <w:rPr>
                <w:sz w:val="16"/>
                <w:szCs w:val="16"/>
                <w:lang w:val="en-US"/>
              </w:rPr>
            </w:pPr>
          </w:p>
        </w:tc>
        <w:tc>
          <w:tcPr>
            <w:tcW w:w="1361" w:type="dxa"/>
            <w:shd w:val="clear" w:color="auto" w:fill="auto"/>
          </w:tcPr>
          <w:p w:rsidR="00DF2C8B" w:rsidRPr="0074045D" w:rsidRDefault="00DF2C8B" w:rsidP="006B3AD1">
            <w:pPr>
              <w:spacing w:before="60" w:after="60"/>
              <w:jc w:val="center"/>
              <w:rPr>
                <w:sz w:val="16"/>
                <w:szCs w:val="16"/>
                <w:lang w:val="en-US"/>
              </w:rPr>
            </w:pPr>
            <w:r w:rsidRPr="0074045D">
              <w:rPr>
                <w:sz w:val="16"/>
                <w:szCs w:val="16"/>
                <w:lang w:val="en-US"/>
              </w:rPr>
              <w:t>618</w:t>
            </w:r>
            <w:r>
              <w:rPr>
                <w:sz w:val="16"/>
                <w:szCs w:val="16"/>
                <w:lang w:val="en-US"/>
              </w:rPr>
              <w:t xml:space="preserve"> </w:t>
            </w:r>
            <w:r w:rsidRPr="0074045D">
              <w:rPr>
                <w:sz w:val="16"/>
                <w:szCs w:val="16"/>
                <w:lang w:val="en-US"/>
              </w:rPr>
              <w:t>194</w:t>
            </w:r>
          </w:p>
        </w:tc>
        <w:tc>
          <w:tcPr>
            <w:tcW w:w="1129" w:type="dxa"/>
            <w:vAlign w:val="bottom"/>
          </w:tcPr>
          <w:p w:rsidR="00DF2C8B" w:rsidRPr="00D44252" w:rsidRDefault="00DF2C8B" w:rsidP="006B3AD1">
            <w:pPr>
              <w:spacing w:before="60" w:after="60"/>
              <w:jc w:val="right"/>
              <w:rPr>
                <w:color w:val="000000"/>
                <w:sz w:val="16"/>
                <w:szCs w:val="16"/>
              </w:rPr>
            </w:pPr>
            <w:r w:rsidRPr="00D44252">
              <w:rPr>
                <w:color w:val="000000"/>
                <w:sz w:val="16"/>
                <w:szCs w:val="16"/>
              </w:rPr>
              <w:t>2</w:t>
            </w:r>
            <w:r w:rsidR="00D44252" w:rsidRPr="00D44252">
              <w:rPr>
                <w:color w:val="000000"/>
                <w:sz w:val="16"/>
                <w:szCs w:val="16"/>
              </w:rPr>
              <w:t xml:space="preserve"> </w:t>
            </w:r>
            <w:r w:rsidRPr="00D44252">
              <w:rPr>
                <w:color w:val="000000"/>
                <w:sz w:val="16"/>
                <w:szCs w:val="16"/>
              </w:rPr>
              <w:t>607</w:t>
            </w:r>
            <w:r w:rsidR="00D44252" w:rsidRPr="00D44252">
              <w:rPr>
                <w:color w:val="000000"/>
                <w:sz w:val="16"/>
                <w:szCs w:val="16"/>
              </w:rPr>
              <w:t xml:space="preserve"> </w:t>
            </w:r>
            <w:r w:rsidRPr="00D44252">
              <w:rPr>
                <w:color w:val="000000"/>
                <w:sz w:val="16"/>
                <w:szCs w:val="16"/>
              </w:rPr>
              <w:t>170</w:t>
            </w:r>
          </w:p>
        </w:tc>
      </w:tr>
      <w:tr w:rsidR="007C39E8" w:rsidRPr="0074045D" w:rsidTr="007C39E8">
        <w:tc>
          <w:tcPr>
            <w:tcW w:w="1110" w:type="dxa"/>
            <w:shd w:val="clear" w:color="auto" w:fill="auto"/>
          </w:tcPr>
          <w:p w:rsidR="007C39E8" w:rsidRPr="0074045D" w:rsidRDefault="007C39E8" w:rsidP="006B3AD1">
            <w:pPr>
              <w:spacing w:before="60" w:after="60"/>
              <w:jc w:val="center"/>
              <w:rPr>
                <w:sz w:val="16"/>
                <w:szCs w:val="16"/>
                <w:lang w:val="en-US"/>
              </w:rPr>
            </w:pPr>
            <w:r>
              <w:rPr>
                <w:sz w:val="16"/>
                <w:szCs w:val="16"/>
                <w:lang w:val="en-US"/>
              </w:rPr>
              <w:t>2013-14</w:t>
            </w:r>
          </w:p>
        </w:tc>
        <w:tc>
          <w:tcPr>
            <w:tcW w:w="1133" w:type="dxa"/>
            <w:shd w:val="clear" w:color="auto" w:fill="auto"/>
          </w:tcPr>
          <w:p w:rsidR="007C39E8" w:rsidRDefault="007C39E8" w:rsidP="006B3AD1">
            <w:pPr>
              <w:spacing w:before="60" w:after="60"/>
              <w:jc w:val="center"/>
              <w:rPr>
                <w:sz w:val="16"/>
                <w:szCs w:val="16"/>
                <w:lang w:val="en-US"/>
              </w:rPr>
            </w:pPr>
            <w:r>
              <w:rPr>
                <w:sz w:val="16"/>
                <w:szCs w:val="16"/>
                <w:lang w:val="en-US"/>
              </w:rPr>
              <w:t>29 393</w:t>
            </w:r>
          </w:p>
        </w:tc>
        <w:tc>
          <w:tcPr>
            <w:tcW w:w="1361" w:type="dxa"/>
            <w:shd w:val="clear" w:color="auto" w:fill="auto"/>
          </w:tcPr>
          <w:p w:rsidR="007C39E8" w:rsidRPr="0074045D" w:rsidRDefault="007C39E8" w:rsidP="006B3AD1">
            <w:pPr>
              <w:spacing w:before="60" w:after="60"/>
              <w:jc w:val="center"/>
              <w:rPr>
                <w:sz w:val="16"/>
                <w:szCs w:val="16"/>
                <w:lang w:val="en-US"/>
              </w:rPr>
            </w:pPr>
            <w:r>
              <w:rPr>
                <w:sz w:val="16"/>
                <w:szCs w:val="16"/>
                <w:lang w:val="en-US"/>
              </w:rPr>
              <w:t>1 555 923</w:t>
            </w:r>
          </w:p>
        </w:tc>
        <w:tc>
          <w:tcPr>
            <w:tcW w:w="1365" w:type="dxa"/>
            <w:shd w:val="clear" w:color="auto" w:fill="auto"/>
          </w:tcPr>
          <w:p w:rsidR="007C39E8" w:rsidRPr="0074045D" w:rsidRDefault="007C39E8" w:rsidP="006B3AD1">
            <w:pPr>
              <w:spacing w:before="60" w:after="60"/>
              <w:jc w:val="center"/>
              <w:rPr>
                <w:sz w:val="16"/>
                <w:szCs w:val="16"/>
                <w:lang w:val="en-US"/>
              </w:rPr>
            </w:pPr>
            <w:r>
              <w:rPr>
                <w:sz w:val="16"/>
                <w:szCs w:val="16"/>
                <w:lang w:val="en-US"/>
              </w:rPr>
              <w:t>11 846</w:t>
            </w:r>
          </w:p>
        </w:tc>
        <w:tc>
          <w:tcPr>
            <w:tcW w:w="1361" w:type="dxa"/>
            <w:shd w:val="clear" w:color="auto" w:fill="auto"/>
          </w:tcPr>
          <w:p w:rsidR="007C39E8" w:rsidRPr="0074045D" w:rsidRDefault="007C39E8" w:rsidP="006B3AD1">
            <w:pPr>
              <w:spacing w:before="60" w:after="60"/>
              <w:jc w:val="center"/>
              <w:rPr>
                <w:sz w:val="16"/>
                <w:szCs w:val="16"/>
                <w:lang w:val="en-US"/>
              </w:rPr>
            </w:pPr>
            <w:r>
              <w:rPr>
                <w:sz w:val="16"/>
                <w:szCs w:val="16"/>
                <w:lang w:val="en-US"/>
              </w:rPr>
              <w:t>44 362</w:t>
            </w:r>
          </w:p>
        </w:tc>
        <w:tc>
          <w:tcPr>
            <w:tcW w:w="1361" w:type="dxa"/>
            <w:shd w:val="clear" w:color="auto" w:fill="auto"/>
          </w:tcPr>
          <w:p w:rsidR="007C39E8" w:rsidRPr="0074045D" w:rsidRDefault="007C39E8" w:rsidP="006B3AD1">
            <w:pPr>
              <w:spacing w:before="60" w:after="60"/>
              <w:jc w:val="center"/>
              <w:rPr>
                <w:sz w:val="16"/>
                <w:szCs w:val="16"/>
                <w:lang w:val="en-US"/>
              </w:rPr>
            </w:pPr>
          </w:p>
        </w:tc>
        <w:tc>
          <w:tcPr>
            <w:tcW w:w="1361" w:type="dxa"/>
            <w:shd w:val="clear" w:color="auto" w:fill="auto"/>
          </w:tcPr>
          <w:p w:rsidR="007C39E8" w:rsidRPr="0074045D" w:rsidRDefault="007C39E8" w:rsidP="006B3AD1">
            <w:pPr>
              <w:spacing w:before="60" w:after="60"/>
              <w:jc w:val="center"/>
              <w:rPr>
                <w:sz w:val="16"/>
                <w:szCs w:val="16"/>
                <w:lang w:val="en-US"/>
              </w:rPr>
            </w:pPr>
            <w:r>
              <w:rPr>
                <w:sz w:val="16"/>
                <w:szCs w:val="16"/>
                <w:lang w:val="en-US"/>
              </w:rPr>
              <w:t>5 988</w:t>
            </w:r>
          </w:p>
        </w:tc>
        <w:tc>
          <w:tcPr>
            <w:tcW w:w="1361" w:type="dxa"/>
            <w:shd w:val="clear" w:color="auto" w:fill="auto"/>
          </w:tcPr>
          <w:p w:rsidR="007C39E8" w:rsidRPr="0074045D" w:rsidRDefault="007C39E8" w:rsidP="006B3AD1">
            <w:pPr>
              <w:spacing w:before="60" w:after="60"/>
              <w:jc w:val="center"/>
              <w:rPr>
                <w:sz w:val="16"/>
                <w:szCs w:val="16"/>
                <w:lang w:val="en-US"/>
              </w:rPr>
            </w:pPr>
            <w:r>
              <w:rPr>
                <w:sz w:val="16"/>
                <w:szCs w:val="16"/>
                <w:lang w:val="en-US"/>
              </w:rPr>
              <w:t>300 140</w:t>
            </w:r>
          </w:p>
        </w:tc>
        <w:tc>
          <w:tcPr>
            <w:tcW w:w="1360" w:type="dxa"/>
            <w:shd w:val="clear" w:color="auto" w:fill="auto"/>
          </w:tcPr>
          <w:p w:rsidR="007C39E8" w:rsidRPr="0074045D" w:rsidRDefault="007C39E8" w:rsidP="006B3AD1">
            <w:pPr>
              <w:spacing w:before="60" w:after="60"/>
              <w:jc w:val="center"/>
              <w:rPr>
                <w:sz w:val="16"/>
                <w:szCs w:val="16"/>
                <w:lang w:val="en-US"/>
              </w:rPr>
            </w:pPr>
          </w:p>
        </w:tc>
        <w:tc>
          <w:tcPr>
            <w:tcW w:w="1122" w:type="dxa"/>
            <w:shd w:val="clear" w:color="auto" w:fill="auto"/>
          </w:tcPr>
          <w:p w:rsidR="007C39E8" w:rsidRPr="0074045D" w:rsidRDefault="007C39E8" w:rsidP="006B3AD1">
            <w:pPr>
              <w:spacing w:before="60" w:after="60"/>
              <w:jc w:val="center"/>
              <w:rPr>
                <w:sz w:val="16"/>
                <w:szCs w:val="16"/>
                <w:lang w:val="en-US"/>
              </w:rPr>
            </w:pPr>
          </w:p>
        </w:tc>
        <w:tc>
          <w:tcPr>
            <w:tcW w:w="1361" w:type="dxa"/>
            <w:shd w:val="clear" w:color="auto" w:fill="auto"/>
          </w:tcPr>
          <w:p w:rsidR="007C39E8" w:rsidRPr="0074045D" w:rsidRDefault="007C39E8" w:rsidP="006B3AD1">
            <w:pPr>
              <w:spacing w:before="60" w:after="60"/>
              <w:jc w:val="center"/>
              <w:rPr>
                <w:sz w:val="16"/>
                <w:szCs w:val="16"/>
                <w:lang w:val="en-US"/>
              </w:rPr>
            </w:pPr>
            <w:r>
              <w:rPr>
                <w:sz w:val="16"/>
                <w:szCs w:val="16"/>
                <w:lang w:val="en-US"/>
              </w:rPr>
              <w:t>826 899</w:t>
            </w:r>
          </w:p>
        </w:tc>
        <w:tc>
          <w:tcPr>
            <w:tcW w:w="1129" w:type="dxa"/>
            <w:vAlign w:val="bottom"/>
          </w:tcPr>
          <w:p w:rsidR="007C39E8" w:rsidRPr="00D44252" w:rsidRDefault="007C39E8" w:rsidP="006B3AD1">
            <w:pPr>
              <w:spacing w:before="60" w:after="60"/>
              <w:jc w:val="right"/>
              <w:rPr>
                <w:color w:val="000000"/>
                <w:sz w:val="16"/>
                <w:szCs w:val="16"/>
              </w:rPr>
            </w:pPr>
            <w:r w:rsidRPr="00D44252">
              <w:rPr>
                <w:color w:val="000000"/>
                <w:sz w:val="16"/>
                <w:szCs w:val="16"/>
              </w:rPr>
              <w:t xml:space="preserve">2 </w:t>
            </w:r>
            <w:r>
              <w:rPr>
                <w:color w:val="000000"/>
                <w:sz w:val="16"/>
                <w:szCs w:val="16"/>
              </w:rPr>
              <w:t>774</w:t>
            </w:r>
            <w:r w:rsidRPr="00D44252">
              <w:rPr>
                <w:color w:val="000000"/>
                <w:sz w:val="16"/>
                <w:szCs w:val="16"/>
              </w:rPr>
              <w:t xml:space="preserve"> </w:t>
            </w:r>
            <w:r>
              <w:rPr>
                <w:color w:val="000000"/>
                <w:sz w:val="16"/>
                <w:szCs w:val="16"/>
              </w:rPr>
              <w:t>551</w:t>
            </w:r>
          </w:p>
        </w:tc>
      </w:tr>
      <w:tr w:rsidR="00DF2C8B" w:rsidRPr="0074045D" w:rsidTr="00DF2C8B">
        <w:tc>
          <w:tcPr>
            <w:tcW w:w="1110" w:type="dxa"/>
            <w:shd w:val="clear" w:color="auto" w:fill="auto"/>
          </w:tcPr>
          <w:p w:rsidR="00DF2C8B" w:rsidRPr="0074045D" w:rsidRDefault="003F1AA5" w:rsidP="006B3AD1">
            <w:pPr>
              <w:spacing w:before="60" w:after="60"/>
              <w:jc w:val="center"/>
              <w:rPr>
                <w:sz w:val="16"/>
                <w:szCs w:val="16"/>
                <w:lang w:val="en-US"/>
              </w:rPr>
            </w:pPr>
            <w:r>
              <w:rPr>
                <w:sz w:val="16"/>
                <w:szCs w:val="16"/>
                <w:lang w:val="en-US"/>
              </w:rPr>
              <w:t>20</w:t>
            </w:r>
            <w:r w:rsidR="00DF2C8B">
              <w:rPr>
                <w:sz w:val="16"/>
                <w:szCs w:val="16"/>
                <w:lang w:val="en-US"/>
              </w:rPr>
              <w:t>14-15</w:t>
            </w:r>
          </w:p>
        </w:tc>
        <w:tc>
          <w:tcPr>
            <w:tcW w:w="1133" w:type="dxa"/>
            <w:shd w:val="clear" w:color="auto" w:fill="auto"/>
          </w:tcPr>
          <w:p w:rsidR="00DF2C8B" w:rsidRDefault="00DF2C8B" w:rsidP="006B3AD1">
            <w:pPr>
              <w:spacing w:before="60" w:after="60"/>
              <w:jc w:val="center"/>
              <w:rPr>
                <w:sz w:val="16"/>
                <w:szCs w:val="16"/>
                <w:lang w:val="en-US"/>
              </w:rPr>
            </w:pPr>
            <w:r>
              <w:rPr>
                <w:sz w:val="16"/>
                <w:szCs w:val="16"/>
                <w:lang w:val="en-US"/>
              </w:rPr>
              <w:t>46 236</w:t>
            </w:r>
          </w:p>
        </w:tc>
        <w:tc>
          <w:tcPr>
            <w:tcW w:w="1361" w:type="dxa"/>
            <w:shd w:val="clear" w:color="auto" w:fill="auto"/>
          </w:tcPr>
          <w:p w:rsidR="00DF2C8B" w:rsidRPr="0074045D" w:rsidRDefault="00DF2C8B" w:rsidP="006B3AD1">
            <w:pPr>
              <w:spacing w:before="60" w:after="60"/>
              <w:jc w:val="center"/>
              <w:rPr>
                <w:sz w:val="16"/>
                <w:szCs w:val="16"/>
                <w:lang w:val="en-US"/>
              </w:rPr>
            </w:pPr>
            <w:r>
              <w:rPr>
                <w:sz w:val="16"/>
                <w:szCs w:val="16"/>
                <w:lang w:val="en-US"/>
              </w:rPr>
              <w:t>1 561 838</w:t>
            </w:r>
          </w:p>
        </w:tc>
        <w:tc>
          <w:tcPr>
            <w:tcW w:w="1365" w:type="dxa"/>
            <w:shd w:val="clear" w:color="auto" w:fill="auto"/>
          </w:tcPr>
          <w:p w:rsidR="00DF2C8B" w:rsidRPr="0074045D" w:rsidRDefault="007C39E8" w:rsidP="006B3AD1">
            <w:pPr>
              <w:spacing w:before="60" w:after="60"/>
              <w:jc w:val="center"/>
              <w:rPr>
                <w:sz w:val="16"/>
                <w:szCs w:val="16"/>
                <w:lang w:val="en-US"/>
              </w:rPr>
            </w:pPr>
            <w:r>
              <w:rPr>
                <w:sz w:val="16"/>
                <w:szCs w:val="16"/>
                <w:lang w:val="en-US"/>
              </w:rPr>
              <w:t>11</w:t>
            </w:r>
            <w:r w:rsidR="00DF2C8B">
              <w:rPr>
                <w:sz w:val="16"/>
                <w:szCs w:val="16"/>
                <w:lang w:val="en-US"/>
              </w:rPr>
              <w:t xml:space="preserve"> </w:t>
            </w:r>
            <w:r>
              <w:rPr>
                <w:sz w:val="16"/>
                <w:szCs w:val="16"/>
                <w:lang w:val="en-US"/>
              </w:rPr>
              <w:t>846</w:t>
            </w:r>
          </w:p>
        </w:tc>
        <w:tc>
          <w:tcPr>
            <w:tcW w:w="1361" w:type="dxa"/>
            <w:shd w:val="clear" w:color="auto" w:fill="auto"/>
          </w:tcPr>
          <w:p w:rsidR="00DF2C8B" w:rsidRPr="0074045D" w:rsidRDefault="00DF2C8B" w:rsidP="006B3AD1">
            <w:pPr>
              <w:spacing w:before="60" w:after="60"/>
              <w:jc w:val="center"/>
              <w:rPr>
                <w:sz w:val="16"/>
                <w:szCs w:val="16"/>
                <w:lang w:val="en-US"/>
              </w:rPr>
            </w:pPr>
            <w:r>
              <w:rPr>
                <w:sz w:val="16"/>
                <w:szCs w:val="16"/>
                <w:lang w:val="en-US"/>
              </w:rPr>
              <w:t>38 104</w:t>
            </w:r>
          </w:p>
        </w:tc>
        <w:tc>
          <w:tcPr>
            <w:tcW w:w="1361" w:type="dxa"/>
            <w:shd w:val="clear" w:color="auto" w:fill="auto"/>
          </w:tcPr>
          <w:p w:rsidR="00DF2C8B" w:rsidRPr="0074045D" w:rsidRDefault="00DF2C8B" w:rsidP="006B3AD1">
            <w:pPr>
              <w:spacing w:before="60" w:after="60"/>
              <w:jc w:val="center"/>
              <w:rPr>
                <w:sz w:val="16"/>
                <w:szCs w:val="16"/>
                <w:lang w:val="en-US"/>
              </w:rPr>
            </w:pPr>
          </w:p>
        </w:tc>
        <w:tc>
          <w:tcPr>
            <w:tcW w:w="1361" w:type="dxa"/>
            <w:shd w:val="clear" w:color="auto" w:fill="auto"/>
          </w:tcPr>
          <w:p w:rsidR="00DF2C8B" w:rsidRPr="0074045D" w:rsidRDefault="00DF2C8B" w:rsidP="006B3AD1">
            <w:pPr>
              <w:spacing w:before="60" w:after="60"/>
              <w:jc w:val="center"/>
              <w:rPr>
                <w:sz w:val="16"/>
                <w:szCs w:val="16"/>
                <w:lang w:val="en-US"/>
              </w:rPr>
            </w:pPr>
            <w:r>
              <w:rPr>
                <w:sz w:val="16"/>
                <w:szCs w:val="16"/>
                <w:lang w:val="en-US"/>
              </w:rPr>
              <w:t>3 550</w:t>
            </w:r>
          </w:p>
        </w:tc>
        <w:tc>
          <w:tcPr>
            <w:tcW w:w="1361" w:type="dxa"/>
            <w:shd w:val="clear" w:color="auto" w:fill="auto"/>
          </w:tcPr>
          <w:p w:rsidR="00DF2C8B" w:rsidRPr="0074045D" w:rsidRDefault="00DF2C8B" w:rsidP="006B3AD1">
            <w:pPr>
              <w:spacing w:before="60" w:after="60"/>
              <w:jc w:val="center"/>
              <w:rPr>
                <w:sz w:val="16"/>
                <w:szCs w:val="16"/>
                <w:lang w:val="en-US"/>
              </w:rPr>
            </w:pPr>
            <w:r>
              <w:rPr>
                <w:sz w:val="16"/>
                <w:szCs w:val="16"/>
                <w:lang w:val="en-US"/>
              </w:rPr>
              <w:t>388 336</w:t>
            </w:r>
          </w:p>
        </w:tc>
        <w:tc>
          <w:tcPr>
            <w:tcW w:w="1360" w:type="dxa"/>
            <w:shd w:val="clear" w:color="auto" w:fill="auto"/>
          </w:tcPr>
          <w:p w:rsidR="00DF2C8B" w:rsidRPr="0074045D" w:rsidRDefault="00DF2C8B" w:rsidP="006B3AD1">
            <w:pPr>
              <w:spacing w:before="60" w:after="60"/>
              <w:jc w:val="center"/>
              <w:rPr>
                <w:sz w:val="16"/>
                <w:szCs w:val="16"/>
                <w:lang w:val="en-US"/>
              </w:rPr>
            </w:pPr>
          </w:p>
        </w:tc>
        <w:tc>
          <w:tcPr>
            <w:tcW w:w="1122" w:type="dxa"/>
            <w:shd w:val="clear" w:color="auto" w:fill="auto"/>
          </w:tcPr>
          <w:p w:rsidR="00DF2C8B" w:rsidRPr="0074045D" w:rsidRDefault="00DF2C8B" w:rsidP="006B3AD1">
            <w:pPr>
              <w:spacing w:before="60" w:after="60"/>
              <w:jc w:val="center"/>
              <w:rPr>
                <w:sz w:val="16"/>
                <w:szCs w:val="16"/>
                <w:lang w:val="en-US"/>
              </w:rPr>
            </w:pPr>
          </w:p>
        </w:tc>
        <w:tc>
          <w:tcPr>
            <w:tcW w:w="1361" w:type="dxa"/>
            <w:shd w:val="clear" w:color="auto" w:fill="auto"/>
          </w:tcPr>
          <w:p w:rsidR="00DF2C8B" w:rsidRPr="0074045D" w:rsidRDefault="00DF2C8B" w:rsidP="006B3AD1">
            <w:pPr>
              <w:spacing w:before="60" w:after="60"/>
              <w:jc w:val="center"/>
              <w:rPr>
                <w:sz w:val="16"/>
                <w:szCs w:val="16"/>
                <w:lang w:val="en-US"/>
              </w:rPr>
            </w:pPr>
            <w:r>
              <w:rPr>
                <w:sz w:val="16"/>
                <w:szCs w:val="16"/>
                <w:lang w:val="en-US"/>
              </w:rPr>
              <w:t>773 933</w:t>
            </w:r>
          </w:p>
        </w:tc>
        <w:tc>
          <w:tcPr>
            <w:tcW w:w="1129" w:type="dxa"/>
            <w:vAlign w:val="bottom"/>
          </w:tcPr>
          <w:p w:rsidR="00DF2C8B" w:rsidRPr="00D44252" w:rsidRDefault="00DF2C8B" w:rsidP="006B3AD1">
            <w:pPr>
              <w:spacing w:before="60" w:after="60"/>
              <w:jc w:val="right"/>
              <w:rPr>
                <w:color w:val="000000"/>
                <w:sz w:val="16"/>
                <w:szCs w:val="16"/>
              </w:rPr>
            </w:pPr>
            <w:r w:rsidRPr="00D44252">
              <w:rPr>
                <w:color w:val="000000"/>
                <w:sz w:val="16"/>
                <w:szCs w:val="16"/>
              </w:rPr>
              <w:t>2</w:t>
            </w:r>
            <w:r w:rsidR="00D44252" w:rsidRPr="00D44252">
              <w:rPr>
                <w:color w:val="000000"/>
                <w:sz w:val="16"/>
                <w:szCs w:val="16"/>
              </w:rPr>
              <w:t xml:space="preserve"> </w:t>
            </w:r>
            <w:r w:rsidRPr="00D44252">
              <w:rPr>
                <w:color w:val="000000"/>
                <w:sz w:val="16"/>
                <w:szCs w:val="16"/>
              </w:rPr>
              <w:t>8</w:t>
            </w:r>
            <w:r w:rsidR="007C39E8">
              <w:rPr>
                <w:color w:val="000000"/>
                <w:sz w:val="16"/>
                <w:szCs w:val="16"/>
              </w:rPr>
              <w:t>23</w:t>
            </w:r>
            <w:r w:rsidR="00D44252" w:rsidRPr="00D44252">
              <w:rPr>
                <w:color w:val="000000"/>
                <w:sz w:val="16"/>
                <w:szCs w:val="16"/>
              </w:rPr>
              <w:t xml:space="preserve"> </w:t>
            </w:r>
            <w:r w:rsidR="007C39E8">
              <w:rPr>
                <w:color w:val="000000"/>
                <w:sz w:val="16"/>
                <w:szCs w:val="16"/>
              </w:rPr>
              <w:t>843</w:t>
            </w:r>
          </w:p>
        </w:tc>
      </w:tr>
    </w:tbl>
    <w:p w:rsidR="00856AE8" w:rsidRDefault="00856AE8" w:rsidP="003F1AA5">
      <w:pPr>
        <w:pStyle w:val="textbasic"/>
      </w:pPr>
    </w:p>
    <w:p w:rsidR="00856AE8" w:rsidRDefault="00856AE8" w:rsidP="003F1AA5">
      <w:pPr>
        <w:pStyle w:val="textbasic"/>
        <w:sectPr w:rsidR="00856AE8" w:rsidSect="00DF2C8B">
          <w:footerReference w:type="default" r:id="rId22"/>
          <w:pgSz w:w="16838" w:h="11906" w:orient="landscape"/>
          <w:pgMar w:top="1276" w:right="1440" w:bottom="1440" w:left="1440" w:header="708" w:footer="708" w:gutter="0"/>
          <w:cols w:space="708"/>
          <w:docGrid w:linePitch="360"/>
        </w:sectPr>
      </w:pPr>
    </w:p>
    <w:p w:rsidR="00E823F5" w:rsidRDefault="00F67F05" w:rsidP="00F67F05">
      <w:pPr>
        <w:pStyle w:val="Heading1"/>
      </w:pPr>
      <w:bookmarkStart w:id="115" w:name="_Toc443486980"/>
      <w:r>
        <w:lastRenderedPageBreak/>
        <w:t xml:space="preserve">Appendix </w:t>
      </w:r>
      <w:r w:rsidR="00856AE8">
        <w:t>6</w:t>
      </w:r>
      <w:r>
        <w:t xml:space="preserve"> – Electorate Offices and Staff</w:t>
      </w:r>
      <w:bookmarkEnd w:id="115"/>
    </w:p>
    <w:p w:rsidR="00F67F05" w:rsidRDefault="00F67F05" w:rsidP="00D95A63">
      <w:pPr>
        <w:spacing w:after="120"/>
        <w:jc w:val="both"/>
        <w:rPr>
          <w:sz w:val="18"/>
          <w:szCs w:val="18"/>
          <w:lang w:val="en-US"/>
        </w:rPr>
      </w:pPr>
    </w:p>
    <w:p w:rsidR="00952FE2" w:rsidRPr="00952FE2" w:rsidRDefault="00952FE2" w:rsidP="00952FE2">
      <w:pPr>
        <w:pStyle w:val="textbasic"/>
        <w:rPr>
          <w:b/>
        </w:rPr>
      </w:pPr>
      <w:r w:rsidRPr="00952FE2">
        <w:rPr>
          <w:b/>
        </w:rPr>
        <w:t>New South Wales</w:t>
      </w:r>
    </w:p>
    <w:p w:rsidR="00952FE2" w:rsidRPr="00952FE2" w:rsidRDefault="00952FE2" w:rsidP="00952FE2">
      <w:pPr>
        <w:pStyle w:val="textbasic"/>
      </w:pPr>
      <w:r>
        <w:rPr>
          <w:bCs/>
        </w:rPr>
        <w:t xml:space="preserve">Section 5.6 of the </w:t>
      </w:r>
      <w:r w:rsidRPr="00C51BA2">
        <w:rPr>
          <w:bCs/>
          <w:i/>
        </w:rPr>
        <w:t>NSW Parliamentary Remuneration Tribunal Annual Report and Determination</w:t>
      </w:r>
      <w:r w:rsidR="00C51BA2">
        <w:rPr>
          <w:bCs/>
        </w:rPr>
        <w:t>,</w:t>
      </w:r>
      <w:r>
        <w:rPr>
          <w:bCs/>
        </w:rPr>
        <w:t xml:space="preserve"> 28</w:t>
      </w:r>
      <w:r w:rsidR="00C51BA2">
        <w:rPr>
          <w:bCs/>
        </w:rPr>
        <w:t> </w:t>
      </w:r>
      <w:r>
        <w:rPr>
          <w:bCs/>
        </w:rPr>
        <w:t>August 2015</w:t>
      </w:r>
      <w:r w:rsidR="00C51BA2">
        <w:rPr>
          <w:bCs/>
        </w:rPr>
        <w:t>,</w:t>
      </w:r>
      <w:r>
        <w:rPr>
          <w:bCs/>
        </w:rPr>
        <w:t xml:space="preserve"> provides that</w:t>
      </w:r>
      <w:r w:rsidR="00C51BA2">
        <w:rPr>
          <w:bCs/>
        </w:rPr>
        <w:t>:</w:t>
      </w:r>
    </w:p>
    <w:p w:rsidR="00952FE2" w:rsidRDefault="00E466E3" w:rsidP="00E466E3">
      <w:pPr>
        <w:pStyle w:val="texti"/>
        <w:tabs>
          <w:tab w:val="left" w:pos="142"/>
        </w:tabs>
        <w:ind w:hanging="709"/>
      </w:pPr>
      <w:r>
        <w:t>“</w:t>
      </w:r>
      <w:r>
        <w:tab/>
      </w:r>
      <w:r w:rsidR="00952FE2">
        <w:t xml:space="preserve">3.1 </w:t>
      </w:r>
      <w:r w:rsidR="00952FE2">
        <w:tab/>
        <w:t>Subject to (3.2) below, each Member of the Legislative Assembly shall have two staff members employed at each electora</w:t>
      </w:r>
      <w:r w:rsidR="00513633">
        <w:t>te</w:t>
      </w:r>
      <w:r w:rsidR="00952FE2">
        <w:t xml:space="preserve"> office. </w:t>
      </w:r>
    </w:p>
    <w:p w:rsidR="00952FE2" w:rsidRDefault="00952FE2" w:rsidP="00E466E3">
      <w:pPr>
        <w:pStyle w:val="texti"/>
      </w:pPr>
      <w:r>
        <w:t xml:space="preserve">3.2 </w:t>
      </w:r>
      <w:r>
        <w:tab/>
        <w:t>Each Member of the Legislative Assembly elected as an Independent or a Cross Bench Member shall have an additional staff member employed at his/her electora</w:t>
      </w:r>
      <w:r w:rsidR="00513633">
        <w:t>te</w:t>
      </w:r>
      <w:r>
        <w:t xml:space="preserve"> office. </w:t>
      </w:r>
    </w:p>
    <w:p w:rsidR="00952FE2" w:rsidRDefault="00952FE2" w:rsidP="00E466E3">
      <w:pPr>
        <w:pStyle w:val="texti"/>
      </w:pPr>
      <w:r>
        <w:t xml:space="preserve">3.3 </w:t>
      </w:r>
      <w:r>
        <w:tab/>
        <w:t xml:space="preserve">Each Member of the Legislative Assembly, not elected as an Independent or a Cross Bench Member, shall be provided with an annual budget specific for the recruitment of temporary staff. The budget is to provide for an additional staff member to be employed in the electorate office or at Parliament House. The budget is to be the equivalent of the salary of a Senior Electorate Officer for a period of 70 days per annum. Within this budget, Members have the flexibility to use this entitlement to employ additional staff. </w:t>
      </w:r>
    </w:p>
    <w:p w:rsidR="00952FE2" w:rsidRDefault="00952FE2" w:rsidP="00E466E3">
      <w:pPr>
        <w:pStyle w:val="texti"/>
      </w:pPr>
      <w:r>
        <w:t xml:space="preserve">3.4 </w:t>
      </w:r>
      <w:r>
        <w:tab/>
        <w:t xml:space="preserve">Each Member of the Legislative Council, who is not a Minister, shall be entitled to one staff member. When the staff member is on annual recreation leave or other extended period of leave, a relief staff member may be employed for the period of absence. </w:t>
      </w:r>
    </w:p>
    <w:p w:rsidR="00952FE2" w:rsidRDefault="00952FE2" w:rsidP="00E466E3">
      <w:pPr>
        <w:pStyle w:val="texti"/>
      </w:pPr>
      <w:r>
        <w:t xml:space="preserve">3.5 </w:t>
      </w:r>
      <w:r>
        <w:tab/>
        <w:t xml:space="preserve">Each Member of the Legislative Council, who is not a Minister, and who is elected as a cross bench Member shall be entitled to two staff members. </w:t>
      </w:r>
    </w:p>
    <w:p w:rsidR="00952FE2" w:rsidRDefault="00952FE2" w:rsidP="00E466E3">
      <w:pPr>
        <w:pStyle w:val="texti"/>
      </w:pPr>
      <w:r>
        <w:t xml:space="preserve">3.6 </w:t>
      </w:r>
      <w:r>
        <w:tab/>
        <w:t xml:space="preserve">Ministers shall receive a reasonable allocation of staff members. </w:t>
      </w:r>
    </w:p>
    <w:p w:rsidR="00952FE2" w:rsidRDefault="00952FE2" w:rsidP="00E466E3">
      <w:pPr>
        <w:pStyle w:val="texti"/>
      </w:pPr>
      <w:r>
        <w:t xml:space="preserve">3.7 </w:t>
      </w:r>
      <w:r>
        <w:tab/>
        <w:t xml:space="preserve">The Whip of each recognised political party of not less than 10 Members to each be provided with one member of staff. </w:t>
      </w:r>
    </w:p>
    <w:p w:rsidR="00E466E3" w:rsidRPr="00E466E3" w:rsidRDefault="00952FE2" w:rsidP="00E466E3">
      <w:pPr>
        <w:pStyle w:val="texti"/>
        <w:rPr>
          <w:rStyle w:val="quoteitalicsChar"/>
          <w:i w:val="0"/>
        </w:rPr>
      </w:pPr>
      <w:r>
        <w:t xml:space="preserve">3.8 </w:t>
      </w:r>
      <w:r>
        <w:tab/>
        <w:t xml:space="preserve">This provision specifies the minimum staffing required in electorate offices. Nothing </w:t>
      </w:r>
      <w:r w:rsidRPr="00E466E3">
        <w:rPr>
          <w:rStyle w:val="quoteitalicsChar"/>
        </w:rPr>
        <w:t>in this Determination removes from the employer of staff the obligations arising under the Work Health and Safety Act 2011</w:t>
      </w:r>
      <w:r w:rsidR="00E466E3" w:rsidRPr="00E466E3">
        <w:rPr>
          <w:rStyle w:val="quoteitalicsChar"/>
          <w:i w:val="0"/>
        </w:rPr>
        <w:t>”</w:t>
      </w:r>
      <w:r w:rsidRPr="00E466E3">
        <w:rPr>
          <w:rStyle w:val="quoteitalicsChar"/>
          <w:i w:val="0"/>
        </w:rPr>
        <w:t>.</w:t>
      </w:r>
    </w:p>
    <w:p w:rsidR="00402F0A" w:rsidRPr="0027293D" w:rsidRDefault="00402F0A" w:rsidP="00402F0A">
      <w:pPr>
        <w:pStyle w:val="textbasic"/>
        <w:rPr>
          <w:b/>
        </w:rPr>
      </w:pPr>
      <w:r w:rsidRPr="0027293D">
        <w:rPr>
          <w:b/>
        </w:rPr>
        <w:t>Northern Territory</w:t>
      </w:r>
    </w:p>
    <w:p w:rsidR="00402F0A" w:rsidRDefault="00402F0A" w:rsidP="00402F0A">
      <w:pPr>
        <w:pStyle w:val="textbasic"/>
      </w:pPr>
      <w:r>
        <w:t xml:space="preserve">Clause 13 of the </w:t>
      </w:r>
      <w:r w:rsidRPr="00C51BA2">
        <w:rPr>
          <w:i/>
        </w:rPr>
        <w:t>Report and Determination No. 1 of 2015</w:t>
      </w:r>
      <w:r>
        <w:rPr>
          <w:i/>
        </w:rPr>
        <w:t xml:space="preserve"> </w:t>
      </w:r>
      <w:r w:rsidRPr="00C51BA2">
        <w:rPr>
          <w:i/>
        </w:rPr>
        <w:t>- Salaries and Other Entitlements of Assembly Members</w:t>
      </w:r>
      <w:r w:rsidRPr="00C332E4">
        <w:t xml:space="preserve"> </w:t>
      </w:r>
      <w:r>
        <w:t>provides that:</w:t>
      </w:r>
    </w:p>
    <w:p w:rsidR="00402F0A" w:rsidRPr="00C332E4" w:rsidRDefault="00402F0A" w:rsidP="00402F0A">
      <w:pPr>
        <w:pStyle w:val="texti"/>
        <w:tabs>
          <w:tab w:val="left" w:pos="142"/>
        </w:tabs>
        <w:ind w:hanging="709"/>
      </w:pPr>
      <w:r>
        <w:t>“</w:t>
      </w:r>
      <w:r>
        <w:tab/>
      </w:r>
      <w:r w:rsidRPr="00C332E4">
        <w:t xml:space="preserve">13.1 </w:t>
      </w:r>
      <w:r>
        <w:tab/>
      </w:r>
      <w:r w:rsidRPr="00C332E4">
        <w:t>Except during a reasonable handover period where there is a changeover of employees,</w:t>
      </w:r>
      <w:r>
        <w:t xml:space="preserve"> </w:t>
      </w:r>
      <w:r w:rsidRPr="00C332E4">
        <w:t>during which time a Member may have two electorate officers or two liaison officers as the</w:t>
      </w:r>
      <w:r>
        <w:t xml:space="preserve"> </w:t>
      </w:r>
      <w:r w:rsidRPr="00C332E4">
        <w:t>case may be, a Member shall be entitled to the services of one full-time staff member as an</w:t>
      </w:r>
      <w:r>
        <w:t xml:space="preserve"> </w:t>
      </w:r>
      <w:r w:rsidRPr="00C332E4">
        <w:t>electorate officer.</w:t>
      </w:r>
    </w:p>
    <w:p w:rsidR="00402F0A" w:rsidRPr="00C332E4" w:rsidRDefault="00402F0A" w:rsidP="00402F0A">
      <w:pPr>
        <w:pStyle w:val="texti"/>
      </w:pPr>
      <w:r w:rsidRPr="00C332E4">
        <w:t xml:space="preserve">13.2 </w:t>
      </w:r>
      <w:r>
        <w:tab/>
      </w:r>
      <w:r w:rsidRPr="00C332E4">
        <w:t>Members are entitled to part</w:t>
      </w:r>
      <w:r>
        <w:t>-</w:t>
      </w:r>
      <w:r w:rsidRPr="00C332E4">
        <w:t>time electorate officer assistance for a total of 104 hours per</w:t>
      </w:r>
      <w:r>
        <w:t xml:space="preserve"> </w:t>
      </w:r>
      <w:r w:rsidRPr="00C332E4">
        <w:t>quarter and expiring at the end of each quarter.</w:t>
      </w:r>
    </w:p>
    <w:p w:rsidR="00402F0A" w:rsidRPr="00C332E4" w:rsidRDefault="00402F0A" w:rsidP="00402F0A">
      <w:pPr>
        <w:pStyle w:val="texti"/>
      </w:pPr>
      <w:r>
        <w:t>13.3</w:t>
      </w:r>
      <w:r>
        <w:tab/>
      </w:r>
      <w:r w:rsidRPr="00C332E4">
        <w:t>Additional part-time liaison officers are provided as follows:</w:t>
      </w:r>
    </w:p>
    <w:p w:rsidR="00402F0A" w:rsidRPr="00E466E3" w:rsidRDefault="00402F0A" w:rsidP="00402F0A">
      <w:pPr>
        <w:pStyle w:val="quoteitalics1"/>
        <w:numPr>
          <w:ilvl w:val="1"/>
          <w:numId w:val="2"/>
        </w:numPr>
        <w:rPr>
          <w:i w:val="0"/>
        </w:rPr>
      </w:pPr>
      <w:r w:rsidRPr="00E466E3">
        <w:rPr>
          <w:i w:val="0"/>
        </w:rPr>
        <w:t>the Member for Stuart is entitled to an additional part</w:t>
      </w:r>
      <w:r>
        <w:rPr>
          <w:i w:val="0"/>
        </w:rPr>
        <w:t>-</w:t>
      </w:r>
      <w:r w:rsidRPr="00E466E3">
        <w:rPr>
          <w:i w:val="0"/>
        </w:rPr>
        <w:t>time liaison officer for up to 30 hours per week located in Katherine;</w:t>
      </w:r>
    </w:p>
    <w:p w:rsidR="00402F0A" w:rsidRPr="00E466E3" w:rsidRDefault="00402F0A" w:rsidP="00402F0A">
      <w:pPr>
        <w:pStyle w:val="quoteitalics1"/>
        <w:numPr>
          <w:ilvl w:val="1"/>
          <w:numId w:val="2"/>
        </w:numPr>
        <w:rPr>
          <w:i w:val="0"/>
        </w:rPr>
      </w:pPr>
      <w:r w:rsidRPr="00E466E3">
        <w:rPr>
          <w:i w:val="0"/>
        </w:rPr>
        <w:lastRenderedPageBreak/>
        <w:t xml:space="preserve">the Member for Arafura is entitled to an additional part-time liaison officer for up </w:t>
      </w:r>
      <w:r w:rsidRPr="00E466E3">
        <w:rPr>
          <w:i w:val="0"/>
          <w:iCs/>
        </w:rPr>
        <w:t xml:space="preserve">to </w:t>
      </w:r>
      <w:r w:rsidRPr="00E466E3">
        <w:rPr>
          <w:i w:val="0"/>
        </w:rPr>
        <w:t>15 hours per week located in Maningrida;</w:t>
      </w:r>
    </w:p>
    <w:p w:rsidR="00402F0A" w:rsidRPr="00E466E3" w:rsidRDefault="00402F0A" w:rsidP="00402F0A">
      <w:pPr>
        <w:pStyle w:val="quoteitalics1"/>
        <w:numPr>
          <w:ilvl w:val="1"/>
          <w:numId w:val="2"/>
        </w:numPr>
        <w:rPr>
          <w:i w:val="0"/>
        </w:rPr>
      </w:pPr>
      <w:r w:rsidRPr="00E466E3">
        <w:rPr>
          <w:i w:val="0"/>
        </w:rPr>
        <w:t>the Member for Daly is entitled to an additional part</w:t>
      </w:r>
      <w:r>
        <w:rPr>
          <w:i w:val="0"/>
        </w:rPr>
        <w:t>-</w:t>
      </w:r>
      <w:r w:rsidRPr="00E466E3">
        <w:rPr>
          <w:i w:val="0"/>
        </w:rPr>
        <w:t>time liaison officer for up to 15 hours per week for the Thamarrurr Region;</w:t>
      </w:r>
    </w:p>
    <w:p w:rsidR="00402F0A" w:rsidRPr="00E466E3" w:rsidRDefault="00402F0A" w:rsidP="00402F0A">
      <w:pPr>
        <w:pStyle w:val="quoteitalics1"/>
        <w:numPr>
          <w:ilvl w:val="1"/>
          <w:numId w:val="2"/>
        </w:numPr>
        <w:rPr>
          <w:i w:val="0"/>
        </w:rPr>
      </w:pPr>
      <w:r w:rsidRPr="00E466E3">
        <w:rPr>
          <w:i w:val="0"/>
        </w:rPr>
        <w:t xml:space="preserve">the Member for Barkly is entitled to </w:t>
      </w:r>
      <w:r>
        <w:rPr>
          <w:i w:val="0"/>
        </w:rPr>
        <w:t xml:space="preserve">an </w:t>
      </w:r>
      <w:r w:rsidRPr="00E466E3">
        <w:rPr>
          <w:i w:val="0"/>
        </w:rPr>
        <w:t>additional part-time liaison officer for up to 15 hours per week located in Borroloola;</w:t>
      </w:r>
    </w:p>
    <w:p w:rsidR="00402F0A" w:rsidRPr="00E466E3" w:rsidRDefault="00402F0A" w:rsidP="00402F0A">
      <w:pPr>
        <w:pStyle w:val="quoteitalics1"/>
        <w:numPr>
          <w:ilvl w:val="1"/>
          <w:numId w:val="2"/>
        </w:numPr>
        <w:rPr>
          <w:i w:val="0"/>
        </w:rPr>
      </w:pPr>
      <w:r w:rsidRPr="00E466E3">
        <w:rPr>
          <w:i w:val="0"/>
        </w:rPr>
        <w:t xml:space="preserve">the Member for Arnhem is entitled to </w:t>
      </w:r>
      <w:r>
        <w:rPr>
          <w:i w:val="0"/>
        </w:rPr>
        <w:t xml:space="preserve">an </w:t>
      </w:r>
      <w:r w:rsidRPr="00E466E3">
        <w:rPr>
          <w:i w:val="0"/>
        </w:rPr>
        <w:t xml:space="preserve">additional part-time liaison officer for up </w:t>
      </w:r>
      <w:r w:rsidRPr="00E466E3">
        <w:rPr>
          <w:i w:val="0"/>
          <w:iCs/>
        </w:rPr>
        <w:t xml:space="preserve">to </w:t>
      </w:r>
      <w:r w:rsidRPr="00E466E3">
        <w:rPr>
          <w:i w:val="0"/>
        </w:rPr>
        <w:t xml:space="preserve">15 hours </w:t>
      </w:r>
      <w:r>
        <w:rPr>
          <w:i w:val="0"/>
        </w:rPr>
        <w:t xml:space="preserve">per week located </w:t>
      </w:r>
      <w:r w:rsidRPr="00E466E3">
        <w:rPr>
          <w:i w:val="0"/>
        </w:rPr>
        <w:t>in Groote Eylandt; and</w:t>
      </w:r>
    </w:p>
    <w:p w:rsidR="00402F0A" w:rsidRPr="00E466E3" w:rsidRDefault="00402F0A" w:rsidP="00402F0A">
      <w:pPr>
        <w:pStyle w:val="quoteitalics1"/>
        <w:rPr>
          <w:i w:val="0"/>
        </w:rPr>
      </w:pPr>
      <w:r w:rsidRPr="00E466E3">
        <w:rPr>
          <w:i w:val="0"/>
        </w:rPr>
        <w:t>such officers to be employed by the Northern Territory Government.</w:t>
      </w:r>
    </w:p>
    <w:p w:rsidR="00402F0A" w:rsidRPr="00C332E4" w:rsidRDefault="00402F0A" w:rsidP="00402F0A">
      <w:pPr>
        <w:pStyle w:val="texti"/>
      </w:pPr>
      <w:r w:rsidRPr="00C332E4">
        <w:t xml:space="preserve">13.4 </w:t>
      </w:r>
      <w:r>
        <w:tab/>
      </w:r>
      <w:r w:rsidRPr="00C332E4">
        <w:t>Members with electorate offices located outside Darwin may use their respective staff</w:t>
      </w:r>
      <w:r>
        <w:t xml:space="preserve"> </w:t>
      </w:r>
      <w:r w:rsidRPr="00C332E4">
        <w:t>entitlements, excluding liaison officers, in their electorate office or in Darwin. Electorate</w:t>
      </w:r>
      <w:r>
        <w:t xml:space="preserve"> </w:t>
      </w:r>
      <w:r w:rsidRPr="00C332E4">
        <w:t>office staff entitlements may not be pooled or applied for the benefit of another Member.</w:t>
      </w:r>
    </w:p>
    <w:p w:rsidR="00402F0A" w:rsidRPr="00C332E4" w:rsidRDefault="00402F0A" w:rsidP="00402F0A">
      <w:pPr>
        <w:pStyle w:val="texti"/>
      </w:pPr>
      <w:r w:rsidRPr="00C332E4">
        <w:t xml:space="preserve">13.5 </w:t>
      </w:r>
      <w:r>
        <w:tab/>
      </w:r>
      <w:r w:rsidRPr="00C332E4">
        <w:t>Any allocation of personnel for the purpose of relief staffing arrangements shall be as</w:t>
      </w:r>
      <w:r>
        <w:t xml:space="preserve"> </w:t>
      </w:r>
      <w:r w:rsidRPr="00C332E4">
        <w:t xml:space="preserve">determined from time </w:t>
      </w:r>
      <w:r w:rsidRPr="00C332E4">
        <w:rPr>
          <w:iCs/>
        </w:rPr>
        <w:t xml:space="preserve">to </w:t>
      </w:r>
      <w:r w:rsidRPr="00C332E4">
        <w:t>time by the Speaker.</w:t>
      </w:r>
    </w:p>
    <w:p w:rsidR="00402F0A" w:rsidRPr="00C332E4" w:rsidRDefault="00402F0A" w:rsidP="00402F0A">
      <w:pPr>
        <w:pStyle w:val="texti"/>
      </w:pPr>
      <w:r w:rsidRPr="00C332E4">
        <w:t xml:space="preserve">13.6 </w:t>
      </w:r>
      <w:r>
        <w:tab/>
      </w:r>
      <w:r w:rsidRPr="00C332E4">
        <w:t xml:space="preserve">The salary and allowances and other terms and conditions of employment of ongoing </w:t>
      </w:r>
      <w:r>
        <w:br/>
      </w:r>
      <w:r w:rsidRPr="00C332E4">
        <w:t>part</w:t>
      </w:r>
      <w:r>
        <w:t>-</w:t>
      </w:r>
      <w:r w:rsidRPr="00C332E4">
        <w:t>time</w:t>
      </w:r>
      <w:r>
        <w:t xml:space="preserve"> </w:t>
      </w:r>
      <w:r w:rsidRPr="00C332E4">
        <w:t>and casual staff of a Member shall be as determined from time to time by the Speaker</w:t>
      </w:r>
      <w:r>
        <w:t xml:space="preserve"> </w:t>
      </w:r>
      <w:r w:rsidRPr="00C332E4">
        <w:t>following consultation with the Commissioner for Public Employment.</w:t>
      </w:r>
    </w:p>
    <w:p w:rsidR="00402F0A" w:rsidRPr="00C332E4" w:rsidRDefault="00402F0A" w:rsidP="00402F0A">
      <w:pPr>
        <w:pStyle w:val="texti"/>
      </w:pPr>
      <w:r w:rsidRPr="00C332E4">
        <w:t xml:space="preserve">13.7 </w:t>
      </w:r>
      <w:r>
        <w:tab/>
      </w:r>
      <w:r w:rsidRPr="00C332E4">
        <w:t xml:space="preserve">An electorate officer located outside Darwin shall be entitled </w:t>
      </w:r>
      <w:r w:rsidRPr="00C332E4">
        <w:rPr>
          <w:iCs/>
        </w:rPr>
        <w:t xml:space="preserve">to </w:t>
      </w:r>
      <w:r w:rsidRPr="00C332E4">
        <w:t>travel at Government</w:t>
      </w:r>
      <w:r>
        <w:t xml:space="preserve"> </w:t>
      </w:r>
      <w:r w:rsidRPr="00C332E4">
        <w:t>expense to Darwin to attend an approved training activity once per annum. The stay shall</w:t>
      </w:r>
      <w:r>
        <w:t xml:space="preserve"> </w:t>
      </w:r>
      <w:r w:rsidRPr="00C332E4">
        <w:t>not exceed two days prior to the commencement of the Sittings and two days after the</w:t>
      </w:r>
      <w:r>
        <w:t xml:space="preserve"> </w:t>
      </w:r>
      <w:r w:rsidRPr="00C332E4">
        <w:t>completion of the Sittings.</w:t>
      </w:r>
    </w:p>
    <w:p w:rsidR="00402F0A" w:rsidRPr="00C332E4" w:rsidRDefault="00402F0A" w:rsidP="00402F0A">
      <w:pPr>
        <w:pStyle w:val="texti"/>
      </w:pPr>
      <w:r w:rsidRPr="00C332E4">
        <w:t xml:space="preserve">13.8 </w:t>
      </w:r>
      <w:r>
        <w:tab/>
      </w:r>
      <w:r w:rsidRPr="00C332E4">
        <w:t>An electorate officer located outside Alice Springs shall be entitled to travel at Government</w:t>
      </w:r>
      <w:r>
        <w:t xml:space="preserve"> </w:t>
      </w:r>
      <w:r w:rsidRPr="00C332E4">
        <w:t xml:space="preserve">expense to Alice Springs </w:t>
      </w:r>
      <w:r w:rsidRPr="00C332E4">
        <w:rPr>
          <w:iCs/>
        </w:rPr>
        <w:t xml:space="preserve">to </w:t>
      </w:r>
      <w:r w:rsidRPr="00C332E4">
        <w:t>attend a period of a Sitting of the Assembly in Alice Springs</w:t>
      </w:r>
      <w:r>
        <w:t xml:space="preserve"> </w:t>
      </w:r>
      <w:r w:rsidRPr="00C332E4">
        <w:t xml:space="preserve">once per annum. The stay shall not exceed </w:t>
      </w:r>
      <w:r w:rsidRPr="00C332E4">
        <w:rPr>
          <w:iCs/>
        </w:rPr>
        <w:t xml:space="preserve">two </w:t>
      </w:r>
      <w:r w:rsidRPr="00C332E4">
        <w:t xml:space="preserve">days prior </w:t>
      </w:r>
      <w:r w:rsidRPr="00C332E4">
        <w:rPr>
          <w:iCs/>
        </w:rPr>
        <w:t xml:space="preserve">to </w:t>
      </w:r>
      <w:r w:rsidRPr="00C332E4">
        <w:t>the Sittings and two days</w:t>
      </w:r>
      <w:r>
        <w:t xml:space="preserve"> </w:t>
      </w:r>
      <w:r w:rsidRPr="00C332E4">
        <w:t>after the completion of the Sittings. ·</w:t>
      </w:r>
    </w:p>
    <w:p w:rsidR="00402F0A" w:rsidRPr="00C332E4" w:rsidRDefault="00402F0A" w:rsidP="00402F0A">
      <w:pPr>
        <w:pStyle w:val="texti"/>
      </w:pPr>
      <w:r w:rsidRPr="00C332E4">
        <w:t xml:space="preserve">13.9 </w:t>
      </w:r>
      <w:r>
        <w:tab/>
      </w:r>
      <w:r w:rsidRPr="00C332E4">
        <w:t>Use of an electorate officer's private vehicle shall be by arrangement between the Member</w:t>
      </w:r>
      <w:r>
        <w:t xml:space="preserve"> </w:t>
      </w:r>
      <w:r w:rsidRPr="00C332E4">
        <w:t>and the electorate officer. Reimbursement for use of the vehicle shall be at Northern</w:t>
      </w:r>
      <w:r>
        <w:t xml:space="preserve"> </w:t>
      </w:r>
      <w:r w:rsidRPr="00C332E4">
        <w:t>Territory Public Service rates or by mutual agreement between the Member and the</w:t>
      </w:r>
      <w:r>
        <w:t xml:space="preserve"> </w:t>
      </w:r>
      <w:r w:rsidRPr="00C332E4">
        <w:t>electorate officer and the reimbursement shall be met from the Member's own funds.</w:t>
      </w:r>
    </w:p>
    <w:p w:rsidR="00402F0A" w:rsidRDefault="00402F0A" w:rsidP="00402F0A">
      <w:pPr>
        <w:pStyle w:val="texti"/>
      </w:pPr>
      <w:r w:rsidRPr="00C332E4">
        <w:t>13.1</w:t>
      </w:r>
      <w:r>
        <w:t>0</w:t>
      </w:r>
      <w:r>
        <w:tab/>
      </w:r>
      <w:r w:rsidRPr="00C332E4">
        <w:t>Any travel costs within the electorate by the electorate officer or liaison officer shall be met</w:t>
      </w:r>
      <w:r>
        <w:t xml:space="preserve"> </w:t>
      </w:r>
      <w:r w:rsidRPr="00C332E4">
        <w:t>from the Member's own funds</w:t>
      </w:r>
      <w:r>
        <w:t>.”</w:t>
      </w:r>
    </w:p>
    <w:p w:rsidR="00402F0A" w:rsidRPr="0027293D" w:rsidRDefault="00402F0A" w:rsidP="00402F0A">
      <w:pPr>
        <w:pStyle w:val="textbasic"/>
        <w:rPr>
          <w:b/>
        </w:rPr>
      </w:pPr>
      <w:r w:rsidRPr="0027293D">
        <w:rPr>
          <w:b/>
        </w:rPr>
        <w:t>Queensland</w:t>
      </w:r>
    </w:p>
    <w:p w:rsidR="00402F0A" w:rsidRDefault="00402F0A" w:rsidP="00402F0A">
      <w:pPr>
        <w:pStyle w:val="textbasic"/>
        <w:rPr>
          <w:lang w:eastAsia="en-AU"/>
        </w:rPr>
      </w:pPr>
      <w:r>
        <w:rPr>
          <w:lang w:eastAsia="en-AU"/>
        </w:rPr>
        <w:t xml:space="preserve">Section </w:t>
      </w:r>
      <w:r w:rsidRPr="0027293D">
        <w:rPr>
          <w:lang w:eastAsia="en-AU"/>
        </w:rPr>
        <w:t xml:space="preserve">2.4.2.3 </w:t>
      </w:r>
      <w:r>
        <w:rPr>
          <w:lang w:eastAsia="en-AU"/>
        </w:rPr>
        <w:t>of the Legislative Assembly of Queensland Members’ Remuneration Handbook provides that:</w:t>
      </w:r>
    </w:p>
    <w:p w:rsidR="00402F0A" w:rsidRPr="00E466E3" w:rsidRDefault="00402F0A" w:rsidP="00402F0A">
      <w:pPr>
        <w:pStyle w:val="quoteitalics"/>
        <w:spacing w:line="300" w:lineRule="exact"/>
        <w:ind w:left="142" w:hanging="142"/>
        <w:rPr>
          <w:i w:val="0"/>
          <w:lang w:eastAsia="en-AU"/>
        </w:rPr>
      </w:pPr>
      <w:r w:rsidRPr="00E466E3">
        <w:rPr>
          <w:i w:val="0"/>
          <w:lang w:eastAsia="en-AU"/>
        </w:rPr>
        <w:t>“</w:t>
      </w:r>
      <w:r w:rsidRPr="00E466E3">
        <w:rPr>
          <w:i w:val="0"/>
          <w:lang w:eastAsia="en-AU"/>
        </w:rPr>
        <w:tab/>
      </w:r>
      <w:r w:rsidRPr="00E466E3">
        <w:rPr>
          <w:i w:val="0"/>
          <w:u w:val="single"/>
          <w:lang w:eastAsia="en-AU"/>
        </w:rPr>
        <w:t>Electorate office staffing</w:t>
      </w:r>
      <w:r w:rsidRPr="00E466E3">
        <w:rPr>
          <w:i w:val="0"/>
          <w:lang w:eastAsia="en-AU"/>
        </w:rPr>
        <w:t xml:space="preserve"> </w:t>
      </w:r>
    </w:p>
    <w:p w:rsidR="00402F0A" w:rsidRPr="00E466E3" w:rsidRDefault="00402F0A" w:rsidP="00402F0A">
      <w:pPr>
        <w:pStyle w:val="quoteitalics"/>
        <w:spacing w:line="300" w:lineRule="exact"/>
        <w:ind w:left="142"/>
        <w:rPr>
          <w:i w:val="0"/>
          <w:lang w:eastAsia="en-AU"/>
        </w:rPr>
      </w:pPr>
      <w:r w:rsidRPr="00E466E3">
        <w:rPr>
          <w:i w:val="0"/>
          <w:lang w:eastAsia="en-AU"/>
        </w:rPr>
        <w:t xml:space="preserve">Each Member may engage, subject to the approval of the Clerk, one (1) full-time Electorate Officer and one (1) full-time Assistant Electorate Officer to assist the Member in maintaining the operation of an electorate office. </w:t>
      </w:r>
    </w:p>
    <w:p w:rsidR="00402F0A" w:rsidRPr="00E466E3" w:rsidRDefault="00402F0A" w:rsidP="00402F0A">
      <w:pPr>
        <w:pStyle w:val="quoteitalics"/>
        <w:spacing w:line="300" w:lineRule="exact"/>
        <w:ind w:left="142"/>
        <w:rPr>
          <w:i w:val="0"/>
          <w:lang w:eastAsia="en-AU"/>
        </w:rPr>
      </w:pPr>
      <w:r w:rsidRPr="00E466E3">
        <w:rPr>
          <w:i w:val="0"/>
          <w:lang w:eastAsia="en-AU"/>
        </w:rPr>
        <w:lastRenderedPageBreak/>
        <w:t xml:space="preserve">Where a Member representing an electoral district of 100,000 square kilometres has been provided with an additional electorate office, that Member may engage, subject to the approval of the Clerk, an additional Electorate Officer but not an additional Assistant Electorate Officer. </w:t>
      </w:r>
    </w:p>
    <w:p w:rsidR="00402F0A" w:rsidRPr="00E466E3" w:rsidRDefault="00402F0A" w:rsidP="00402F0A">
      <w:pPr>
        <w:pStyle w:val="quoteitalics"/>
        <w:spacing w:line="300" w:lineRule="exact"/>
        <w:ind w:left="142"/>
        <w:rPr>
          <w:i w:val="0"/>
          <w:lang w:eastAsia="en-AU"/>
        </w:rPr>
      </w:pPr>
      <w:r w:rsidRPr="00E466E3">
        <w:rPr>
          <w:i w:val="0"/>
          <w:lang w:eastAsia="en-AU"/>
        </w:rPr>
        <w:t xml:space="preserve">Each position of Electorate Officer and Assistant Electorate Officer may be job-shared between two (2) individuals. </w:t>
      </w:r>
    </w:p>
    <w:p w:rsidR="00402F0A" w:rsidRPr="00E466E3" w:rsidRDefault="00402F0A" w:rsidP="00402F0A">
      <w:pPr>
        <w:pStyle w:val="quoteitalics"/>
        <w:spacing w:line="300" w:lineRule="exact"/>
        <w:ind w:left="142"/>
        <w:rPr>
          <w:i w:val="0"/>
          <w:szCs w:val="22"/>
          <w:u w:val="single"/>
        </w:rPr>
      </w:pPr>
      <w:r w:rsidRPr="00E466E3">
        <w:rPr>
          <w:bCs/>
          <w:i w:val="0"/>
          <w:iCs/>
          <w:szCs w:val="22"/>
          <w:u w:val="single"/>
        </w:rPr>
        <w:t xml:space="preserve">Optional part-time staffing allocation </w:t>
      </w:r>
    </w:p>
    <w:p w:rsidR="00402F0A" w:rsidRPr="00E466E3" w:rsidRDefault="00402F0A" w:rsidP="00402F0A">
      <w:pPr>
        <w:pStyle w:val="quoteitalics"/>
        <w:spacing w:line="300" w:lineRule="exact"/>
        <w:ind w:left="142"/>
        <w:rPr>
          <w:i w:val="0"/>
          <w:szCs w:val="22"/>
        </w:rPr>
      </w:pPr>
      <w:r w:rsidRPr="00E466E3">
        <w:rPr>
          <w:i w:val="0"/>
          <w:szCs w:val="22"/>
        </w:rPr>
        <w:t xml:space="preserve">Members may, subject to the approval of the Clerk and in lieu of being provided with an Assistant Electorate Officer under the standard staffing arrangements, elect to be provided with an annual allocation to fund the engagement of additional staff on a part-time or casual basis. </w:t>
      </w:r>
    </w:p>
    <w:p w:rsidR="00402F0A" w:rsidRPr="00E466E3" w:rsidRDefault="00402F0A" w:rsidP="00402F0A">
      <w:pPr>
        <w:pStyle w:val="quoteitalics"/>
        <w:spacing w:line="300" w:lineRule="exact"/>
        <w:ind w:left="142"/>
        <w:rPr>
          <w:i w:val="0"/>
          <w:szCs w:val="22"/>
        </w:rPr>
      </w:pPr>
      <w:r w:rsidRPr="00E466E3">
        <w:rPr>
          <w:i w:val="0"/>
          <w:szCs w:val="22"/>
        </w:rPr>
        <w:t>The value of the allocation is equal to the current salary rate payable to an Assistant Electorate Officer (plus on-costs). Members may implement a variety of staffing options that best meet their individual requirements. The minimum amount payable to staff employed under this section is equivalent to AEO level 1. Members may not engage consultants, nor may they engage their spouse.”</w:t>
      </w:r>
    </w:p>
    <w:p w:rsidR="00E466E3" w:rsidRDefault="00E466E3" w:rsidP="00402F0A">
      <w:pPr>
        <w:pStyle w:val="textbasic"/>
        <w:rPr>
          <w:b/>
        </w:rPr>
      </w:pPr>
    </w:p>
    <w:p w:rsidR="00A36DD7" w:rsidRPr="00952FE2" w:rsidRDefault="00A36DD7" w:rsidP="00402F0A">
      <w:pPr>
        <w:pStyle w:val="textbasic"/>
        <w:rPr>
          <w:b/>
        </w:rPr>
      </w:pPr>
      <w:r>
        <w:rPr>
          <w:b/>
        </w:rPr>
        <w:t>South Australia</w:t>
      </w:r>
    </w:p>
    <w:p w:rsidR="00A36DD7" w:rsidRPr="00FB43A8" w:rsidRDefault="00A36DD7" w:rsidP="00402F0A">
      <w:pPr>
        <w:pStyle w:val="textbasic"/>
        <w:rPr>
          <w:u w:val="single"/>
        </w:rPr>
      </w:pPr>
      <w:r w:rsidRPr="00FB43A8">
        <w:rPr>
          <w:bCs/>
        </w:rPr>
        <w:t>The following information was provided by the Department of Premier and Cabinet in South Australia.</w:t>
      </w:r>
    </w:p>
    <w:p w:rsidR="00A36DD7" w:rsidRPr="00FB43A8" w:rsidRDefault="00A36DD7" w:rsidP="00402F0A">
      <w:pPr>
        <w:pStyle w:val="textbasic"/>
      </w:pPr>
      <w:r w:rsidRPr="00FB43A8">
        <w:t>Staff resources to both Members of the House of Assembly and the Legislative Council, and the provision of electorate offices to Members of the House of Assembly are allocated by the Government.  At present the Treasurer is the responsible Minister and any variations to these allocated resources requiring additional funding are submitted to Cabinet for approval.</w:t>
      </w:r>
    </w:p>
    <w:p w:rsidR="00A36DD7" w:rsidRPr="00FB43A8" w:rsidRDefault="00A36DD7" w:rsidP="00402F0A">
      <w:pPr>
        <w:pStyle w:val="textbasic"/>
      </w:pPr>
      <w:r w:rsidRPr="00FB43A8">
        <w:t>House of Assembly</w:t>
      </w:r>
    </w:p>
    <w:p w:rsidR="00A36DD7" w:rsidRPr="00FB43A8" w:rsidRDefault="00A36DD7" w:rsidP="00402F0A">
      <w:pPr>
        <w:pStyle w:val="textbasic"/>
        <w:ind w:left="284"/>
      </w:pPr>
      <w:r w:rsidRPr="00FB43A8">
        <w:t>All Members of the House of Assembly are provided an office within their electorate, plus an office at Parliament House.</w:t>
      </w:r>
    </w:p>
    <w:p w:rsidR="00A36DD7" w:rsidRPr="00FB43A8" w:rsidRDefault="00A36DD7" w:rsidP="00402F0A">
      <w:pPr>
        <w:pStyle w:val="textbasic"/>
        <w:ind w:left="284"/>
      </w:pPr>
      <w:r w:rsidRPr="00FB43A8">
        <w:t>The Members for Finniss, Flinders and Stuart are provided with a second satellite office within the electorate, staffed on a part-time basis.  These 3 electorates are provided with a second office due to extenuating geographic issues (Finniss – includes Kangaroo Island off the mainland and Flinders, Stuart – size).</w:t>
      </w:r>
    </w:p>
    <w:p w:rsidR="00A36DD7" w:rsidRPr="00FB43A8" w:rsidRDefault="00A36DD7" w:rsidP="00402F0A">
      <w:pPr>
        <w:pStyle w:val="textbasic"/>
        <w:ind w:left="284"/>
      </w:pPr>
      <w:r w:rsidRPr="00FB43A8">
        <w:t>All Members of the House of Assembly are provided with a staff allocation of 2 FTE (1 x Office Manager, 1 x Assistant) and may engage a trainee if they wish.</w:t>
      </w:r>
    </w:p>
    <w:p w:rsidR="00A36DD7" w:rsidRPr="00FB43A8" w:rsidRDefault="00A36DD7" w:rsidP="00402F0A">
      <w:pPr>
        <w:pStyle w:val="textbasic"/>
        <w:ind w:left="284"/>
      </w:pPr>
      <w:r w:rsidRPr="00FB43A8">
        <w:t>In addition, the following office holders receive an additional staff allocation of:</w:t>
      </w:r>
    </w:p>
    <w:p w:rsidR="00A36DD7" w:rsidRPr="00FB43A8" w:rsidRDefault="00A36DD7" w:rsidP="00402F0A">
      <w:pPr>
        <w:pStyle w:val="textbasic"/>
        <w:ind w:left="567"/>
      </w:pPr>
      <w:r w:rsidRPr="00FB43A8">
        <w:t>Premier - 1 FTE Assistant</w:t>
      </w:r>
    </w:p>
    <w:p w:rsidR="00A36DD7" w:rsidRPr="00FB43A8" w:rsidRDefault="00A36DD7" w:rsidP="00402F0A">
      <w:pPr>
        <w:pStyle w:val="textbasic"/>
        <w:ind w:left="567"/>
      </w:pPr>
      <w:r w:rsidRPr="00FB43A8">
        <w:t>Leader of Opposition - 1 FTE Assistant</w:t>
      </w:r>
    </w:p>
    <w:p w:rsidR="00A36DD7" w:rsidRPr="00FB43A8" w:rsidRDefault="00A36DD7" w:rsidP="00402F0A">
      <w:pPr>
        <w:pStyle w:val="textbasic"/>
        <w:ind w:left="567"/>
      </w:pPr>
      <w:r w:rsidRPr="00FB43A8">
        <w:t>Speaker - 2 FTE (1 x Office Manager, 1 x Assistant)</w:t>
      </w:r>
    </w:p>
    <w:p w:rsidR="00A36DD7" w:rsidRPr="00FB43A8" w:rsidRDefault="00A36DD7" w:rsidP="00402F0A">
      <w:pPr>
        <w:pStyle w:val="textbasic"/>
        <w:ind w:left="567"/>
      </w:pPr>
      <w:r w:rsidRPr="00FB43A8">
        <w:t>Deputy Speaker - 0.4 FTE Assistant</w:t>
      </w:r>
    </w:p>
    <w:p w:rsidR="00A36DD7" w:rsidRPr="00FB43A8" w:rsidRDefault="00A36DD7" w:rsidP="00402F0A">
      <w:pPr>
        <w:pStyle w:val="textbasic"/>
        <w:ind w:left="567"/>
      </w:pPr>
      <w:r w:rsidRPr="00FB43A8">
        <w:t>Govt Whip - 2 FTE (1 x Office Manager, 1 x Assistant)</w:t>
      </w:r>
    </w:p>
    <w:p w:rsidR="00A36DD7" w:rsidRPr="00FB43A8" w:rsidRDefault="00A36DD7" w:rsidP="00402F0A">
      <w:pPr>
        <w:pStyle w:val="textbasic"/>
        <w:ind w:left="567"/>
      </w:pPr>
      <w:r w:rsidRPr="00FB43A8">
        <w:lastRenderedPageBreak/>
        <w:t>Opp Whip - 2 FTE (1 x Office Manager, 1 x Assistant)</w:t>
      </w:r>
    </w:p>
    <w:p w:rsidR="00A36DD7" w:rsidRPr="00FB43A8" w:rsidRDefault="00A36DD7" w:rsidP="00402F0A">
      <w:pPr>
        <w:pStyle w:val="textbasic"/>
        <w:ind w:left="284"/>
      </w:pPr>
      <w:r w:rsidRPr="00FB43A8">
        <w:t xml:space="preserve">Independent Members receive an additional 0.5 FTE Research Officer </w:t>
      </w:r>
    </w:p>
    <w:p w:rsidR="00A36DD7" w:rsidRPr="00FB43A8" w:rsidRDefault="00A36DD7" w:rsidP="00402F0A">
      <w:pPr>
        <w:pStyle w:val="textbasic"/>
      </w:pPr>
      <w:r w:rsidRPr="00FB43A8">
        <w:t xml:space="preserve">Legislative Council </w:t>
      </w:r>
    </w:p>
    <w:p w:rsidR="00A36DD7" w:rsidRPr="00FB43A8" w:rsidRDefault="00A36DD7" w:rsidP="00402F0A">
      <w:pPr>
        <w:pStyle w:val="textbasic"/>
        <w:ind w:left="284"/>
      </w:pPr>
      <w:r w:rsidRPr="00FB43A8">
        <w:t>All Members of the Legislative Council are provided an office at Parliament House.</w:t>
      </w:r>
    </w:p>
    <w:p w:rsidR="00A36DD7" w:rsidRPr="00FB43A8" w:rsidRDefault="00A36DD7" w:rsidP="00402F0A">
      <w:pPr>
        <w:pStyle w:val="textbasic"/>
        <w:ind w:left="284"/>
      </w:pPr>
      <w:r w:rsidRPr="00FB43A8">
        <w:t>All Members of the Legislative Council (except Cabinet Ministers) are provided with a staff allocation of 1 FTE Office Manager and may engage a trainee if they wish.  Cabinet Ministers are not provided any staff allocation, outside their Ministerial Office.</w:t>
      </w:r>
    </w:p>
    <w:p w:rsidR="00A36DD7" w:rsidRPr="00FB43A8" w:rsidRDefault="00A36DD7" w:rsidP="00402F0A">
      <w:pPr>
        <w:pStyle w:val="textbasic"/>
        <w:ind w:left="284"/>
      </w:pPr>
      <w:r w:rsidRPr="00FB43A8">
        <w:t>In addition, the following office holders receive an additional staff allocation of:</w:t>
      </w:r>
    </w:p>
    <w:p w:rsidR="00A36DD7" w:rsidRPr="00FB43A8" w:rsidRDefault="00A36DD7" w:rsidP="00402F0A">
      <w:pPr>
        <w:pStyle w:val="textbasic"/>
        <w:ind w:left="567"/>
      </w:pPr>
      <w:r w:rsidRPr="00FB43A8">
        <w:t>President - 0.6 FTE Assistant</w:t>
      </w:r>
    </w:p>
    <w:p w:rsidR="00A36DD7" w:rsidRPr="00FB43A8" w:rsidRDefault="00A36DD7" w:rsidP="00402F0A">
      <w:pPr>
        <w:pStyle w:val="textbasic"/>
        <w:ind w:left="567"/>
      </w:pPr>
      <w:r w:rsidRPr="00FB43A8">
        <w:t>Leader of Opposition - 1 FTE Research Officer</w:t>
      </w:r>
    </w:p>
    <w:p w:rsidR="00A36DD7" w:rsidRPr="00FB43A8" w:rsidRDefault="00A36DD7" w:rsidP="00402F0A">
      <w:pPr>
        <w:pStyle w:val="textbasic"/>
        <w:ind w:left="567"/>
      </w:pPr>
      <w:r w:rsidRPr="00FB43A8">
        <w:t>Govt Whip - 1 FTE Assistant</w:t>
      </w:r>
    </w:p>
    <w:p w:rsidR="00A36DD7" w:rsidRPr="00FB43A8" w:rsidRDefault="00A36DD7" w:rsidP="00402F0A">
      <w:pPr>
        <w:pStyle w:val="textbasic"/>
        <w:tabs>
          <w:tab w:val="left" w:pos="3214"/>
        </w:tabs>
        <w:ind w:left="567"/>
      </w:pPr>
      <w:r w:rsidRPr="00FB43A8">
        <w:t>Opp Whip - 1 FTE Assistant</w:t>
      </w:r>
      <w:r w:rsidRPr="00FB43A8">
        <w:tab/>
      </w:r>
    </w:p>
    <w:p w:rsidR="00A36DD7" w:rsidRPr="00FB43A8" w:rsidRDefault="00A36DD7" w:rsidP="00402F0A">
      <w:pPr>
        <w:pStyle w:val="textbasic"/>
        <w:ind w:left="284"/>
      </w:pPr>
      <w:r w:rsidRPr="00FB43A8">
        <w:t xml:space="preserve">Independent Members and small party (eg. Greens, Family First) Members receive an additional 1 FTE Research Officer. </w:t>
      </w:r>
    </w:p>
    <w:p w:rsidR="00A36DD7" w:rsidRPr="00FB43A8" w:rsidRDefault="00A36DD7" w:rsidP="00314A21">
      <w:pPr>
        <w:pStyle w:val="textbasic"/>
        <w:rPr>
          <w:b/>
        </w:rPr>
      </w:pPr>
    </w:p>
    <w:p w:rsidR="00314A21" w:rsidRPr="00FB43A8" w:rsidRDefault="00314A21" w:rsidP="00314A21">
      <w:pPr>
        <w:pStyle w:val="textbasic"/>
        <w:rPr>
          <w:b/>
        </w:rPr>
      </w:pPr>
      <w:r w:rsidRPr="00FB43A8">
        <w:rPr>
          <w:b/>
        </w:rPr>
        <w:t>Tasmania</w:t>
      </w:r>
    </w:p>
    <w:p w:rsidR="00314A21" w:rsidRPr="00FB43A8" w:rsidRDefault="00513633" w:rsidP="00314A21">
      <w:pPr>
        <w:pStyle w:val="textbasic"/>
      </w:pPr>
      <w:r w:rsidRPr="00FB43A8">
        <w:rPr>
          <w:bCs/>
        </w:rPr>
        <w:t>By administrative policy</w:t>
      </w:r>
      <w:r w:rsidR="00402F0A" w:rsidRPr="00FB43A8">
        <w:rPr>
          <w:bCs/>
        </w:rPr>
        <w:t xml:space="preserve"> of the Government</w:t>
      </w:r>
      <w:r w:rsidRPr="00FB43A8">
        <w:rPr>
          <w:bCs/>
        </w:rPr>
        <w:t>, each m</w:t>
      </w:r>
      <w:r w:rsidR="00314A21" w:rsidRPr="00FB43A8">
        <w:rPr>
          <w:bCs/>
        </w:rPr>
        <w:t xml:space="preserve">ember of Parliament is entitled to one </w:t>
      </w:r>
      <w:r w:rsidR="006E4257">
        <w:rPr>
          <w:bCs/>
        </w:rPr>
        <w:t xml:space="preserve">FTE </w:t>
      </w:r>
      <w:r w:rsidR="00314A21" w:rsidRPr="00FB43A8">
        <w:rPr>
          <w:bCs/>
        </w:rPr>
        <w:t>Electorate Officer</w:t>
      </w:r>
      <w:r w:rsidRPr="00FB43A8">
        <w:rPr>
          <w:bCs/>
        </w:rPr>
        <w:t xml:space="preserve"> and one electorate office</w:t>
      </w:r>
      <w:r w:rsidR="00314A21" w:rsidRPr="00FB43A8">
        <w:rPr>
          <w:bCs/>
        </w:rPr>
        <w:t>.</w:t>
      </w:r>
    </w:p>
    <w:p w:rsidR="00E466E3" w:rsidRPr="00FB43A8" w:rsidRDefault="00E466E3" w:rsidP="00E466E3">
      <w:pPr>
        <w:pStyle w:val="textbasic"/>
        <w:rPr>
          <w:b/>
          <w:lang w:eastAsia="en-AU"/>
        </w:rPr>
      </w:pPr>
    </w:p>
    <w:p w:rsidR="007217E1" w:rsidRPr="00FB43A8" w:rsidRDefault="007217E1" w:rsidP="00E466E3">
      <w:pPr>
        <w:pStyle w:val="textbasic"/>
        <w:rPr>
          <w:b/>
          <w:lang w:eastAsia="en-AU"/>
        </w:rPr>
      </w:pPr>
      <w:r w:rsidRPr="00FB43A8">
        <w:rPr>
          <w:b/>
          <w:lang w:eastAsia="en-AU"/>
        </w:rPr>
        <w:t>Victoria</w:t>
      </w:r>
    </w:p>
    <w:p w:rsidR="007217E1" w:rsidRPr="00FB43A8" w:rsidRDefault="007217E1" w:rsidP="007217E1">
      <w:pPr>
        <w:pStyle w:val="textbasic"/>
      </w:pPr>
      <w:r w:rsidRPr="00FB43A8">
        <w:t>The Parliament of Victoria advised that each member of the Victorian Parliament is entitled to 2 FTE</w:t>
      </w:r>
      <w:r w:rsidR="00402F0A" w:rsidRPr="00FB43A8">
        <w:t xml:space="preserve"> Electorate Officers.</w:t>
      </w:r>
    </w:p>
    <w:p w:rsidR="007217E1" w:rsidRPr="00FB43A8" w:rsidRDefault="007217E1" w:rsidP="00E466E3">
      <w:pPr>
        <w:pStyle w:val="textbasic"/>
        <w:rPr>
          <w:b/>
          <w:lang w:eastAsia="en-AU"/>
        </w:rPr>
      </w:pPr>
    </w:p>
    <w:p w:rsidR="00E466E3" w:rsidRPr="00FB43A8" w:rsidRDefault="00E466E3" w:rsidP="00E466E3">
      <w:pPr>
        <w:pStyle w:val="textbasic"/>
        <w:rPr>
          <w:b/>
          <w:lang w:eastAsia="en-AU"/>
        </w:rPr>
      </w:pPr>
      <w:r w:rsidRPr="00FB43A8">
        <w:rPr>
          <w:b/>
          <w:lang w:eastAsia="en-AU"/>
        </w:rPr>
        <w:t>Western Australia</w:t>
      </w:r>
    </w:p>
    <w:p w:rsidR="00E466E3" w:rsidRPr="00FB43A8" w:rsidRDefault="00E466E3" w:rsidP="00E466E3">
      <w:pPr>
        <w:pStyle w:val="textbasic"/>
      </w:pPr>
      <w:r w:rsidRPr="00FB43A8">
        <w:t>The following information was provided by the Department of Premier and Cabinet in Western Australia.</w:t>
      </w:r>
    </w:p>
    <w:p w:rsidR="00E466E3" w:rsidRPr="00FB43A8" w:rsidRDefault="00E466E3" w:rsidP="00E466E3">
      <w:pPr>
        <w:pStyle w:val="textbasic"/>
      </w:pPr>
      <w:r w:rsidRPr="00FB43A8">
        <w:t>Each Member of Parliament is entitled to have at Government expense, an office in his/her electorate or in close proximity to Parliament House for the purpose of conducting their parliamentary and electorate duties.  The Department of the Premier and Cabinet has responsibility for arranging the establishment and maintenance of such offices.</w:t>
      </w:r>
    </w:p>
    <w:p w:rsidR="00E466E3" w:rsidRPr="00FB43A8" w:rsidRDefault="00E466E3" w:rsidP="00E466E3">
      <w:pPr>
        <w:pStyle w:val="textbasic"/>
      </w:pPr>
      <w:r w:rsidRPr="00FB43A8">
        <w:t>Parliamentary electorate offices are provided on the basis that:</w:t>
      </w:r>
    </w:p>
    <w:p w:rsidR="00E466E3" w:rsidRPr="00FB43A8" w:rsidRDefault="00E466E3" w:rsidP="00E466E3">
      <w:pPr>
        <w:pStyle w:val="textbasic"/>
        <w:numPr>
          <w:ilvl w:val="0"/>
          <w:numId w:val="8"/>
        </w:numPr>
      </w:pPr>
      <w:r w:rsidRPr="00FB43A8">
        <w:t>they are not to be used for purposes other than those related to the parliamentary or electoral duties of the Member;</w:t>
      </w:r>
    </w:p>
    <w:p w:rsidR="00E466E3" w:rsidRPr="00FB43A8" w:rsidRDefault="00E466E3" w:rsidP="00E466E3">
      <w:pPr>
        <w:pStyle w:val="textbasic"/>
        <w:numPr>
          <w:ilvl w:val="0"/>
          <w:numId w:val="8"/>
        </w:numPr>
      </w:pPr>
      <w:r w:rsidRPr="00FB43A8">
        <w:t>they are not to be used as an election campaign base or headquarters for activities associated with political parties such as branch meetings.  Similarly, electorate office equipment and telephones must not be used for election campaigning;</w:t>
      </w:r>
    </w:p>
    <w:p w:rsidR="00E466E3" w:rsidRPr="00FB43A8" w:rsidRDefault="00E466E3" w:rsidP="00E466E3">
      <w:pPr>
        <w:pStyle w:val="textbasic"/>
        <w:numPr>
          <w:ilvl w:val="0"/>
          <w:numId w:val="8"/>
        </w:numPr>
      </w:pPr>
      <w:r w:rsidRPr="00FB43A8">
        <w:lastRenderedPageBreak/>
        <w:t>no party political literature or signs may be displayed in or adjacent to the premises; and</w:t>
      </w:r>
    </w:p>
    <w:p w:rsidR="00E466E3" w:rsidRPr="00FB43A8" w:rsidRDefault="00E466E3" w:rsidP="00E466E3">
      <w:pPr>
        <w:pStyle w:val="textbasic"/>
        <w:numPr>
          <w:ilvl w:val="0"/>
          <w:numId w:val="8"/>
        </w:numPr>
      </w:pPr>
      <w:r w:rsidRPr="00FB43A8">
        <w:t>offices may not be located in a Member’s private residence or in premises owned by a member of his/her immediate family.</w:t>
      </w:r>
    </w:p>
    <w:p w:rsidR="00E466E3" w:rsidRPr="00FB43A8" w:rsidRDefault="00E466E3" w:rsidP="00E466E3">
      <w:pPr>
        <w:pStyle w:val="textbasic"/>
      </w:pPr>
      <w:r w:rsidRPr="00FB43A8">
        <w:t>Ea</w:t>
      </w:r>
      <w:r w:rsidR="00263D7A">
        <w:t xml:space="preserve">ch Member is entitled to 2 FTE </w:t>
      </w:r>
      <w:r w:rsidRPr="00FB43A8">
        <w:t>employees to assist in managing the Parliamentary Electorate Office.</w:t>
      </w:r>
    </w:p>
    <w:p w:rsidR="00E466E3" w:rsidRDefault="00E466E3" w:rsidP="00E466E3">
      <w:pPr>
        <w:pStyle w:val="textbasic"/>
      </w:pPr>
      <w:r w:rsidRPr="00FB43A8">
        <w:t>Members of the Legislative Assembly who represent large regional areas  i.e. Members for Kimberley, Pilbara, Eyre, North West Central, Moore, Central Wheatbelt, Wagin and Kalgoorlie may be entitled to a second electorate office. The second office must be located within the electorate and the area of the office is smaller than the primary office.  If a designated Member has two electorate offices the Member is only entitled to the current allocation of 2 FTEs, one for each office.</w:t>
      </w:r>
      <w:r>
        <w:t xml:space="preserve">  </w:t>
      </w:r>
    </w:p>
    <w:p w:rsidR="00E466E3" w:rsidRPr="0027293D" w:rsidRDefault="00E466E3" w:rsidP="00E466E3">
      <w:pPr>
        <w:pStyle w:val="textbasic"/>
        <w:rPr>
          <w:lang w:eastAsia="en-AU"/>
        </w:rPr>
      </w:pPr>
    </w:p>
    <w:sectPr w:rsidR="00E466E3" w:rsidRPr="0027293D" w:rsidSect="00AB279D">
      <w:footerReference w:type="default" r:id="rId23"/>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CA8" w:rsidRDefault="001B3CA8" w:rsidP="0033321C">
      <w:pPr>
        <w:spacing w:after="0"/>
      </w:pPr>
      <w:r>
        <w:separator/>
      </w:r>
    </w:p>
  </w:endnote>
  <w:endnote w:type="continuationSeparator" w:id="0">
    <w:p w:rsidR="001B3CA8" w:rsidRDefault="001B3CA8" w:rsidP="003332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rebuchet-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A8" w:rsidRPr="00035CEC" w:rsidRDefault="001B3CA8">
    <w:pPr>
      <w:pStyle w:val="Footer"/>
      <w:jc w:val="right"/>
      <w:rPr>
        <w:rFonts w:ascii="Calibri" w:hAnsi="Calibri"/>
        <w:sz w:val="16"/>
        <w:szCs w:val="16"/>
      </w:rPr>
    </w:pPr>
    <w:r w:rsidRPr="00035CEC">
      <w:rPr>
        <w:rFonts w:ascii="Calibri" w:hAnsi="Calibri"/>
        <w:sz w:val="16"/>
        <w:szCs w:val="16"/>
      </w:rPr>
      <w:fldChar w:fldCharType="begin"/>
    </w:r>
    <w:r w:rsidRPr="00035CEC">
      <w:rPr>
        <w:rFonts w:ascii="Calibri" w:hAnsi="Calibri"/>
        <w:sz w:val="16"/>
        <w:szCs w:val="16"/>
      </w:rPr>
      <w:instrText xml:space="preserve"> PAGE   \* MERGEFORMAT </w:instrText>
    </w:r>
    <w:r w:rsidRPr="00035CEC">
      <w:rPr>
        <w:rFonts w:ascii="Calibri" w:hAnsi="Calibri"/>
        <w:sz w:val="16"/>
        <w:szCs w:val="16"/>
      </w:rPr>
      <w:fldChar w:fldCharType="separate"/>
    </w:r>
    <w:r w:rsidR="00FD0D54">
      <w:rPr>
        <w:rFonts w:ascii="Calibri" w:hAnsi="Calibri"/>
        <w:noProof/>
        <w:sz w:val="16"/>
        <w:szCs w:val="16"/>
      </w:rPr>
      <w:t>vi</w:t>
    </w:r>
    <w:r w:rsidRPr="00035CEC">
      <w:rPr>
        <w:rFonts w:ascii="Calibri" w:hAnsi="Calibri"/>
        <w:noProof/>
        <w:sz w:val="16"/>
        <w:szCs w:val="16"/>
      </w:rPr>
      <w:fldChar w:fldCharType="end"/>
    </w:r>
  </w:p>
  <w:p w:rsidR="001B3CA8" w:rsidRDefault="001B3CA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A8" w:rsidRPr="001D2172" w:rsidRDefault="001B3CA8">
    <w:pPr>
      <w:pStyle w:val="Footer"/>
      <w:jc w:val="right"/>
      <w:rPr>
        <w:rFonts w:ascii="Calibri" w:hAnsi="Calibri"/>
        <w:b/>
        <w:color w:val="365F91"/>
        <w:sz w:val="16"/>
        <w:szCs w:val="16"/>
      </w:rPr>
    </w:pPr>
    <w:r w:rsidRPr="001D2172">
      <w:rPr>
        <w:rFonts w:ascii="Calibri" w:hAnsi="Calibri"/>
        <w:b/>
        <w:color w:val="365F91"/>
        <w:sz w:val="16"/>
        <w:szCs w:val="16"/>
      </w:rPr>
      <w:fldChar w:fldCharType="begin"/>
    </w:r>
    <w:r w:rsidRPr="001D2172">
      <w:rPr>
        <w:rFonts w:ascii="Calibri" w:hAnsi="Calibri"/>
        <w:b/>
        <w:color w:val="365F91"/>
        <w:sz w:val="16"/>
        <w:szCs w:val="16"/>
      </w:rPr>
      <w:instrText xml:space="preserve"> PAGE   \* MERGEFORMAT </w:instrText>
    </w:r>
    <w:r w:rsidRPr="001D2172">
      <w:rPr>
        <w:rFonts w:ascii="Calibri" w:hAnsi="Calibri"/>
        <w:b/>
        <w:color w:val="365F91"/>
        <w:sz w:val="16"/>
        <w:szCs w:val="16"/>
      </w:rPr>
      <w:fldChar w:fldCharType="separate"/>
    </w:r>
    <w:r w:rsidR="00FD0D54">
      <w:rPr>
        <w:rFonts w:ascii="Calibri" w:hAnsi="Calibri"/>
        <w:b/>
        <w:noProof/>
        <w:color w:val="365F91"/>
        <w:sz w:val="16"/>
        <w:szCs w:val="16"/>
      </w:rPr>
      <w:t>82</w:t>
    </w:r>
    <w:r w:rsidRPr="001D2172">
      <w:rPr>
        <w:rFonts w:ascii="Calibri" w:hAnsi="Calibri"/>
        <w:b/>
        <w:noProof/>
        <w:color w:val="365F91"/>
        <w:sz w:val="16"/>
        <w:szCs w:val="16"/>
      </w:rPr>
      <w:fldChar w:fldCharType="end"/>
    </w:r>
  </w:p>
  <w:p w:rsidR="001B3CA8" w:rsidRDefault="001B3C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A8" w:rsidRPr="005855C7" w:rsidRDefault="001B3CA8">
    <w:pPr>
      <w:pStyle w:val="Footer"/>
      <w:jc w:val="right"/>
      <w:rPr>
        <w:rFonts w:ascii="Calibri" w:hAnsi="Calibri"/>
        <w:b/>
        <w:sz w:val="16"/>
        <w:szCs w:val="16"/>
      </w:rPr>
    </w:pPr>
    <w:r w:rsidRPr="005855C7">
      <w:rPr>
        <w:rFonts w:ascii="Calibri" w:hAnsi="Calibri"/>
        <w:b/>
        <w:sz w:val="16"/>
        <w:szCs w:val="16"/>
      </w:rPr>
      <w:fldChar w:fldCharType="begin"/>
    </w:r>
    <w:r w:rsidRPr="005855C7">
      <w:rPr>
        <w:rFonts w:ascii="Calibri" w:hAnsi="Calibri"/>
        <w:b/>
        <w:sz w:val="16"/>
        <w:szCs w:val="16"/>
      </w:rPr>
      <w:instrText xml:space="preserve"> PAGE   \* MERGEFORMAT </w:instrText>
    </w:r>
    <w:r w:rsidRPr="005855C7">
      <w:rPr>
        <w:rFonts w:ascii="Calibri" w:hAnsi="Calibri"/>
        <w:b/>
        <w:sz w:val="16"/>
        <w:szCs w:val="16"/>
      </w:rPr>
      <w:fldChar w:fldCharType="separate"/>
    </w:r>
    <w:r w:rsidR="00FD0D54">
      <w:rPr>
        <w:rFonts w:ascii="Calibri" w:hAnsi="Calibri"/>
        <w:b/>
        <w:noProof/>
        <w:sz w:val="16"/>
        <w:szCs w:val="16"/>
      </w:rPr>
      <w:t>E</w:t>
    </w:r>
    <w:r w:rsidRPr="005855C7">
      <w:rPr>
        <w:rFonts w:ascii="Calibri" w:hAnsi="Calibri"/>
        <w:b/>
        <w:noProof/>
        <w:sz w:val="16"/>
        <w:szCs w:val="16"/>
      </w:rPr>
      <w:fldChar w:fldCharType="end"/>
    </w:r>
  </w:p>
  <w:p w:rsidR="001B3CA8" w:rsidRDefault="001B3C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A8" w:rsidRPr="005855C7" w:rsidRDefault="001B3CA8">
    <w:pPr>
      <w:pStyle w:val="Footer"/>
      <w:jc w:val="right"/>
      <w:rPr>
        <w:rFonts w:ascii="Calibri" w:hAnsi="Calibri"/>
        <w:b/>
        <w:sz w:val="16"/>
        <w:szCs w:val="16"/>
      </w:rPr>
    </w:pPr>
  </w:p>
  <w:p w:rsidR="001B3CA8" w:rsidRDefault="001B3C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A8" w:rsidRPr="006E4257" w:rsidRDefault="001B3CA8">
    <w:pPr>
      <w:pStyle w:val="Footer"/>
      <w:jc w:val="right"/>
      <w:rPr>
        <w:rFonts w:ascii="Calibri" w:hAnsi="Calibri"/>
        <w:b/>
        <w:color w:val="7F7F7F" w:themeColor="text1" w:themeTint="80"/>
        <w:sz w:val="16"/>
        <w:szCs w:val="16"/>
      </w:rPr>
    </w:pPr>
    <w:r w:rsidRPr="006E4257">
      <w:rPr>
        <w:rFonts w:ascii="Calibri" w:hAnsi="Calibri"/>
        <w:b/>
        <w:color w:val="7F7F7F" w:themeColor="text1" w:themeTint="80"/>
        <w:sz w:val="16"/>
        <w:szCs w:val="16"/>
      </w:rPr>
      <w:fldChar w:fldCharType="begin"/>
    </w:r>
    <w:r w:rsidRPr="006E4257">
      <w:rPr>
        <w:rFonts w:ascii="Calibri" w:hAnsi="Calibri"/>
        <w:b/>
        <w:color w:val="7F7F7F" w:themeColor="text1" w:themeTint="80"/>
        <w:sz w:val="16"/>
        <w:szCs w:val="16"/>
      </w:rPr>
      <w:instrText xml:space="preserve"> PAGE   \* MERGEFORMAT </w:instrText>
    </w:r>
    <w:r w:rsidRPr="006E4257">
      <w:rPr>
        <w:rFonts w:ascii="Calibri" w:hAnsi="Calibri"/>
        <w:b/>
        <w:color w:val="7F7F7F" w:themeColor="text1" w:themeTint="80"/>
        <w:sz w:val="16"/>
        <w:szCs w:val="16"/>
      </w:rPr>
      <w:fldChar w:fldCharType="separate"/>
    </w:r>
    <w:r w:rsidR="00FD0D54">
      <w:rPr>
        <w:rFonts w:ascii="Calibri" w:hAnsi="Calibri"/>
        <w:b/>
        <w:noProof/>
        <w:color w:val="7F7F7F" w:themeColor="text1" w:themeTint="80"/>
        <w:sz w:val="16"/>
        <w:szCs w:val="16"/>
      </w:rPr>
      <w:t>16</w:t>
    </w:r>
    <w:r w:rsidRPr="006E4257">
      <w:rPr>
        <w:rFonts w:ascii="Calibri" w:hAnsi="Calibri"/>
        <w:b/>
        <w:noProof/>
        <w:color w:val="7F7F7F" w:themeColor="text1" w:themeTint="80"/>
        <w:sz w:val="16"/>
        <w:szCs w:val="16"/>
      </w:rPr>
      <w:fldChar w:fldCharType="end"/>
    </w:r>
  </w:p>
  <w:p w:rsidR="001B3CA8" w:rsidRDefault="001B3CA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A8" w:rsidRPr="006E4257" w:rsidRDefault="001B3CA8" w:rsidP="00E06A1F">
    <w:pPr>
      <w:pStyle w:val="Footer"/>
      <w:rPr>
        <w:rFonts w:ascii="Calibri" w:hAnsi="Calibri"/>
        <w:b/>
        <w:color w:val="7F7F7F" w:themeColor="text1" w:themeTint="80"/>
        <w:sz w:val="16"/>
        <w:szCs w:val="16"/>
      </w:rPr>
    </w:pPr>
    <w:r w:rsidRPr="006E4257">
      <w:rPr>
        <w:rFonts w:ascii="Calibri" w:hAnsi="Calibri"/>
        <w:b/>
        <w:color w:val="7F7F7F" w:themeColor="text1" w:themeTint="80"/>
        <w:sz w:val="16"/>
        <w:szCs w:val="16"/>
      </w:rPr>
      <w:fldChar w:fldCharType="begin"/>
    </w:r>
    <w:r w:rsidRPr="006E4257">
      <w:rPr>
        <w:rFonts w:ascii="Calibri" w:hAnsi="Calibri"/>
        <w:b/>
        <w:color w:val="7F7F7F" w:themeColor="text1" w:themeTint="80"/>
        <w:sz w:val="16"/>
        <w:szCs w:val="16"/>
      </w:rPr>
      <w:instrText xml:space="preserve"> PAGE   \* MERGEFORMAT </w:instrText>
    </w:r>
    <w:r w:rsidRPr="006E4257">
      <w:rPr>
        <w:rFonts w:ascii="Calibri" w:hAnsi="Calibri"/>
        <w:b/>
        <w:color w:val="7F7F7F" w:themeColor="text1" w:themeTint="80"/>
        <w:sz w:val="16"/>
        <w:szCs w:val="16"/>
      </w:rPr>
      <w:fldChar w:fldCharType="separate"/>
    </w:r>
    <w:r w:rsidR="00FD0D54">
      <w:rPr>
        <w:rFonts w:ascii="Calibri" w:hAnsi="Calibri"/>
        <w:b/>
        <w:noProof/>
        <w:color w:val="7F7F7F" w:themeColor="text1" w:themeTint="80"/>
        <w:sz w:val="16"/>
        <w:szCs w:val="16"/>
      </w:rPr>
      <w:t>17</w:t>
    </w:r>
    <w:r w:rsidRPr="006E4257">
      <w:rPr>
        <w:rFonts w:ascii="Calibri" w:hAnsi="Calibri"/>
        <w:b/>
        <w:noProof/>
        <w:color w:val="7F7F7F" w:themeColor="text1" w:themeTint="80"/>
        <w:sz w:val="16"/>
        <w:szCs w:val="16"/>
      </w:rPr>
      <w:fldChar w:fldCharType="end"/>
    </w:r>
  </w:p>
  <w:p w:rsidR="001B3CA8" w:rsidRDefault="001B3CA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A8" w:rsidRPr="006E4257" w:rsidRDefault="001B3CA8">
    <w:pPr>
      <w:pStyle w:val="Footer"/>
      <w:jc w:val="right"/>
      <w:rPr>
        <w:rFonts w:ascii="Calibri" w:hAnsi="Calibri"/>
        <w:b/>
        <w:color w:val="7F7F7F" w:themeColor="text1" w:themeTint="80"/>
        <w:sz w:val="16"/>
        <w:szCs w:val="16"/>
      </w:rPr>
    </w:pPr>
    <w:r w:rsidRPr="006E4257">
      <w:rPr>
        <w:rFonts w:ascii="Calibri" w:hAnsi="Calibri"/>
        <w:b/>
        <w:color w:val="7F7F7F" w:themeColor="text1" w:themeTint="80"/>
        <w:sz w:val="16"/>
        <w:szCs w:val="16"/>
      </w:rPr>
      <w:fldChar w:fldCharType="begin"/>
    </w:r>
    <w:r w:rsidRPr="006E4257">
      <w:rPr>
        <w:rFonts w:ascii="Calibri" w:hAnsi="Calibri"/>
        <w:b/>
        <w:color w:val="7F7F7F" w:themeColor="text1" w:themeTint="80"/>
        <w:sz w:val="16"/>
        <w:szCs w:val="16"/>
      </w:rPr>
      <w:instrText xml:space="preserve"> PAGE   \* MERGEFORMAT </w:instrText>
    </w:r>
    <w:r w:rsidRPr="006E4257">
      <w:rPr>
        <w:rFonts w:ascii="Calibri" w:hAnsi="Calibri"/>
        <w:b/>
        <w:color w:val="7F7F7F" w:themeColor="text1" w:themeTint="80"/>
        <w:sz w:val="16"/>
        <w:szCs w:val="16"/>
      </w:rPr>
      <w:fldChar w:fldCharType="separate"/>
    </w:r>
    <w:r w:rsidR="00FD0D54">
      <w:rPr>
        <w:rFonts w:ascii="Calibri" w:hAnsi="Calibri"/>
        <w:b/>
        <w:noProof/>
        <w:color w:val="7F7F7F" w:themeColor="text1" w:themeTint="80"/>
        <w:sz w:val="16"/>
        <w:szCs w:val="16"/>
      </w:rPr>
      <w:t>26</w:t>
    </w:r>
    <w:r w:rsidRPr="006E4257">
      <w:rPr>
        <w:rFonts w:ascii="Calibri" w:hAnsi="Calibri"/>
        <w:b/>
        <w:noProof/>
        <w:color w:val="7F7F7F" w:themeColor="text1" w:themeTint="80"/>
        <w:sz w:val="16"/>
        <w:szCs w:val="16"/>
      </w:rPr>
      <w:fldChar w:fldCharType="end"/>
    </w:r>
  </w:p>
  <w:p w:rsidR="001B3CA8" w:rsidRDefault="001B3CA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A8" w:rsidRPr="001D2172" w:rsidRDefault="001B3CA8" w:rsidP="007A0059">
    <w:pPr>
      <w:pStyle w:val="Footer"/>
      <w:rPr>
        <w:rFonts w:ascii="Calibri" w:hAnsi="Calibri"/>
        <w:b/>
        <w:color w:val="365F91"/>
        <w:sz w:val="16"/>
        <w:szCs w:val="16"/>
      </w:rPr>
    </w:pPr>
    <w:r w:rsidRPr="001D2172">
      <w:rPr>
        <w:rFonts w:ascii="Calibri" w:hAnsi="Calibri"/>
        <w:b/>
        <w:color w:val="365F91"/>
        <w:sz w:val="16"/>
        <w:szCs w:val="16"/>
      </w:rPr>
      <w:fldChar w:fldCharType="begin"/>
    </w:r>
    <w:r w:rsidRPr="001D2172">
      <w:rPr>
        <w:rFonts w:ascii="Calibri" w:hAnsi="Calibri"/>
        <w:b/>
        <w:color w:val="365F91"/>
        <w:sz w:val="16"/>
        <w:szCs w:val="16"/>
      </w:rPr>
      <w:instrText xml:space="preserve"> PAGE   \* MERGEFORMAT </w:instrText>
    </w:r>
    <w:r w:rsidRPr="001D2172">
      <w:rPr>
        <w:rFonts w:ascii="Calibri" w:hAnsi="Calibri"/>
        <w:b/>
        <w:color w:val="365F91"/>
        <w:sz w:val="16"/>
        <w:szCs w:val="16"/>
      </w:rPr>
      <w:fldChar w:fldCharType="separate"/>
    </w:r>
    <w:r w:rsidR="00FD0D54" w:rsidRPr="00FD0D54">
      <w:rPr>
        <w:rFonts w:ascii="Calibri" w:hAnsi="Calibri"/>
        <w:b/>
        <w:noProof/>
        <w:color w:val="7F7F7F" w:themeColor="text1" w:themeTint="80"/>
        <w:sz w:val="16"/>
        <w:szCs w:val="16"/>
      </w:rPr>
      <w:t>27</w:t>
    </w:r>
    <w:r w:rsidRPr="001D2172">
      <w:rPr>
        <w:rFonts w:ascii="Calibri" w:hAnsi="Calibri"/>
        <w:b/>
        <w:noProof/>
        <w:color w:val="365F91"/>
        <w:sz w:val="16"/>
        <w:szCs w:val="16"/>
      </w:rPr>
      <w:fldChar w:fldCharType="end"/>
    </w:r>
  </w:p>
  <w:p w:rsidR="001B3CA8" w:rsidRDefault="001B3CA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A8" w:rsidRPr="006E4257" w:rsidRDefault="001B3CA8">
    <w:pPr>
      <w:pStyle w:val="Footer"/>
      <w:jc w:val="right"/>
      <w:rPr>
        <w:rFonts w:ascii="Calibri" w:hAnsi="Calibri"/>
        <w:b/>
        <w:color w:val="7F7F7F" w:themeColor="text1" w:themeTint="80"/>
        <w:sz w:val="16"/>
        <w:szCs w:val="16"/>
      </w:rPr>
    </w:pPr>
    <w:r w:rsidRPr="006E4257">
      <w:rPr>
        <w:rFonts w:ascii="Calibri" w:hAnsi="Calibri"/>
        <w:b/>
        <w:color w:val="7F7F7F" w:themeColor="text1" w:themeTint="80"/>
        <w:sz w:val="16"/>
        <w:szCs w:val="16"/>
      </w:rPr>
      <w:fldChar w:fldCharType="begin"/>
    </w:r>
    <w:r w:rsidRPr="006E4257">
      <w:rPr>
        <w:rFonts w:ascii="Calibri" w:hAnsi="Calibri"/>
        <w:b/>
        <w:color w:val="7F7F7F" w:themeColor="text1" w:themeTint="80"/>
        <w:sz w:val="16"/>
        <w:szCs w:val="16"/>
      </w:rPr>
      <w:instrText xml:space="preserve"> PAGE   \* MERGEFORMAT </w:instrText>
    </w:r>
    <w:r w:rsidRPr="006E4257">
      <w:rPr>
        <w:rFonts w:ascii="Calibri" w:hAnsi="Calibri"/>
        <w:b/>
        <w:color w:val="7F7F7F" w:themeColor="text1" w:themeTint="80"/>
        <w:sz w:val="16"/>
        <w:szCs w:val="16"/>
      </w:rPr>
      <w:fldChar w:fldCharType="separate"/>
    </w:r>
    <w:r w:rsidR="00FD0D54">
      <w:rPr>
        <w:rFonts w:ascii="Calibri" w:hAnsi="Calibri"/>
        <w:b/>
        <w:noProof/>
        <w:color w:val="7F7F7F" w:themeColor="text1" w:themeTint="80"/>
        <w:sz w:val="16"/>
        <w:szCs w:val="16"/>
      </w:rPr>
      <w:t>76</w:t>
    </w:r>
    <w:r w:rsidRPr="006E4257">
      <w:rPr>
        <w:rFonts w:ascii="Calibri" w:hAnsi="Calibri"/>
        <w:b/>
        <w:noProof/>
        <w:color w:val="7F7F7F" w:themeColor="text1" w:themeTint="80"/>
        <w:sz w:val="16"/>
        <w:szCs w:val="16"/>
      </w:rPr>
      <w:fldChar w:fldCharType="end"/>
    </w:r>
  </w:p>
  <w:p w:rsidR="001B3CA8" w:rsidRDefault="001B3CA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A8" w:rsidRPr="001D2172" w:rsidRDefault="001B3CA8" w:rsidP="00513633">
    <w:pPr>
      <w:pStyle w:val="Footer"/>
      <w:rPr>
        <w:rFonts w:ascii="Calibri" w:hAnsi="Calibri"/>
        <w:b/>
        <w:color w:val="365F91"/>
        <w:sz w:val="16"/>
        <w:szCs w:val="16"/>
      </w:rPr>
    </w:pPr>
    <w:r w:rsidRPr="001D2172">
      <w:rPr>
        <w:rFonts w:ascii="Calibri" w:hAnsi="Calibri"/>
        <w:b/>
        <w:color w:val="365F91"/>
        <w:sz w:val="16"/>
        <w:szCs w:val="16"/>
      </w:rPr>
      <w:fldChar w:fldCharType="begin"/>
    </w:r>
    <w:r w:rsidRPr="001D2172">
      <w:rPr>
        <w:rFonts w:ascii="Calibri" w:hAnsi="Calibri"/>
        <w:b/>
        <w:color w:val="365F91"/>
        <w:sz w:val="16"/>
        <w:szCs w:val="16"/>
      </w:rPr>
      <w:instrText xml:space="preserve"> PAGE   \* MERGEFORMAT </w:instrText>
    </w:r>
    <w:r w:rsidRPr="001D2172">
      <w:rPr>
        <w:rFonts w:ascii="Calibri" w:hAnsi="Calibri"/>
        <w:b/>
        <w:color w:val="365F91"/>
        <w:sz w:val="16"/>
        <w:szCs w:val="16"/>
      </w:rPr>
      <w:fldChar w:fldCharType="separate"/>
    </w:r>
    <w:r w:rsidR="00FD0D54">
      <w:rPr>
        <w:rFonts w:ascii="Calibri" w:hAnsi="Calibri"/>
        <w:b/>
        <w:noProof/>
        <w:color w:val="365F91"/>
        <w:sz w:val="16"/>
        <w:szCs w:val="16"/>
      </w:rPr>
      <w:t>77</w:t>
    </w:r>
    <w:r w:rsidRPr="001D2172">
      <w:rPr>
        <w:rFonts w:ascii="Calibri" w:hAnsi="Calibri"/>
        <w:b/>
        <w:noProof/>
        <w:color w:val="365F91"/>
        <w:sz w:val="16"/>
        <w:szCs w:val="16"/>
      </w:rPr>
      <w:fldChar w:fldCharType="end"/>
    </w:r>
  </w:p>
  <w:p w:rsidR="001B3CA8" w:rsidRDefault="001B3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CA8" w:rsidRDefault="001B3CA8" w:rsidP="0033321C">
      <w:pPr>
        <w:spacing w:after="0"/>
      </w:pPr>
      <w:r>
        <w:separator/>
      </w:r>
    </w:p>
  </w:footnote>
  <w:footnote w:type="continuationSeparator" w:id="0">
    <w:p w:rsidR="001B3CA8" w:rsidRDefault="001B3CA8" w:rsidP="0033321C">
      <w:pPr>
        <w:spacing w:after="0"/>
      </w:pPr>
      <w:r>
        <w:continuationSeparator/>
      </w:r>
    </w:p>
  </w:footnote>
  <w:footnote w:id="1">
    <w:p w:rsidR="001B3CA8" w:rsidRPr="00975ECD" w:rsidRDefault="001B3CA8" w:rsidP="00FB43A8">
      <w:pPr>
        <w:pStyle w:val="FootnoteText"/>
        <w:spacing w:after="0"/>
        <w:rPr>
          <w:color w:val="7F7F7F" w:themeColor="text1" w:themeTint="80"/>
          <w:sz w:val="16"/>
          <w:szCs w:val="16"/>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For the period of this Determination </w:t>
      </w:r>
      <w:r w:rsidRPr="00975ECD">
        <w:rPr>
          <w:color w:val="7F7F7F" w:themeColor="text1" w:themeTint="80"/>
          <w:sz w:val="16"/>
          <w:szCs w:val="16"/>
          <w:lang w:val="en-US"/>
        </w:rPr>
        <w:t xml:space="preserve">or until the date when the next Determination takes effect, whichever is later, </w:t>
      </w:r>
      <w:r w:rsidRPr="00975ECD">
        <w:rPr>
          <w:color w:val="7F7F7F" w:themeColor="text1" w:themeTint="80"/>
          <w:sz w:val="16"/>
          <w:szCs w:val="16"/>
        </w:rPr>
        <w:t>Table A applies in lieu of Schedule 4 to the 2012 Act (albeit the amounts of additional salary are unchanged).</w:t>
      </w:r>
    </w:p>
  </w:footnote>
  <w:footnote w:id="2">
    <w:p w:rsidR="001B3CA8" w:rsidRPr="00975ECD" w:rsidRDefault="001B3CA8" w:rsidP="00FB43A8">
      <w:pPr>
        <w:pStyle w:val="FootnoteText"/>
        <w:spacing w:after="0"/>
        <w:rPr>
          <w:color w:val="7F7F7F" w:themeColor="text1" w:themeTint="80"/>
          <w:sz w:val="16"/>
          <w:szCs w:val="16"/>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For the period of this Determination </w:t>
      </w:r>
      <w:r w:rsidRPr="00975ECD">
        <w:rPr>
          <w:color w:val="7F7F7F" w:themeColor="text1" w:themeTint="80"/>
          <w:sz w:val="16"/>
          <w:szCs w:val="16"/>
          <w:lang w:val="en-US"/>
        </w:rPr>
        <w:t xml:space="preserve">or until the date when the next Determination takes effect, whichever is later, </w:t>
      </w:r>
      <w:r w:rsidRPr="00975ECD">
        <w:rPr>
          <w:color w:val="7F7F7F" w:themeColor="text1" w:themeTint="80"/>
          <w:sz w:val="16"/>
          <w:szCs w:val="16"/>
        </w:rPr>
        <w:t>Table B applies in lieu of Schedule 5 to the 2012 Act (albeit the amount of additional salary is unchanged).</w:t>
      </w:r>
    </w:p>
  </w:footnote>
  <w:footnote w:id="3">
    <w:p w:rsidR="001B3CA8" w:rsidRPr="00975ECD" w:rsidRDefault="001B3CA8" w:rsidP="00FB43A8">
      <w:pPr>
        <w:pStyle w:val="FootnoteText"/>
        <w:spacing w:after="0"/>
        <w:rPr>
          <w:color w:val="7F7F7F" w:themeColor="text1" w:themeTint="80"/>
          <w:sz w:val="16"/>
          <w:szCs w:val="16"/>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For the period of this Determination </w:t>
      </w:r>
      <w:r w:rsidRPr="00975ECD">
        <w:rPr>
          <w:color w:val="7F7F7F" w:themeColor="text1" w:themeTint="80"/>
          <w:sz w:val="16"/>
          <w:szCs w:val="16"/>
          <w:lang w:val="en-US"/>
        </w:rPr>
        <w:t xml:space="preserve">or until the date when the next Determination takes effect, whichever is later, </w:t>
      </w:r>
      <w:r w:rsidRPr="00975ECD">
        <w:rPr>
          <w:color w:val="7F7F7F" w:themeColor="text1" w:themeTint="80"/>
          <w:sz w:val="16"/>
          <w:szCs w:val="16"/>
        </w:rPr>
        <w:t>the allowances defined in paragraphs 3.1 to 3.7 of the Determination apply instead of clauses 1 to 8 of Schedule 6 to the 2012 Act.</w:t>
      </w:r>
    </w:p>
  </w:footnote>
  <w:footnote w:id="4">
    <w:p w:rsidR="001B3CA8" w:rsidRPr="00975ECD" w:rsidRDefault="001B3CA8" w:rsidP="0096612F">
      <w:pPr>
        <w:pStyle w:val="FootnoteText"/>
        <w:spacing w:after="0"/>
        <w:rPr>
          <w:color w:val="7F7F7F" w:themeColor="text1" w:themeTint="80"/>
          <w:sz w:val="16"/>
          <w:szCs w:val="16"/>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However, note that clauses 5(b) of Part of 1 of Schedule 1, 3(b) and 5(b) of Part 2 of Schedule 1 and 3(b) of Schedule 2 to the 2012 Act provide that, if before 30 June 2018 </w:t>
      </w:r>
    </w:p>
    <w:p w:rsidR="001B3CA8" w:rsidRPr="00975ECD" w:rsidRDefault="001B3CA8" w:rsidP="0096612F">
      <w:pPr>
        <w:pStyle w:val="FootnoteText"/>
        <w:spacing w:after="0"/>
        <w:ind w:left="567" w:hanging="283"/>
        <w:rPr>
          <w:color w:val="7F7F7F" w:themeColor="text1" w:themeTint="80"/>
          <w:sz w:val="16"/>
          <w:szCs w:val="16"/>
        </w:rPr>
      </w:pPr>
      <w:r w:rsidRPr="00975ECD">
        <w:rPr>
          <w:bCs/>
          <w:color w:val="7F7F7F" w:themeColor="text1" w:themeTint="80"/>
          <w:sz w:val="16"/>
          <w:szCs w:val="16"/>
        </w:rPr>
        <w:t>(i)</w:t>
      </w:r>
      <w:r w:rsidRPr="00975ECD">
        <w:rPr>
          <w:color w:val="7F7F7F" w:themeColor="text1" w:themeTint="80"/>
          <w:sz w:val="16"/>
          <w:szCs w:val="16"/>
        </w:rPr>
        <w:t xml:space="preserve"> a determination in relation to a period commencing 1 July 2018 has not been laid before both Houses; or</w:t>
      </w:r>
    </w:p>
    <w:p w:rsidR="001B3CA8" w:rsidRPr="00975ECD" w:rsidRDefault="001B3CA8" w:rsidP="0096612F">
      <w:pPr>
        <w:pStyle w:val="FootnoteText"/>
        <w:spacing w:after="0"/>
        <w:ind w:left="567" w:hanging="283"/>
        <w:rPr>
          <w:color w:val="7F7F7F" w:themeColor="text1" w:themeTint="80"/>
          <w:sz w:val="16"/>
          <w:szCs w:val="16"/>
        </w:rPr>
      </w:pPr>
      <w:bookmarkStart w:id="26" w:name="JS1@HS1@GC2@Gc5@Hpb@Hqii@EN"/>
      <w:bookmarkEnd w:id="26"/>
      <w:r w:rsidRPr="00975ECD">
        <w:rPr>
          <w:bCs/>
          <w:color w:val="7F7F7F" w:themeColor="text1" w:themeTint="80"/>
          <w:sz w:val="16"/>
          <w:szCs w:val="16"/>
        </w:rPr>
        <w:t>(ii)</w:t>
      </w:r>
      <w:r w:rsidRPr="00975ECD">
        <w:rPr>
          <w:color w:val="7F7F7F" w:themeColor="text1" w:themeTint="80"/>
          <w:sz w:val="16"/>
          <w:szCs w:val="16"/>
        </w:rPr>
        <w:t xml:space="preserve"> a determination in relation to a period commencing 1 July 2018 has been laid before both Houses but the period in which it may be disallowed by a House under section 3G of the 2012 Act has not expired; or</w:t>
      </w:r>
    </w:p>
    <w:p w:rsidR="001B3CA8" w:rsidRPr="00975ECD" w:rsidRDefault="001B3CA8" w:rsidP="0096612F">
      <w:pPr>
        <w:pStyle w:val="FootnoteText"/>
        <w:spacing w:after="0"/>
        <w:ind w:left="567" w:hanging="283"/>
        <w:rPr>
          <w:color w:val="7F7F7F" w:themeColor="text1" w:themeTint="80"/>
          <w:sz w:val="16"/>
          <w:szCs w:val="16"/>
        </w:rPr>
      </w:pPr>
      <w:bookmarkStart w:id="27" w:name="JS1@HS1@GC2@Gc5@Hpb@Hqiii@EN"/>
      <w:bookmarkEnd w:id="27"/>
      <w:r w:rsidRPr="00975ECD">
        <w:rPr>
          <w:bCs/>
          <w:color w:val="7F7F7F" w:themeColor="text1" w:themeTint="80"/>
          <w:sz w:val="16"/>
          <w:szCs w:val="16"/>
        </w:rPr>
        <w:t>(iii)</w:t>
      </w:r>
      <w:r w:rsidRPr="00975ECD">
        <w:rPr>
          <w:color w:val="7F7F7F" w:themeColor="text1" w:themeTint="80"/>
          <w:sz w:val="16"/>
          <w:szCs w:val="16"/>
        </w:rPr>
        <w:t xml:space="preserve"> a determination in relation to a period commencing 1 July 2018 has been disallowed by both Houses under section 3G of the 2012 Act</w:t>
      </w:r>
    </w:p>
    <w:p w:rsidR="001B3CA8" w:rsidRPr="00975ECD" w:rsidRDefault="001B3CA8" w:rsidP="0096612F">
      <w:pPr>
        <w:pStyle w:val="FootnoteText"/>
        <w:spacing w:after="0"/>
        <w:rPr>
          <w:color w:val="7F7F7F" w:themeColor="text1" w:themeTint="80"/>
          <w:sz w:val="16"/>
          <w:szCs w:val="16"/>
        </w:rPr>
      </w:pPr>
      <w:r w:rsidRPr="00975ECD">
        <w:rPr>
          <w:color w:val="7F7F7F" w:themeColor="text1" w:themeTint="80"/>
          <w:sz w:val="16"/>
          <w:szCs w:val="16"/>
        </w:rPr>
        <w:t>the basic salary, additional salary and allowances to which a member of Parliament is entitled under this determination continue to have effect until a new determination takes effect.</w:t>
      </w:r>
    </w:p>
  </w:footnote>
  <w:footnote w:id="5">
    <w:p w:rsidR="001B3CA8" w:rsidRPr="00975ECD" w:rsidRDefault="001B3CA8" w:rsidP="006B3AD1">
      <w:pPr>
        <w:pStyle w:val="FootnoteText"/>
        <w:spacing w:after="0"/>
        <w:rPr>
          <w:color w:val="7F7F7F" w:themeColor="text1" w:themeTint="80"/>
          <w:sz w:val="16"/>
          <w:szCs w:val="16"/>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This Tribunal was similar to and had been preceded by other Panels, Tribunals and Committees of Review established in 1995, 1999 and 2006 for similar purposes.</w:t>
      </w:r>
    </w:p>
  </w:footnote>
  <w:footnote w:id="6">
    <w:p w:rsidR="001B3CA8" w:rsidRPr="00975ECD" w:rsidRDefault="001B3CA8" w:rsidP="006B3AD1">
      <w:pPr>
        <w:pStyle w:val="FootnoteText"/>
        <w:spacing w:after="0"/>
        <w:rPr>
          <w:color w:val="7F7F7F" w:themeColor="text1" w:themeTint="80"/>
          <w:sz w:val="16"/>
          <w:szCs w:val="16"/>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w:t>
      </w:r>
      <w:r w:rsidRPr="00975ECD">
        <w:rPr>
          <w:i/>
          <w:color w:val="7F7F7F" w:themeColor="text1" w:themeTint="80"/>
          <w:sz w:val="16"/>
          <w:szCs w:val="16"/>
          <w:lang w:val="en-US"/>
        </w:rPr>
        <w:t>Report of the Parliamentary Salaries and Allowances Tribunal Inquiring into Basic Salary, Allowances and Benefits provided to Members of the Tasmanian Parliament</w:t>
      </w:r>
      <w:r w:rsidRPr="00975ECD">
        <w:rPr>
          <w:color w:val="7F7F7F" w:themeColor="text1" w:themeTint="80"/>
          <w:sz w:val="16"/>
          <w:szCs w:val="16"/>
          <w:lang w:val="en-US"/>
        </w:rPr>
        <w:t>,</w:t>
      </w:r>
      <w:r w:rsidRPr="00975ECD">
        <w:rPr>
          <w:color w:val="7F7F7F" w:themeColor="text1" w:themeTint="80"/>
          <w:sz w:val="16"/>
          <w:szCs w:val="16"/>
        </w:rPr>
        <w:t xml:space="preserve"> Abey T, Wells N and Deegan B</w:t>
      </w:r>
      <w:r w:rsidRPr="00975ECD">
        <w:rPr>
          <w:color w:val="7F7F7F" w:themeColor="text1" w:themeTint="80"/>
          <w:sz w:val="16"/>
          <w:szCs w:val="16"/>
          <w:lang w:val="en-US"/>
        </w:rPr>
        <w:t>, 30 May 2014.</w:t>
      </w:r>
    </w:p>
  </w:footnote>
  <w:footnote w:id="7">
    <w:p w:rsidR="001B3CA8" w:rsidRPr="00975ECD" w:rsidRDefault="001B3CA8" w:rsidP="00BF4E1E">
      <w:pPr>
        <w:pStyle w:val="FootnoteText"/>
        <w:spacing w:after="0"/>
        <w:rPr>
          <w:color w:val="7F7F7F" w:themeColor="text1" w:themeTint="80"/>
          <w:sz w:val="16"/>
          <w:szCs w:val="16"/>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See sections 3C(1) and (2) of the 2012 Act.</w:t>
      </w:r>
    </w:p>
  </w:footnote>
  <w:footnote w:id="8">
    <w:p w:rsidR="001B3CA8" w:rsidRPr="00975ECD" w:rsidRDefault="001B3CA8" w:rsidP="00BF4E1E">
      <w:pPr>
        <w:pStyle w:val="FootnoteText"/>
        <w:spacing w:after="0"/>
        <w:rPr>
          <w:color w:val="7F7F7F" w:themeColor="text1" w:themeTint="80"/>
          <w:sz w:val="16"/>
          <w:szCs w:val="16"/>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See sections 3C(3), (4) and (5) of the 2012 Act.</w:t>
      </w:r>
    </w:p>
  </w:footnote>
  <w:footnote w:id="9">
    <w:p w:rsidR="001B3CA8" w:rsidRPr="00975ECD" w:rsidRDefault="001B3CA8" w:rsidP="00BF4E1E">
      <w:pPr>
        <w:pStyle w:val="FootnoteText"/>
        <w:spacing w:after="0"/>
        <w:rPr>
          <w:color w:val="7F7F7F" w:themeColor="text1" w:themeTint="80"/>
          <w:sz w:val="16"/>
          <w:szCs w:val="16"/>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See section 3E(2) of the 2012 Act.</w:t>
      </w:r>
    </w:p>
  </w:footnote>
  <w:footnote w:id="10">
    <w:p w:rsidR="001B3CA8" w:rsidRPr="00975ECD" w:rsidRDefault="001B3CA8" w:rsidP="00BF4E1E">
      <w:pPr>
        <w:pStyle w:val="FootnoteText"/>
        <w:spacing w:after="0"/>
        <w:rPr>
          <w:color w:val="7F7F7F" w:themeColor="text1" w:themeTint="80"/>
          <w:sz w:val="16"/>
          <w:szCs w:val="16"/>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See sections 3D(2)(f) and (g) of the 2012 Act.</w:t>
      </w:r>
    </w:p>
  </w:footnote>
  <w:footnote w:id="11">
    <w:p w:rsidR="001B3CA8" w:rsidRPr="00975ECD" w:rsidRDefault="001B3CA8" w:rsidP="00932D2A">
      <w:pPr>
        <w:pStyle w:val="FootnoteText"/>
        <w:spacing w:after="0"/>
        <w:rPr>
          <w:color w:val="7F7F7F" w:themeColor="text1" w:themeTint="80"/>
          <w:sz w:val="16"/>
          <w:szCs w:val="16"/>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w:t>
      </w:r>
      <w:r w:rsidRPr="00975ECD">
        <w:rPr>
          <w:i/>
          <w:color w:val="7F7F7F" w:themeColor="text1" w:themeTint="80"/>
          <w:sz w:val="16"/>
          <w:szCs w:val="16"/>
        </w:rPr>
        <w:t>Review of Parliamentary Salaries and Allowances Issues Paper</w:t>
      </w:r>
      <w:r w:rsidRPr="00975ECD">
        <w:rPr>
          <w:color w:val="7F7F7F" w:themeColor="text1" w:themeTint="80"/>
          <w:sz w:val="16"/>
          <w:szCs w:val="16"/>
        </w:rPr>
        <w:t>, October 2013.</w:t>
      </w:r>
    </w:p>
  </w:footnote>
  <w:footnote w:id="12">
    <w:p w:rsidR="001B3CA8" w:rsidRPr="00975ECD" w:rsidRDefault="001B3CA8" w:rsidP="00932D2A">
      <w:pPr>
        <w:pStyle w:val="FootnoteText"/>
        <w:spacing w:after="0"/>
        <w:rPr>
          <w:color w:val="7F7F7F" w:themeColor="text1" w:themeTint="80"/>
          <w:sz w:val="16"/>
          <w:szCs w:val="16"/>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w:t>
      </w:r>
      <w:r w:rsidRPr="00975ECD">
        <w:rPr>
          <w:i/>
          <w:color w:val="7F7F7F" w:themeColor="text1" w:themeTint="80"/>
          <w:sz w:val="16"/>
          <w:szCs w:val="16"/>
        </w:rPr>
        <w:t>Inquiry into Parliamentary Salaries and Allowances by the Full Bench of the Tasmanian Industrial Commission Issues Paper</w:t>
      </w:r>
      <w:r w:rsidRPr="00975ECD">
        <w:rPr>
          <w:color w:val="7F7F7F" w:themeColor="text1" w:themeTint="80"/>
          <w:sz w:val="16"/>
          <w:szCs w:val="16"/>
        </w:rPr>
        <w:t>, September 2015.</w:t>
      </w:r>
    </w:p>
  </w:footnote>
  <w:footnote w:id="13">
    <w:p w:rsidR="001B3CA8" w:rsidRPr="00975ECD" w:rsidRDefault="001B3CA8" w:rsidP="00EC1A81">
      <w:pPr>
        <w:pStyle w:val="FootnoteText"/>
        <w:spacing w:after="0"/>
        <w:rPr>
          <w:color w:val="7F7F7F" w:themeColor="text1" w:themeTint="80"/>
          <w:sz w:val="16"/>
          <w:szCs w:val="16"/>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w:t>
      </w:r>
      <w:r w:rsidRPr="00975ECD">
        <w:rPr>
          <w:color w:val="7F7F7F" w:themeColor="text1" w:themeTint="80"/>
          <w:sz w:val="16"/>
          <w:szCs w:val="16"/>
          <w:lang w:val="en-US"/>
        </w:rPr>
        <w:t>As an aside, this compares with a total of 21 (written and oral) submissions received by the Tribunal in relation to its inquiry which led to the 2014 Report.</w:t>
      </w:r>
    </w:p>
  </w:footnote>
  <w:footnote w:id="14">
    <w:p w:rsidR="001B3CA8" w:rsidRPr="00975ECD" w:rsidRDefault="001B3CA8" w:rsidP="00EC1A81">
      <w:pPr>
        <w:pStyle w:val="FootnoteText"/>
        <w:spacing w:after="0"/>
        <w:rPr>
          <w:color w:val="7F7F7F" w:themeColor="text1" w:themeTint="80"/>
          <w:sz w:val="16"/>
          <w:szCs w:val="16"/>
          <w:lang w:val="en-US"/>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w:t>
      </w:r>
      <w:r w:rsidRPr="00975ECD">
        <w:rPr>
          <w:color w:val="7F7F7F" w:themeColor="text1" w:themeTint="80"/>
          <w:sz w:val="16"/>
          <w:szCs w:val="16"/>
          <w:lang w:val="en-US"/>
        </w:rPr>
        <w:t>See Part 1 of Schedule 1 to the 2012 Act.</w:t>
      </w:r>
    </w:p>
  </w:footnote>
  <w:footnote w:id="15">
    <w:p w:rsidR="001B3CA8" w:rsidRPr="00975ECD" w:rsidRDefault="001B3CA8" w:rsidP="00A04E7A">
      <w:pPr>
        <w:pStyle w:val="FootnoteText"/>
        <w:spacing w:after="0"/>
        <w:rPr>
          <w:color w:val="7F7F7F" w:themeColor="text1" w:themeTint="80"/>
          <w:sz w:val="16"/>
          <w:szCs w:val="16"/>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See section 3E(2) of the 2012 Act.</w:t>
      </w:r>
    </w:p>
  </w:footnote>
  <w:footnote w:id="16">
    <w:p w:rsidR="001B3CA8" w:rsidRPr="006B3AD1" w:rsidRDefault="001B3CA8" w:rsidP="00AB392E">
      <w:pPr>
        <w:pStyle w:val="FootnoteText"/>
        <w:spacing w:after="0"/>
        <w:rPr>
          <w:color w:val="375F91"/>
          <w:sz w:val="16"/>
          <w:szCs w:val="16"/>
        </w:rPr>
      </w:pPr>
      <w:r w:rsidRPr="006B3AD1">
        <w:rPr>
          <w:rStyle w:val="FootnoteReference"/>
          <w:color w:val="375F91"/>
          <w:sz w:val="16"/>
          <w:szCs w:val="16"/>
        </w:rPr>
        <w:footnoteRef/>
      </w:r>
      <w:r w:rsidRPr="006B3AD1">
        <w:rPr>
          <w:color w:val="375F91"/>
          <w:sz w:val="16"/>
          <w:szCs w:val="16"/>
        </w:rPr>
        <w:t xml:space="preserve"> See paragraphs 4.2.1 and 4.2.2 of the 2014 Report.</w:t>
      </w:r>
    </w:p>
  </w:footnote>
  <w:footnote w:id="17">
    <w:p w:rsidR="001B3CA8" w:rsidRPr="00975ECD" w:rsidRDefault="001B3CA8" w:rsidP="001F37F6">
      <w:pPr>
        <w:pStyle w:val="FootnoteText"/>
        <w:spacing w:after="0"/>
        <w:rPr>
          <w:color w:val="7F7F7F" w:themeColor="text1" w:themeTint="80"/>
          <w:sz w:val="16"/>
          <w:szCs w:val="16"/>
          <w:lang w:val="en-US"/>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w:t>
      </w:r>
      <w:r w:rsidRPr="00975ECD">
        <w:rPr>
          <w:i/>
          <w:color w:val="7F7F7F" w:themeColor="text1" w:themeTint="80"/>
          <w:sz w:val="16"/>
          <w:szCs w:val="16"/>
          <w:lang w:val="en-US"/>
        </w:rPr>
        <w:t>The Attributes, Role and Reward of a Backbencher in the Federal Parliament</w:t>
      </w:r>
      <w:r w:rsidRPr="00975ECD">
        <w:rPr>
          <w:color w:val="7F7F7F" w:themeColor="text1" w:themeTint="80"/>
          <w:sz w:val="16"/>
          <w:szCs w:val="16"/>
          <w:lang w:val="en-US"/>
        </w:rPr>
        <w:t>, Egan Associates, November 2011.</w:t>
      </w:r>
    </w:p>
  </w:footnote>
  <w:footnote w:id="18">
    <w:p w:rsidR="001B3CA8" w:rsidRPr="00975ECD" w:rsidRDefault="001B3CA8" w:rsidP="001F37F6">
      <w:pPr>
        <w:pStyle w:val="FootnoteText"/>
        <w:spacing w:after="0"/>
        <w:rPr>
          <w:color w:val="7F7F7F" w:themeColor="text1" w:themeTint="80"/>
          <w:sz w:val="16"/>
          <w:szCs w:val="16"/>
          <w:lang w:val="en-US"/>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w:t>
      </w:r>
      <w:r w:rsidRPr="00975ECD">
        <w:rPr>
          <w:i/>
          <w:color w:val="7F7F7F" w:themeColor="text1" w:themeTint="80"/>
          <w:sz w:val="16"/>
          <w:szCs w:val="16"/>
          <w:lang w:val="en-US"/>
        </w:rPr>
        <w:t>Building a New Remuneration Structure for Members of the Queensland Parliament</w:t>
      </w:r>
      <w:r w:rsidRPr="00975ECD">
        <w:rPr>
          <w:color w:val="7F7F7F" w:themeColor="text1" w:themeTint="80"/>
          <w:sz w:val="16"/>
          <w:szCs w:val="16"/>
          <w:lang w:val="en-US"/>
        </w:rPr>
        <w:t>, Queensland Independent Remuneration Tribunal, Determination 1/2013 15 October 2013.</w:t>
      </w:r>
    </w:p>
  </w:footnote>
  <w:footnote w:id="19">
    <w:p w:rsidR="001B3CA8" w:rsidRPr="00975ECD" w:rsidRDefault="001B3CA8" w:rsidP="0096612F">
      <w:pPr>
        <w:pStyle w:val="FootnoteText"/>
        <w:spacing w:after="0"/>
        <w:rPr>
          <w:color w:val="7F7F7F" w:themeColor="text1" w:themeTint="80"/>
          <w:sz w:val="16"/>
          <w:szCs w:val="16"/>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The actual SA basic salary is $187 334 pa. However this includes $17 124 to </w:t>
      </w:r>
      <w:r w:rsidRPr="00975ECD">
        <w:rPr>
          <w:iCs/>
          <w:color w:val="7F7F7F" w:themeColor="text1" w:themeTint="80"/>
          <w:sz w:val="16"/>
          <w:szCs w:val="16"/>
        </w:rPr>
        <w:t xml:space="preserve">compensate for loss of travel allowance – given that the Tasmanian basic salary would not include such compensation it has been excluded for the purpose of comparison.  The portion of the common allowance that remunerates committee work has been included, as one of the Commission’s recommendations in this Report is that committee work be considered as part of the role of an MP for which they are paid the basic salary (see section10.2).  If the common allowance was excluded, the basic salary in SA would be $157 040 pa. </w:t>
      </w:r>
    </w:p>
  </w:footnote>
  <w:footnote w:id="20">
    <w:p w:rsidR="001B3CA8" w:rsidRPr="00975ECD" w:rsidRDefault="001B3CA8" w:rsidP="006671F8">
      <w:pPr>
        <w:pStyle w:val="FootnoteText"/>
        <w:rPr>
          <w:color w:val="7F7F7F" w:themeColor="text1" w:themeTint="80"/>
          <w:sz w:val="16"/>
          <w:szCs w:val="16"/>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See previous footnote.</w:t>
      </w:r>
    </w:p>
  </w:footnote>
  <w:footnote w:id="21">
    <w:p w:rsidR="001B3CA8" w:rsidRPr="00975ECD" w:rsidRDefault="001B3CA8" w:rsidP="00C771AD">
      <w:pPr>
        <w:pStyle w:val="FootnoteText"/>
        <w:spacing w:after="0"/>
        <w:rPr>
          <w:color w:val="7F7F7F" w:themeColor="text1" w:themeTint="80"/>
          <w:sz w:val="16"/>
          <w:szCs w:val="16"/>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w:t>
      </w:r>
      <w:r w:rsidRPr="00975ECD">
        <w:rPr>
          <w:color w:val="7F7F7F" w:themeColor="text1" w:themeTint="80"/>
          <w:sz w:val="16"/>
          <w:szCs w:val="16"/>
          <w:lang w:val="en-US"/>
        </w:rPr>
        <w:t>Source ABS Catalogue 6302.0 as at January 2016.</w:t>
      </w:r>
    </w:p>
  </w:footnote>
  <w:footnote w:id="22">
    <w:p w:rsidR="001B3CA8" w:rsidRPr="00975ECD" w:rsidRDefault="001B3CA8" w:rsidP="00A37F7D">
      <w:pPr>
        <w:pStyle w:val="FootnoteText"/>
        <w:spacing w:after="0"/>
        <w:rPr>
          <w:color w:val="7F7F7F" w:themeColor="text1" w:themeTint="80"/>
          <w:sz w:val="16"/>
          <w:szCs w:val="16"/>
        </w:rPr>
      </w:pPr>
      <w:r w:rsidRPr="00975ECD">
        <w:rPr>
          <w:rStyle w:val="FootnoteReference"/>
          <w:color w:val="7F7F7F" w:themeColor="text1" w:themeTint="80"/>
          <w:sz w:val="16"/>
          <w:szCs w:val="16"/>
        </w:rPr>
        <w:footnoteRef/>
      </w:r>
      <w:r w:rsidRPr="00975ECD">
        <w:rPr>
          <w:color w:val="7F7F7F" w:themeColor="text1" w:themeTint="80"/>
        </w:rPr>
        <w:t xml:space="preserve"> </w:t>
      </w:r>
      <w:r w:rsidRPr="00975ECD">
        <w:rPr>
          <w:color w:val="7F7F7F" w:themeColor="text1" w:themeTint="80"/>
          <w:sz w:val="16"/>
          <w:szCs w:val="16"/>
        </w:rPr>
        <w:t>Difference between AWOTE Australia and Tasmania compared to Tasmania.</w:t>
      </w:r>
    </w:p>
  </w:footnote>
  <w:footnote w:id="23">
    <w:p w:rsidR="001B3CA8" w:rsidRPr="00975ECD" w:rsidRDefault="001B3CA8" w:rsidP="00C771AD">
      <w:pPr>
        <w:pStyle w:val="FootnoteText"/>
        <w:spacing w:after="0"/>
        <w:rPr>
          <w:color w:val="7F7F7F" w:themeColor="text1" w:themeTint="80"/>
          <w:sz w:val="16"/>
          <w:szCs w:val="16"/>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Source ABS Catalogue 6401.0</w:t>
      </w:r>
      <w:r w:rsidRPr="00975ECD">
        <w:rPr>
          <w:color w:val="7F7F7F" w:themeColor="text1" w:themeTint="80"/>
          <w:sz w:val="16"/>
          <w:szCs w:val="16"/>
          <w:lang w:val="en-US"/>
        </w:rPr>
        <w:t xml:space="preserve"> as at January 2016.</w:t>
      </w:r>
    </w:p>
  </w:footnote>
  <w:footnote w:id="24">
    <w:p w:rsidR="001B3CA8" w:rsidRPr="00975ECD" w:rsidRDefault="001B3CA8" w:rsidP="00C771AD">
      <w:pPr>
        <w:pStyle w:val="FootnoteText"/>
        <w:spacing w:after="0"/>
        <w:rPr>
          <w:color w:val="7F7F7F" w:themeColor="text1" w:themeTint="80"/>
          <w:sz w:val="16"/>
          <w:szCs w:val="16"/>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w:t>
      </w:r>
      <w:r w:rsidRPr="00975ECD">
        <w:rPr>
          <w:color w:val="7F7F7F" w:themeColor="text1" w:themeTint="80"/>
          <w:sz w:val="16"/>
          <w:szCs w:val="16"/>
          <w:lang w:val="en-US"/>
        </w:rPr>
        <w:t>Source ABS Catalogue 6302.0 as at January 2016.</w:t>
      </w:r>
    </w:p>
  </w:footnote>
  <w:footnote w:id="25">
    <w:p w:rsidR="001B3CA8" w:rsidRPr="00975ECD" w:rsidRDefault="001B3CA8" w:rsidP="00325226">
      <w:pPr>
        <w:pStyle w:val="FootnoteText"/>
        <w:spacing w:after="0"/>
        <w:rPr>
          <w:color w:val="7F7F7F" w:themeColor="text1" w:themeTint="80"/>
          <w:sz w:val="16"/>
          <w:szCs w:val="16"/>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w:t>
      </w:r>
      <w:r w:rsidRPr="00975ECD">
        <w:rPr>
          <w:color w:val="7F7F7F" w:themeColor="text1" w:themeTint="80"/>
          <w:sz w:val="16"/>
          <w:szCs w:val="16"/>
          <w:lang w:val="en-US"/>
        </w:rPr>
        <w:t>Source ABS Catalogue 6345.0 as at January 2016.</w:t>
      </w:r>
    </w:p>
  </w:footnote>
  <w:footnote w:id="26">
    <w:p w:rsidR="001B3CA8" w:rsidRPr="00975ECD" w:rsidRDefault="001B3CA8" w:rsidP="00EE7618">
      <w:pPr>
        <w:pStyle w:val="FootnoteText"/>
        <w:spacing w:after="0"/>
        <w:rPr>
          <w:color w:val="7F7F7F" w:themeColor="text1" w:themeTint="80"/>
          <w:sz w:val="16"/>
          <w:szCs w:val="16"/>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The </w:t>
      </w:r>
      <w:r w:rsidRPr="00975ECD">
        <w:rPr>
          <w:i/>
          <w:color w:val="7F7F7F" w:themeColor="text1" w:themeTint="80"/>
          <w:sz w:val="16"/>
          <w:szCs w:val="16"/>
        </w:rPr>
        <w:t xml:space="preserve">Parliamentary Salaries, Superannuation and Allowances Bill 2012.  </w:t>
      </w:r>
      <w:r w:rsidRPr="00975ECD">
        <w:rPr>
          <w:color w:val="7F7F7F" w:themeColor="text1" w:themeTint="80"/>
          <w:sz w:val="16"/>
          <w:szCs w:val="16"/>
        </w:rPr>
        <w:t xml:space="preserve">The original version of this Bill as tabled provided for the basic salary of an MP to be 95.734% of level 1 of range 1 of Band 9 of the </w:t>
      </w:r>
      <w:r w:rsidRPr="00975ECD">
        <w:rPr>
          <w:color w:val="7F7F7F" w:themeColor="text1" w:themeTint="80"/>
          <w:sz w:val="16"/>
          <w:szCs w:val="16"/>
          <w:lang w:val="en-US"/>
        </w:rPr>
        <w:t>Tasmanian State Service Award.  The Bill was amended during debate and this provision was replaced in the 2012 Act.</w:t>
      </w:r>
    </w:p>
  </w:footnote>
  <w:footnote w:id="27">
    <w:p w:rsidR="001B3CA8" w:rsidRPr="00975ECD" w:rsidRDefault="001B3CA8" w:rsidP="00E23CE6">
      <w:pPr>
        <w:pStyle w:val="FootnoteText"/>
        <w:spacing w:after="0"/>
        <w:rPr>
          <w:color w:val="7F7F7F" w:themeColor="text1" w:themeTint="80"/>
          <w:sz w:val="16"/>
          <w:szCs w:val="16"/>
        </w:rPr>
      </w:pPr>
      <w:r w:rsidRPr="00975ECD">
        <w:rPr>
          <w:rStyle w:val="FootnoteReference"/>
          <w:color w:val="7F7F7F" w:themeColor="text1" w:themeTint="80"/>
          <w:sz w:val="16"/>
        </w:rPr>
        <w:footnoteRef/>
      </w:r>
      <w:r w:rsidRPr="00975ECD">
        <w:rPr>
          <w:color w:val="7F7F7F" w:themeColor="text1" w:themeTint="80"/>
          <w:sz w:val="16"/>
        </w:rPr>
        <w:t xml:space="preserve"> </w:t>
      </w:r>
      <w:r w:rsidRPr="00975ECD">
        <w:rPr>
          <w:color w:val="7F7F7F" w:themeColor="text1" w:themeTint="80"/>
          <w:sz w:val="16"/>
          <w:szCs w:val="16"/>
          <w:lang w:val="en-US"/>
        </w:rPr>
        <w:t>Operative 3 December 2015.</w:t>
      </w:r>
    </w:p>
  </w:footnote>
  <w:footnote w:id="28">
    <w:p w:rsidR="001B3CA8" w:rsidRPr="00975ECD" w:rsidRDefault="001B3CA8" w:rsidP="00E23CE6">
      <w:pPr>
        <w:pStyle w:val="FootnoteText"/>
        <w:spacing w:after="0"/>
        <w:rPr>
          <w:color w:val="7F7F7F" w:themeColor="text1" w:themeTint="80"/>
          <w:sz w:val="16"/>
          <w:szCs w:val="16"/>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w:t>
      </w:r>
      <w:r w:rsidRPr="00975ECD">
        <w:rPr>
          <w:color w:val="7F7F7F" w:themeColor="text1" w:themeTint="80"/>
          <w:sz w:val="16"/>
          <w:szCs w:val="16"/>
          <w:lang w:val="en-US"/>
        </w:rPr>
        <w:t>Operative 1 July 2016.</w:t>
      </w:r>
    </w:p>
  </w:footnote>
  <w:footnote w:id="29">
    <w:p w:rsidR="001B3CA8" w:rsidRPr="00975ECD" w:rsidRDefault="001B3CA8" w:rsidP="00975ECD">
      <w:pPr>
        <w:pStyle w:val="FootnoteText"/>
        <w:spacing w:after="0"/>
        <w:rPr>
          <w:color w:val="7F7F7F" w:themeColor="text1" w:themeTint="80"/>
          <w:sz w:val="16"/>
          <w:szCs w:val="16"/>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w:t>
      </w:r>
      <w:r w:rsidRPr="00975ECD">
        <w:rPr>
          <w:color w:val="7F7F7F" w:themeColor="text1" w:themeTint="80"/>
          <w:sz w:val="16"/>
          <w:szCs w:val="16"/>
          <w:lang w:val="en-US"/>
        </w:rPr>
        <w:t>Operative 1 March 2016.</w:t>
      </w:r>
    </w:p>
  </w:footnote>
  <w:footnote w:id="30">
    <w:p w:rsidR="001B3CA8" w:rsidRPr="00975ECD" w:rsidRDefault="001B3CA8" w:rsidP="005779EB">
      <w:pPr>
        <w:pStyle w:val="FootnoteText"/>
        <w:spacing w:after="0"/>
        <w:rPr>
          <w:color w:val="7F7F7F" w:themeColor="text1" w:themeTint="80"/>
          <w:sz w:val="16"/>
          <w:szCs w:val="16"/>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Source SSMO submission.</w:t>
      </w:r>
    </w:p>
  </w:footnote>
  <w:footnote w:id="31">
    <w:p w:rsidR="001B3CA8" w:rsidRPr="00975ECD" w:rsidRDefault="001B3CA8" w:rsidP="00283355">
      <w:pPr>
        <w:pStyle w:val="FootnoteText"/>
        <w:spacing w:after="0"/>
        <w:rPr>
          <w:color w:val="7F7F7F" w:themeColor="text1" w:themeTint="80"/>
          <w:sz w:val="16"/>
          <w:szCs w:val="16"/>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w:t>
      </w:r>
      <w:r w:rsidRPr="00975ECD">
        <w:rPr>
          <w:rFonts w:eastAsia="Times New Roman"/>
          <w:color w:val="7F7F7F" w:themeColor="text1" w:themeTint="80"/>
          <w:sz w:val="16"/>
          <w:szCs w:val="16"/>
        </w:rPr>
        <w:t>Basic salary for MPs as at 1 July 2010.</w:t>
      </w:r>
    </w:p>
  </w:footnote>
  <w:footnote w:id="32">
    <w:p w:rsidR="001B3CA8" w:rsidRPr="00975ECD" w:rsidRDefault="001B3CA8" w:rsidP="00283355">
      <w:pPr>
        <w:pStyle w:val="FootnoteText"/>
        <w:spacing w:after="0"/>
        <w:rPr>
          <w:color w:val="7F7F7F" w:themeColor="text1" w:themeTint="80"/>
          <w:sz w:val="16"/>
          <w:szCs w:val="16"/>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w:t>
      </w:r>
      <w:r w:rsidRPr="00975ECD">
        <w:rPr>
          <w:rFonts w:eastAsia="Times New Roman"/>
          <w:color w:val="7F7F7F" w:themeColor="text1" w:themeTint="80"/>
          <w:sz w:val="16"/>
          <w:szCs w:val="16"/>
        </w:rPr>
        <w:t>Teachers due for 2.0% per annum in March 2016.</w:t>
      </w:r>
    </w:p>
  </w:footnote>
  <w:footnote w:id="33">
    <w:p w:rsidR="001B3CA8" w:rsidRPr="00975ECD" w:rsidRDefault="001B3CA8" w:rsidP="005779EB">
      <w:pPr>
        <w:pStyle w:val="FootnoteText"/>
        <w:spacing w:after="0"/>
        <w:rPr>
          <w:color w:val="7F7F7F" w:themeColor="text1" w:themeTint="80"/>
          <w:sz w:val="16"/>
          <w:szCs w:val="16"/>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Source SSMO submission.</w:t>
      </w:r>
    </w:p>
  </w:footnote>
  <w:footnote w:id="34">
    <w:p w:rsidR="001B3CA8" w:rsidRPr="00975ECD" w:rsidRDefault="001B3CA8" w:rsidP="005779EB">
      <w:pPr>
        <w:pStyle w:val="FootnoteText"/>
        <w:spacing w:after="0"/>
        <w:rPr>
          <w:color w:val="7F7F7F" w:themeColor="text1" w:themeTint="80"/>
          <w:sz w:val="16"/>
          <w:szCs w:val="16"/>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Source SSMO Submission.</w:t>
      </w:r>
    </w:p>
  </w:footnote>
  <w:footnote w:id="35">
    <w:p w:rsidR="001B3CA8" w:rsidRPr="00975ECD" w:rsidRDefault="001B3CA8" w:rsidP="005779EB">
      <w:pPr>
        <w:pStyle w:val="FootnoteText"/>
        <w:spacing w:after="0"/>
        <w:rPr>
          <w:color w:val="7F7F7F" w:themeColor="text1" w:themeTint="80"/>
          <w:sz w:val="16"/>
          <w:szCs w:val="16"/>
        </w:rPr>
      </w:pPr>
      <w:r w:rsidRPr="00975ECD">
        <w:rPr>
          <w:rStyle w:val="FootnoteReference"/>
          <w:color w:val="7F7F7F" w:themeColor="text1" w:themeTint="80"/>
          <w:sz w:val="16"/>
          <w:szCs w:val="16"/>
        </w:rPr>
        <w:footnoteRef/>
      </w:r>
      <w:r w:rsidRPr="00975ECD">
        <w:rPr>
          <w:color w:val="7F7F7F" w:themeColor="text1" w:themeTint="80"/>
          <w:sz w:val="16"/>
          <w:szCs w:val="16"/>
        </w:rPr>
        <w:t xml:space="preserve"> Source SSMO Submission.</w:t>
      </w:r>
    </w:p>
  </w:footnote>
  <w:footnote w:id="36">
    <w:p w:rsidR="001B3CA8" w:rsidRPr="006E4257" w:rsidRDefault="001B3CA8" w:rsidP="006B3AD1">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w:t>
      </w:r>
      <w:r w:rsidRPr="006E4257">
        <w:rPr>
          <w:color w:val="7F7F7F" w:themeColor="text1" w:themeTint="80"/>
          <w:sz w:val="16"/>
          <w:szCs w:val="16"/>
          <w:lang w:val="en-US"/>
        </w:rPr>
        <w:t>ABS Demographics 3101.0 – March 2015</w:t>
      </w:r>
    </w:p>
  </w:footnote>
  <w:footnote w:id="37">
    <w:p w:rsidR="001B3CA8" w:rsidRPr="006E4257" w:rsidRDefault="001B3CA8" w:rsidP="006B3AD1">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Various </w:t>
      </w:r>
      <w:r w:rsidRPr="006E4257">
        <w:rPr>
          <w:color w:val="7F7F7F" w:themeColor="text1" w:themeTint="80"/>
          <w:sz w:val="16"/>
          <w:szCs w:val="16"/>
          <w:lang w:val="en-US"/>
        </w:rPr>
        <w:t>State, Territory and Commonwealth Budget Papers</w:t>
      </w:r>
    </w:p>
  </w:footnote>
  <w:footnote w:id="38">
    <w:p w:rsidR="001B3CA8" w:rsidRPr="006E4257" w:rsidRDefault="001B3CA8" w:rsidP="006B3AD1">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w:t>
      </w:r>
      <w:r w:rsidRPr="006E4257">
        <w:rPr>
          <w:color w:val="7F7F7F" w:themeColor="text1" w:themeTint="80"/>
          <w:sz w:val="16"/>
          <w:szCs w:val="16"/>
          <w:lang w:val="en-US"/>
        </w:rPr>
        <w:t>Index formula: Population/member x Budget Revenue/member divided by 1 000 000</w:t>
      </w:r>
    </w:p>
  </w:footnote>
  <w:footnote w:id="39">
    <w:p w:rsidR="001B3CA8" w:rsidRPr="006E4257" w:rsidRDefault="001B3CA8" w:rsidP="006B3AD1">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See paragraphs 4.8.4 to 4.8.8 of the 2014 Report.</w:t>
      </w:r>
    </w:p>
  </w:footnote>
  <w:footnote w:id="40">
    <w:p w:rsidR="001B3CA8" w:rsidRPr="006E4257" w:rsidRDefault="001B3CA8" w:rsidP="006B3AD1">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See paragraph 4.9.7 of the 2014 Report.</w:t>
      </w:r>
    </w:p>
  </w:footnote>
  <w:footnote w:id="41">
    <w:p w:rsidR="001B3CA8" w:rsidRPr="006E4257" w:rsidRDefault="001B3CA8" w:rsidP="006B3AD1">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The information in Table 7 has been sourced from data available on parliamentary web sites.  The information should be viewed as indicative only as there may be inconsistency in the manner in which each parliament counts sitting days (ie each actual day of sitting or when some sittings may involve more than one day) or deals with Committees such as Estimate Committees.</w:t>
      </w:r>
    </w:p>
  </w:footnote>
  <w:footnote w:id="42">
    <w:p w:rsidR="001B3CA8" w:rsidRPr="006E4257" w:rsidRDefault="001B3CA8" w:rsidP="006B3AD1">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For Tasmania, Estimate Committee and GBE/SoC Scrutiny Committee hearings and three quorum call days for the Legislative Council in each of the two years are not included.</w:t>
      </w:r>
    </w:p>
  </w:footnote>
  <w:footnote w:id="43">
    <w:p w:rsidR="001B3CA8" w:rsidRPr="006E4257" w:rsidRDefault="001B3CA8" w:rsidP="006B3AD1">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See paragraph 4.14.2 of the 2014 Report.</w:t>
      </w:r>
    </w:p>
  </w:footnote>
  <w:footnote w:id="44">
    <w:p w:rsidR="001B3CA8" w:rsidRPr="006E4257" w:rsidRDefault="001B3CA8" w:rsidP="006B3AD1">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See paragraph 2.11 of the Commonwealth 2011 Report.</w:t>
      </w:r>
    </w:p>
  </w:footnote>
  <w:footnote w:id="45">
    <w:p w:rsidR="001B3CA8" w:rsidRPr="006E4257" w:rsidRDefault="001B3CA8" w:rsidP="006B3AD1">
      <w:pPr>
        <w:pStyle w:val="FootnoteText"/>
        <w:spacing w:after="0"/>
        <w:rPr>
          <w:color w:val="7F7F7F" w:themeColor="text1" w:themeTint="80"/>
          <w:sz w:val="16"/>
          <w:szCs w:val="16"/>
          <w:lang w:val="en-US"/>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w:t>
      </w:r>
      <w:r w:rsidRPr="006E4257">
        <w:rPr>
          <w:i/>
          <w:color w:val="7F7F7F" w:themeColor="text1" w:themeTint="80"/>
          <w:sz w:val="16"/>
          <w:szCs w:val="16"/>
          <w:lang w:val="en-US"/>
        </w:rPr>
        <w:t>Final Report on the Review of Entitlements for Members of ACT Legislative Assembly</w:t>
      </w:r>
      <w:r w:rsidRPr="006E4257">
        <w:rPr>
          <w:color w:val="7F7F7F" w:themeColor="text1" w:themeTint="80"/>
          <w:sz w:val="16"/>
          <w:szCs w:val="16"/>
          <w:lang w:val="en-US"/>
        </w:rPr>
        <w:t>. April 2014.</w:t>
      </w:r>
    </w:p>
  </w:footnote>
  <w:footnote w:id="46">
    <w:p w:rsidR="001B3CA8" w:rsidRPr="006E4257" w:rsidRDefault="001B3CA8" w:rsidP="006B3AD1">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Although not a link to a public service salary, the most notable problem of this type arose with a previous linkage mechanism. Since 1996 an MP basic salary had been set to be 85.19% of a Commonwealth parliamentarian’s basic salary, but this link was not sustainable and had to be removed by legislation when the Commonwealth Remuneration Tribunal awarded a 31% increase to members of the Commonwealth Parliament in 2011.</w:t>
      </w:r>
    </w:p>
  </w:footnote>
  <w:footnote w:id="47">
    <w:p w:rsidR="001B3CA8" w:rsidRPr="006E4257" w:rsidRDefault="001B3CA8" w:rsidP="00967FCC">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See section 3 of the </w:t>
      </w:r>
      <w:r w:rsidRPr="006E4257">
        <w:rPr>
          <w:i/>
          <w:color w:val="7F7F7F" w:themeColor="text1" w:themeTint="80"/>
          <w:sz w:val="16"/>
          <w:szCs w:val="16"/>
        </w:rPr>
        <w:t xml:space="preserve">Parliamentary Salaries and Superannuation Act 1968 </w:t>
      </w:r>
      <w:r w:rsidRPr="006E4257">
        <w:rPr>
          <w:color w:val="7F7F7F" w:themeColor="text1" w:themeTint="80"/>
          <w:sz w:val="16"/>
          <w:szCs w:val="16"/>
        </w:rPr>
        <w:t>(Vic).</w:t>
      </w:r>
    </w:p>
  </w:footnote>
  <w:footnote w:id="48">
    <w:p w:rsidR="001B3CA8" w:rsidRPr="006E4257" w:rsidRDefault="001B3CA8" w:rsidP="00967FCC">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See section </w:t>
      </w:r>
      <w:r w:rsidRPr="006E4257">
        <w:rPr>
          <w:color w:val="7F7F7F" w:themeColor="text1" w:themeTint="80"/>
          <w:sz w:val="16"/>
          <w:szCs w:val="16"/>
          <w:lang w:val="en-US"/>
        </w:rPr>
        <w:t>3C(3) of the 2012 Act.</w:t>
      </w:r>
    </w:p>
  </w:footnote>
  <w:footnote w:id="49">
    <w:p w:rsidR="001B3CA8" w:rsidRPr="006E4257" w:rsidRDefault="001B3CA8" w:rsidP="00E35D0D">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See Part 2 of Schedule 1 to the 2012 Act.</w:t>
      </w:r>
    </w:p>
  </w:footnote>
  <w:footnote w:id="50">
    <w:p w:rsidR="001B3CA8" w:rsidRPr="006E4257" w:rsidRDefault="001B3CA8" w:rsidP="004B0449">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w:t>
      </w:r>
      <w:r w:rsidRPr="006E4257">
        <w:rPr>
          <w:i/>
          <w:color w:val="7F7F7F" w:themeColor="text1" w:themeTint="80"/>
          <w:sz w:val="16"/>
          <w:szCs w:val="16"/>
        </w:rPr>
        <w:t>Remuneration Tribunal Report Number 1 of 2015</w:t>
      </w:r>
      <w:r w:rsidRPr="006E4257">
        <w:rPr>
          <w:color w:val="7F7F7F" w:themeColor="text1" w:themeTint="80"/>
          <w:sz w:val="16"/>
          <w:szCs w:val="16"/>
        </w:rPr>
        <w:t xml:space="preserve"> and </w:t>
      </w:r>
      <w:r w:rsidRPr="006E4257">
        <w:rPr>
          <w:i/>
          <w:color w:val="7F7F7F" w:themeColor="text1" w:themeTint="80"/>
          <w:sz w:val="16"/>
          <w:szCs w:val="16"/>
        </w:rPr>
        <w:t>Determination 2015/22.</w:t>
      </w:r>
    </w:p>
  </w:footnote>
  <w:footnote w:id="51">
    <w:p w:rsidR="001B3CA8" w:rsidRPr="006E4257" w:rsidRDefault="001B3CA8" w:rsidP="004B0449">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w:t>
      </w:r>
      <w:r w:rsidRPr="006E4257">
        <w:rPr>
          <w:i/>
          <w:color w:val="7F7F7F" w:themeColor="text1" w:themeTint="80"/>
          <w:sz w:val="16"/>
          <w:szCs w:val="16"/>
        </w:rPr>
        <w:t>ACT Remuneration Tribunal Determination 7 of 2015.</w:t>
      </w:r>
    </w:p>
  </w:footnote>
  <w:footnote w:id="52">
    <w:p w:rsidR="001B3CA8" w:rsidRPr="006E4257" w:rsidRDefault="001B3CA8" w:rsidP="004B0449">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w:t>
      </w:r>
      <w:r w:rsidRPr="006E4257">
        <w:rPr>
          <w:i/>
          <w:color w:val="7F7F7F" w:themeColor="text1" w:themeTint="80"/>
          <w:sz w:val="16"/>
          <w:szCs w:val="16"/>
        </w:rPr>
        <w:t xml:space="preserve">Parliamentary Remuneration Act 1989 </w:t>
      </w:r>
      <w:r w:rsidRPr="006E4257">
        <w:rPr>
          <w:color w:val="7F7F7F" w:themeColor="text1" w:themeTint="80"/>
          <w:sz w:val="16"/>
          <w:szCs w:val="16"/>
        </w:rPr>
        <w:t>(NSW), Schedule 1.</w:t>
      </w:r>
    </w:p>
  </w:footnote>
  <w:footnote w:id="53">
    <w:p w:rsidR="001B3CA8" w:rsidRPr="006E4257" w:rsidRDefault="001B3CA8" w:rsidP="004B0449">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w:t>
      </w:r>
      <w:r w:rsidRPr="006E4257">
        <w:rPr>
          <w:i/>
          <w:color w:val="7F7F7F" w:themeColor="text1" w:themeTint="80"/>
          <w:sz w:val="16"/>
          <w:szCs w:val="16"/>
        </w:rPr>
        <w:t>Northern Territory of Australia Remuneration Tribunal Report and Determination No 1 of 2015,</w:t>
      </w:r>
      <w:r w:rsidRPr="006E4257">
        <w:rPr>
          <w:color w:val="7F7F7F" w:themeColor="text1" w:themeTint="80"/>
          <w:sz w:val="16"/>
          <w:szCs w:val="16"/>
        </w:rPr>
        <w:t xml:space="preserve"> Schedule 1.</w:t>
      </w:r>
    </w:p>
  </w:footnote>
  <w:footnote w:id="54">
    <w:p w:rsidR="001B3CA8" w:rsidRPr="006E4257" w:rsidRDefault="001B3CA8" w:rsidP="004B0449">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w:t>
      </w:r>
      <w:r w:rsidRPr="006E4257">
        <w:rPr>
          <w:i/>
          <w:color w:val="7F7F7F" w:themeColor="text1" w:themeTint="80"/>
          <w:sz w:val="16"/>
          <w:szCs w:val="16"/>
        </w:rPr>
        <w:t>Queensland Independent Remuneration Tribunal Determination 7/2015.</w:t>
      </w:r>
    </w:p>
  </w:footnote>
  <w:footnote w:id="55">
    <w:p w:rsidR="001B3CA8" w:rsidRPr="006E4257" w:rsidRDefault="001B3CA8" w:rsidP="004B0449">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Schedule of </w:t>
      </w:r>
      <w:r w:rsidRPr="006E4257">
        <w:rPr>
          <w:i/>
          <w:color w:val="7F7F7F" w:themeColor="text1" w:themeTint="80"/>
          <w:sz w:val="16"/>
          <w:szCs w:val="16"/>
        </w:rPr>
        <w:t xml:space="preserve">Parliamentary Remuneration Act 1990 </w:t>
      </w:r>
      <w:r w:rsidRPr="006E4257">
        <w:rPr>
          <w:color w:val="7F7F7F" w:themeColor="text1" w:themeTint="80"/>
          <w:sz w:val="16"/>
          <w:szCs w:val="16"/>
        </w:rPr>
        <w:t>(SA).</w:t>
      </w:r>
    </w:p>
  </w:footnote>
  <w:footnote w:id="56">
    <w:p w:rsidR="001B3CA8" w:rsidRPr="006E4257" w:rsidRDefault="001B3CA8" w:rsidP="004B0449">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w:t>
      </w:r>
      <w:r w:rsidRPr="006E4257">
        <w:rPr>
          <w:i/>
          <w:color w:val="7F7F7F" w:themeColor="text1" w:themeTint="80"/>
          <w:sz w:val="16"/>
          <w:szCs w:val="16"/>
        </w:rPr>
        <w:t xml:space="preserve">Parliamentary Salaries, Superannuation and Allowances Act 2012 </w:t>
      </w:r>
      <w:r w:rsidRPr="006E4257">
        <w:rPr>
          <w:color w:val="7F7F7F" w:themeColor="text1" w:themeTint="80"/>
          <w:sz w:val="16"/>
          <w:szCs w:val="16"/>
        </w:rPr>
        <w:t>(Tas), Schedules 4 and 6.</w:t>
      </w:r>
    </w:p>
  </w:footnote>
  <w:footnote w:id="57">
    <w:p w:rsidR="001B3CA8" w:rsidRPr="006E4257" w:rsidRDefault="001B3CA8" w:rsidP="004B0449">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w:t>
      </w:r>
      <w:r w:rsidRPr="006E4257">
        <w:rPr>
          <w:i/>
          <w:color w:val="7F7F7F" w:themeColor="text1" w:themeTint="80"/>
          <w:sz w:val="16"/>
          <w:szCs w:val="16"/>
        </w:rPr>
        <w:t xml:space="preserve">Parliamentary Salaries and Superannuation Act 1968 </w:t>
      </w:r>
      <w:r w:rsidRPr="006E4257">
        <w:rPr>
          <w:color w:val="7F7F7F" w:themeColor="text1" w:themeTint="80"/>
          <w:sz w:val="16"/>
          <w:szCs w:val="16"/>
        </w:rPr>
        <w:t>(Vic), Section 6, Table.</w:t>
      </w:r>
    </w:p>
  </w:footnote>
  <w:footnote w:id="58">
    <w:p w:rsidR="001B3CA8" w:rsidRPr="006E4257" w:rsidRDefault="001B3CA8" w:rsidP="004B0449">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rPr>
        <w:t xml:space="preserve"> </w:t>
      </w:r>
      <w:r w:rsidRPr="006E4257">
        <w:rPr>
          <w:i/>
          <w:color w:val="7F7F7F" w:themeColor="text1" w:themeTint="80"/>
          <w:sz w:val="16"/>
          <w:szCs w:val="16"/>
        </w:rPr>
        <w:t xml:space="preserve">Salaries and Allowances Tribunal </w:t>
      </w:r>
      <w:r w:rsidRPr="006E4257">
        <w:rPr>
          <w:color w:val="7F7F7F" w:themeColor="text1" w:themeTint="80"/>
          <w:sz w:val="16"/>
          <w:szCs w:val="16"/>
        </w:rPr>
        <w:t>(WA)</w:t>
      </w:r>
      <w:r w:rsidRPr="006E4257">
        <w:rPr>
          <w:i/>
          <w:color w:val="7F7F7F" w:themeColor="text1" w:themeTint="80"/>
          <w:sz w:val="16"/>
          <w:szCs w:val="16"/>
        </w:rPr>
        <w:t xml:space="preserve"> remuneration of Members of Parliament – Determination, 23 June 2015</w:t>
      </w:r>
      <w:r w:rsidRPr="006E4257">
        <w:rPr>
          <w:color w:val="7F7F7F" w:themeColor="text1" w:themeTint="80"/>
          <w:sz w:val="16"/>
          <w:szCs w:val="16"/>
        </w:rPr>
        <w:t>, section 2.3.</w:t>
      </w:r>
    </w:p>
  </w:footnote>
  <w:footnote w:id="59">
    <w:p w:rsidR="001B3CA8" w:rsidRPr="006E4257" w:rsidRDefault="001B3CA8" w:rsidP="004B0449">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Entertainment Allowance.</w:t>
      </w:r>
    </w:p>
  </w:footnote>
  <w:footnote w:id="60">
    <w:p w:rsidR="001B3CA8" w:rsidRPr="006E4257" w:rsidRDefault="001B3CA8" w:rsidP="004B0449">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Prime Minister, Premier or Chief Minister as appropriate.</w:t>
      </w:r>
    </w:p>
  </w:footnote>
  <w:footnote w:id="61">
    <w:p w:rsidR="001B3CA8" w:rsidRPr="006E4257" w:rsidRDefault="001B3CA8" w:rsidP="00E35D0D">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Definition is 55% less such percentage as is necessary to reduce the allowance by $15 000 – so actual allowance is equivalent to 45.2% of current basic salary.</w:t>
      </w:r>
    </w:p>
  </w:footnote>
  <w:footnote w:id="62">
    <w:p w:rsidR="001B3CA8" w:rsidRPr="006E4257" w:rsidRDefault="001B3CA8" w:rsidP="006B3AD1">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See section 3C(2) of the 2012 Act.</w:t>
      </w:r>
    </w:p>
  </w:footnote>
  <w:footnote w:id="63">
    <w:p w:rsidR="001B3CA8" w:rsidRPr="006E4257" w:rsidRDefault="001B3CA8" w:rsidP="006B3AD1">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See section 8F of the </w:t>
      </w:r>
      <w:r w:rsidRPr="006E4257">
        <w:rPr>
          <w:i/>
          <w:color w:val="7F7F7F" w:themeColor="text1" w:themeTint="80"/>
          <w:sz w:val="16"/>
          <w:szCs w:val="16"/>
        </w:rPr>
        <w:t xml:space="preserve">Constitution Act 1934 </w:t>
      </w:r>
      <w:r w:rsidRPr="006E4257">
        <w:rPr>
          <w:color w:val="7F7F7F" w:themeColor="text1" w:themeTint="80"/>
          <w:sz w:val="16"/>
          <w:szCs w:val="16"/>
        </w:rPr>
        <w:t>(Tas).</w:t>
      </w:r>
    </w:p>
  </w:footnote>
  <w:footnote w:id="64">
    <w:p w:rsidR="001B3CA8" w:rsidRPr="006E4257" w:rsidRDefault="001B3CA8" w:rsidP="006B3AD1">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See clause 4 of the Financial Management Bill 2015 (Bill No 41) which was passed by the House of Assembly on 24 September 2015 and is, at the time of writing of this report, with the Legislative Council.</w:t>
      </w:r>
    </w:p>
  </w:footnote>
  <w:footnote w:id="65">
    <w:p w:rsidR="001B3CA8" w:rsidRPr="006E4257" w:rsidRDefault="001B3CA8" w:rsidP="009760D7">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See clause 1 of Schedule 6 to the 2012 Act.</w:t>
      </w:r>
    </w:p>
  </w:footnote>
  <w:footnote w:id="66">
    <w:p w:rsidR="001B3CA8" w:rsidRPr="006E4257" w:rsidRDefault="001B3CA8" w:rsidP="009760D7">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See State Service Act </w:t>
      </w:r>
      <w:r w:rsidRPr="006E4257">
        <w:rPr>
          <w:i/>
          <w:color w:val="7F7F7F" w:themeColor="text1" w:themeTint="80"/>
          <w:sz w:val="16"/>
          <w:szCs w:val="16"/>
        </w:rPr>
        <w:t>Employment Direction No 17</w:t>
      </w:r>
      <w:r w:rsidRPr="006E4257">
        <w:rPr>
          <w:color w:val="7F7F7F" w:themeColor="text1" w:themeTint="80"/>
          <w:sz w:val="16"/>
          <w:szCs w:val="16"/>
        </w:rPr>
        <w:t>, 27 April 2015.</w:t>
      </w:r>
    </w:p>
  </w:footnote>
  <w:footnote w:id="67">
    <w:p w:rsidR="001B3CA8" w:rsidRPr="006E4257" w:rsidRDefault="001B3CA8" w:rsidP="009760D7">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The 2013 Tribunal envisaged that there would be a review of the salaries and allowances to which MPs are entitled by another independent Tribunal established for that purpose in 2016-17, with a view to recommending changes to be effective from 1 July 2017.  </w:t>
      </w:r>
    </w:p>
  </w:footnote>
  <w:footnote w:id="68">
    <w:p w:rsidR="001B3CA8" w:rsidRPr="006E4257" w:rsidRDefault="001B3CA8" w:rsidP="009760D7">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See Clause 3 of Schedule 6 to the 2012 Act.</w:t>
      </w:r>
    </w:p>
  </w:footnote>
  <w:footnote w:id="69">
    <w:p w:rsidR="001B3CA8" w:rsidRPr="006E4257" w:rsidRDefault="001B3CA8" w:rsidP="007473DA">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w:t>
      </w:r>
      <w:r w:rsidRPr="006E4257">
        <w:rPr>
          <w:i/>
          <w:color w:val="7F7F7F" w:themeColor="text1" w:themeTint="80"/>
          <w:sz w:val="16"/>
          <w:szCs w:val="16"/>
        </w:rPr>
        <w:t>Report and Determination No 7 of the Remuneration Tribunal of South Australia</w:t>
      </w:r>
      <w:r w:rsidRPr="006E4257">
        <w:rPr>
          <w:color w:val="7F7F7F" w:themeColor="text1" w:themeTint="80"/>
          <w:sz w:val="16"/>
          <w:szCs w:val="16"/>
        </w:rPr>
        <w:t>, 15 December 2015.</w:t>
      </w:r>
    </w:p>
  </w:footnote>
  <w:footnote w:id="70">
    <w:p w:rsidR="001B3CA8" w:rsidRPr="006E4257" w:rsidRDefault="001B3CA8" w:rsidP="00B74A76">
      <w:pPr>
        <w:pStyle w:val="FootnoteText"/>
        <w:spacing w:after="0"/>
        <w:rPr>
          <w:color w:val="7F7F7F" w:themeColor="text1" w:themeTint="80"/>
        </w:rPr>
      </w:pPr>
      <w:r w:rsidRPr="006E4257">
        <w:rPr>
          <w:rStyle w:val="FootnoteReference"/>
          <w:color w:val="7F7F7F" w:themeColor="text1" w:themeTint="80"/>
          <w:sz w:val="16"/>
        </w:rPr>
        <w:footnoteRef/>
      </w:r>
      <w:r w:rsidRPr="006E4257">
        <w:rPr>
          <w:color w:val="7F7F7F" w:themeColor="text1" w:themeTint="80"/>
        </w:rPr>
        <w:t xml:space="preserve"> </w:t>
      </w:r>
      <w:r w:rsidRPr="006E4257">
        <w:rPr>
          <w:color w:val="7F7F7F" w:themeColor="text1" w:themeTint="80"/>
          <w:sz w:val="16"/>
          <w:szCs w:val="16"/>
          <w:lang w:val="en-US"/>
        </w:rPr>
        <w:t>Note: Commonwealth, WA and Victoria have additional salary for Deputy Chairs.</w:t>
      </w:r>
    </w:p>
  </w:footnote>
  <w:footnote w:id="71">
    <w:p w:rsidR="001B3CA8" w:rsidRPr="006E4257" w:rsidRDefault="001B3CA8" w:rsidP="0082053E">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w:t>
      </w:r>
      <w:r w:rsidRPr="006E4257">
        <w:rPr>
          <w:i/>
          <w:color w:val="7F7F7F" w:themeColor="text1" w:themeTint="80"/>
          <w:sz w:val="16"/>
          <w:szCs w:val="16"/>
        </w:rPr>
        <w:t>Remuneration Tribunal Determination 2015/06</w:t>
      </w:r>
      <w:r w:rsidRPr="006E4257">
        <w:rPr>
          <w:color w:val="7F7F7F" w:themeColor="text1" w:themeTint="80"/>
          <w:sz w:val="16"/>
          <w:szCs w:val="16"/>
        </w:rPr>
        <w:t>, Table 1.</w:t>
      </w:r>
    </w:p>
  </w:footnote>
  <w:footnote w:id="72">
    <w:p w:rsidR="001B3CA8" w:rsidRPr="006E4257" w:rsidRDefault="001B3CA8" w:rsidP="0082053E">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w:t>
      </w:r>
      <w:r w:rsidRPr="006E4257">
        <w:rPr>
          <w:i/>
          <w:color w:val="7F7F7F" w:themeColor="text1" w:themeTint="80"/>
          <w:sz w:val="16"/>
          <w:szCs w:val="16"/>
        </w:rPr>
        <w:t>ACT Remuneration Tribunal Determination 2 of 2015</w:t>
      </w:r>
      <w:r w:rsidRPr="006E4257">
        <w:rPr>
          <w:color w:val="7F7F7F" w:themeColor="text1" w:themeTint="80"/>
          <w:sz w:val="16"/>
          <w:szCs w:val="16"/>
        </w:rPr>
        <w:t>, section 3.</w:t>
      </w:r>
    </w:p>
  </w:footnote>
  <w:footnote w:id="73">
    <w:p w:rsidR="001B3CA8" w:rsidRPr="006E4257" w:rsidRDefault="001B3CA8" w:rsidP="0082053E">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w:t>
      </w:r>
      <w:r w:rsidRPr="006E4257">
        <w:rPr>
          <w:i/>
          <w:color w:val="7F7F7F" w:themeColor="text1" w:themeTint="80"/>
          <w:sz w:val="16"/>
          <w:szCs w:val="16"/>
        </w:rPr>
        <w:t>Annual Report and Determination of Additional Entitlements for Members of the NSW Parliament</w:t>
      </w:r>
      <w:r w:rsidRPr="006E4257">
        <w:rPr>
          <w:color w:val="7F7F7F" w:themeColor="text1" w:themeTint="80"/>
          <w:sz w:val="16"/>
          <w:szCs w:val="16"/>
        </w:rPr>
        <w:t>, 28 August 2015 section 4.3.</w:t>
      </w:r>
    </w:p>
  </w:footnote>
  <w:footnote w:id="74">
    <w:p w:rsidR="001B3CA8" w:rsidRPr="006E4257" w:rsidRDefault="001B3CA8" w:rsidP="0082053E">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w:t>
      </w:r>
      <w:r w:rsidRPr="006E4257">
        <w:rPr>
          <w:i/>
          <w:color w:val="7F7F7F" w:themeColor="text1" w:themeTint="80"/>
          <w:sz w:val="16"/>
          <w:szCs w:val="16"/>
        </w:rPr>
        <w:t>Northern Territory of Australia Remuneration Tribunal Report and Determination No 1 of 2015</w:t>
      </w:r>
      <w:r w:rsidRPr="006E4257">
        <w:rPr>
          <w:color w:val="7F7F7F" w:themeColor="text1" w:themeTint="80"/>
          <w:sz w:val="16"/>
          <w:szCs w:val="16"/>
        </w:rPr>
        <w:t>, Schedule 1.</w:t>
      </w:r>
    </w:p>
  </w:footnote>
  <w:footnote w:id="75">
    <w:p w:rsidR="001B3CA8" w:rsidRPr="006E4257" w:rsidRDefault="001B3CA8" w:rsidP="0082053E">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From 1 January 2016.</w:t>
      </w:r>
    </w:p>
  </w:footnote>
  <w:footnote w:id="76">
    <w:p w:rsidR="001B3CA8" w:rsidRPr="006E4257" w:rsidRDefault="001B3CA8" w:rsidP="0082053E">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Excludes House, Privileges, Standing Orders and Members’ Interests.</w:t>
      </w:r>
    </w:p>
  </w:footnote>
  <w:footnote w:id="77">
    <w:p w:rsidR="001B3CA8" w:rsidRPr="006E4257" w:rsidRDefault="001B3CA8" w:rsidP="0082053E">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w:t>
      </w:r>
      <w:r w:rsidRPr="006E4257">
        <w:rPr>
          <w:i/>
          <w:color w:val="7F7F7F" w:themeColor="text1" w:themeTint="80"/>
          <w:sz w:val="16"/>
          <w:szCs w:val="16"/>
          <w:lang w:val="en-US"/>
        </w:rPr>
        <w:t>Queensland Independent Remuneration Tribunal Determination 3/2014</w:t>
      </w:r>
      <w:r w:rsidRPr="006E4257">
        <w:rPr>
          <w:color w:val="7F7F7F" w:themeColor="text1" w:themeTint="80"/>
          <w:sz w:val="16"/>
          <w:szCs w:val="16"/>
          <w:lang w:val="en-US"/>
        </w:rPr>
        <w:t>.</w:t>
      </w:r>
    </w:p>
  </w:footnote>
  <w:footnote w:id="78">
    <w:p w:rsidR="001B3CA8" w:rsidRPr="006E4257" w:rsidRDefault="001B3CA8" w:rsidP="0082053E">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w:t>
      </w:r>
      <w:r w:rsidRPr="006E4257">
        <w:rPr>
          <w:i/>
          <w:color w:val="7F7F7F" w:themeColor="text1" w:themeTint="80"/>
          <w:sz w:val="16"/>
          <w:szCs w:val="16"/>
        </w:rPr>
        <w:t xml:space="preserve">Parliamentary Remuneration Act 1990 </w:t>
      </w:r>
      <w:r w:rsidRPr="006E4257">
        <w:rPr>
          <w:color w:val="7F7F7F" w:themeColor="text1" w:themeTint="80"/>
          <w:sz w:val="16"/>
          <w:szCs w:val="16"/>
        </w:rPr>
        <w:t>(SA) – Schedule.</w:t>
      </w:r>
    </w:p>
  </w:footnote>
  <w:footnote w:id="79">
    <w:p w:rsidR="001B3CA8" w:rsidRPr="006E4257" w:rsidRDefault="001B3CA8" w:rsidP="0082053E">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w:t>
      </w:r>
      <w:r w:rsidRPr="006E4257">
        <w:rPr>
          <w:i/>
          <w:color w:val="7F7F7F" w:themeColor="text1" w:themeTint="80"/>
          <w:sz w:val="16"/>
          <w:szCs w:val="16"/>
        </w:rPr>
        <w:t xml:space="preserve">Parliamentary Salaries, Superannuation and Allowances Act 2012 </w:t>
      </w:r>
      <w:r w:rsidRPr="006E4257">
        <w:rPr>
          <w:color w:val="7F7F7F" w:themeColor="text1" w:themeTint="80"/>
          <w:sz w:val="16"/>
          <w:szCs w:val="16"/>
        </w:rPr>
        <w:t>(Tas)</w:t>
      </w:r>
      <w:r w:rsidRPr="006E4257">
        <w:rPr>
          <w:i/>
          <w:color w:val="7F7F7F" w:themeColor="text1" w:themeTint="80"/>
          <w:sz w:val="16"/>
          <w:szCs w:val="16"/>
        </w:rPr>
        <w:t>,</w:t>
      </w:r>
      <w:r w:rsidRPr="006E4257">
        <w:rPr>
          <w:color w:val="7F7F7F" w:themeColor="text1" w:themeTint="80"/>
          <w:sz w:val="16"/>
          <w:szCs w:val="16"/>
        </w:rPr>
        <w:t xml:space="preserve"> clause 3 of Schedule 6.</w:t>
      </w:r>
    </w:p>
  </w:footnote>
  <w:footnote w:id="80">
    <w:p w:rsidR="001B3CA8" w:rsidRPr="006E4257" w:rsidRDefault="001B3CA8" w:rsidP="0082053E">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w:t>
      </w:r>
      <w:r w:rsidRPr="006E4257">
        <w:rPr>
          <w:i/>
          <w:color w:val="7F7F7F" w:themeColor="text1" w:themeTint="80"/>
          <w:sz w:val="16"/>
          <w:szCs w:val="16"/>
        </w:rPr>
        <w:t xml:space="preserve">Parliamentary Salaries and Superannuation Act 1968 </w:t>
      </w:r>
      <w:r w:rsidRPr="006E4257">
        <w:rPr>
          <w:color w:val="7F7F7F" w:themeColor="text1" w:themeTint="80"/>
          <w:sz w:val="16"/>
          <w:szCs w:val="16"/>
        </w:rPr>
        <w:t>(Vic)</w:t>
      </w:r>
      <w:r w:rsidRPr="006E4257">
        <w:rPr>
          <w:i/>
          <w:color w:val="7F7F7F" w:themeColor="text1" w:themeTint="80"/>
          <w:sz w:val="16"/>
          <w:szCs w:val="16"/>
        </w:rPr>
        <w:t>,</w:t>
      </w:r>
      <w:r w:rsidRPr="006E4257">
        <w:rPr>
          <w:color w:val="7F7F7F" w:themeColor="text1" w:themeTint="80"/>
          <w:sz w:val="16"/>
          <w:szCs w:val="16"/>
        </w:rPr>
        <w:t xml:space="preserve"> section 6, Table.</w:t>
      </w:r>
    </w:p>
  </w:footnote>
  <w:footnote w:id="81">
    <w:p w:rsidR="001B3CA8" w:rsidRPr="006E4257" w:rsidRDefault="001B3CA8" w:rsidP="0082053E">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w:t>
      </w:r>
      <w:r w:rsidRPr="006E4257">
        <w:rPr>
          <w:i/>
          <w:color w:val="7F7F7F" w:themeColor="text1" w:themeTint="80"/>
          <w:sz w:val="16"/>
          <w:szCs w:val="16"/>
        </w:rPr>
        <w:t xml:space="preserve">Salaries and Allowances Tribunal </w:t>
      </w:r>
      <w:r w:rsidRPr="006E4257">
        <w:rPr>
          <w:color w:val="7F7F7F" w:themeColor="text1" w:themeTint="80"/>
          <w:sz w:val="16"/>
          <w:szCs w:val="16"/>
        </w:rPr>
        <w:t>(WA)</w:t>
      </w:r>
      <w:r w:rsidRPr="006E4257">
        <w:rPr>
          <w:i/>
          <w:color w:val="7F7F7F" w:themeColor="text1" w:themeTint="80"/>
          <w:sz w:val="16"/>
          <w:szCs w:val="16"/>
        </w:rPr>
        <w:t xml:space="preserve"> Remuneration of Members of Parliament - Determination</w:t>
      </w:r>
      <w:r w:rsidRPr="006E4257">
        <w:rPr>
          <w:color w:val="7F7F7F" w:themeColor="text1" w:themeTint="80"/>
          <w:sz w:val="16"/>
          <w:szCs w:val="16"/>
        </w:rPr>
        <w:t>, 23 June 2015, Section 2.3.</w:t>
      </w:r>
    </w:p>
  </w:footnote>
  <w:footnote w:id="82">
    <w:p w:rsidR="001B3CA8" w:rsidRPr="006E4257" w:rsidRDefault="001B3CA8" w:rsidP="006B3AD1">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See </w:t>
      </w:r>
      <w:r w:rsidRPr="006E4257">
        <w:rPr>
          <w:i/>
          <w:color w:val="7F7F7F" w:themeColor="text1" w:themeTint="80"/>
          <w:sz w:val="16"/>
          <w:szCs w:val="16"/>
        </w:rPr>
        <w:t>2014 Report</w:t>
      </w:r>
      <w:r w:rsidRPr="006E4257">
        <w:rPr>
          <w:color w:val="7F7F7F" w:themeColor="text1" w:themeTint="80"/>
          <w:sz w:val="16"/>
          <w:szCs w:val="16"/>
        </w:rPr>
        <w:t>, Table 10, page 46.</w:t>
      </w:r>
    </w:p>
  </w:footnote>
  <w:footnote w:id="83">
    <w:p w:rsidR="001B3CA8" w:rsidRPr="006E4257" w:rsidRDefault="001B3CA8" w:rsidP="006B3AD1">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See Clause 4 of Schedule 6 to the 2012 Act.</w:t>
      </w:r>
    </w:p>
  </w:footnote>
  <w:footnote w:id="84">
    <w:p w:rsidR="001B3CA8" w:rsidRPr="006E4257" w:rsidRDefault="001B3CA8" w:rsidP="002F122A">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See Clause 5 of Schedule 6 to the 2012 Act.</w:t>
      </w:r>
    </w:p>
  </w:footnote>
  <w:footnote w:id="85">
    <w:p w:rsidR="001B3CA8" w:rsidRPr="006E4257" w:rsidRDefault="001B3CA8" w:rsidP="006B3AD1">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See clause 6 Schedule 6 to the 2012 Act.</w:t>
      </w:r>
    </w:p>
  </w:footnote>
  <w:footnote w:id="86">
    <w:p w:rsidR="001B3CA8" w:rsidRPr="006E4257" w:rsidRDefault="001B3CA8" w:rsidP="00DB580B">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See clause 7 of Schedule 6 to the 2012 Act.</w:t>
      </w:r>
    </w:p>
  </w:footnote>
  <w:footnote w:id="87">
    <w:p w:rsidR="001B3CA8" w:rsidRPr="006E4257" w:rsidRDefault="001B3CA8" w:rsidP="00DB580B">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See clause 8 of Schedule 6 to the 2012 Act.</w:t>
      </w:r>
    </w:p>
  </w:footnote>
  <w:footnote w:id="88">
    <w:p w:rsidR="001B3CA8" w:rsidRPr="006E4257" w:rsidRDefault="001B3CA8" w:rsidP="003A0193">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See </w:t>
      </w:r>
      <w:r w:rsidRPr="006E4257">
        <w:rPr>
          <w:bCs/>
          <w:i/>
          <w:color w:val="7F7F7F" w:themeColor="text1" w:themeTint="80"/>
          <w:sz w:val="16"/>
          <w:szCs w:val="16"/>
        </w:rPr>
        <w:t xml:space="preserve">Salaries and Allowances Act 1975 </w:t>
      </w:r>
      <w:r w:rsidRPr="006E4257">
        <w:rPr>
          <w:i/>
          <w:color w:val="7F7F7F" w:themeColor="text1" w:themeTint="80"/>
          <w:sz w:val="16"/>
          <w:szCs w:val="16"/>
        </w:rPr>
        <w:t>Determination Variation of the Western Australian Salaries and Allowances Tribunal</w:t>
      </w:r>
      <w:r w:rsidRPr="006E4257">
        <w:rPr>
          <w:color w:val="7F7F7F" w:themeColor="text1" w:themeTint="80"/>
          <w:sz w:val="16"/>
          <w:szCs w:val="16"/>
        </w:rPr>
        <w:t>, 25 January 2013 Clause 1.2 of Part 8.</w:t>
      </w:r>
    </w:p>
  </w:footnote>
  <w:footnote w:id="89">
    <w:p w:rsidR="001B3CA8" w:rsidRPr="006E4257" w:rsidRDefault="001B3CA8" w:rsidP="00AB0DAF">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w:t>
      </w:r>
      <w:r w:rsidRPr="006E4257">
        <w:rPr>
          <w:i/>
          <w:color w:val="7F7F7F" w:themeColor="text1" w:themeTint="80"/>
          <w:sz w:val="16"/>
          <w:szCs w:val="16"/>
        </w:rPr>
        <w:t>Remuneration Tribunal Determination 2012/04 Members of Parliament – Entitlements</w:t>
      </w:r>
      <w:r w:rsidRPr="006E4257">
        <w:rPr>
          <w:color w:val="7F7F7F" w:themeColor="text1" w:themeTint="80"/>
          <w:sz w:val="16"/>
          <w:szCs w:val="16"/>
        </w:rPr>
        <w:t>, Sections 9.6-8.</w:t>
      </w:r>
    </w:p>
  </w:footnote>
  <w:footnote w:id="90">
    <w:p w:rsidR="001B3CA8" w:rsidRPr="006E4257" w:rsidRDefault="001B3CA8" w:rsidP="00AB0DAF">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w:t>
      </w:r>
      <w:r w:rsidRPr="006E4257">
        <w:rPr>
          <w:i/>
          <w:color w:val="7F7F7F" w:themeColor="text1" w:themeTint="80"/>
          <w:sz w:val="16"/>
          <w:szCs w:val="16"/>
        </w:rPr>
        <w:t>ACT Remuneration Tribunal Determination 2 of 2015</w:t>
      </w:r>
      <w:r w:rsidRPr="006E4257">
        <w:rPr>
          <w:color w:val="7F7F7F" w:themeColor="text1" w:themeTint="80"/>
          <w:sz w:val="16"/>
          <w:szCs w:val="16"/>
        </w:rPr>
        <w:t>, section 5.</w:t>
      </w:r>
    </w:p>
  </w:footnote>
  <w:footnote w:id="91">
    <w:p w:rsidR="001B3CA8" w:rsidRPr="006E4257" w:rsidRDefault="001B3CA8" w:rsidP="00AB0DAF">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w:t>
      </w:r>
      <w:r w:rsidRPr="006E4257">
        <w:rPr>
          <w:i/>
          <w:color w:val="7F7F7F" w:themeColor="text1" w:themeTint="80"/>
          <w:sz w:val="16"/>
          <w:szCs w:val="16"/>
        </w:rPr>
        <w:t>Northern Territory of Australia Remuneration Tribunal Report and Determination No 1 of 2015,</w:t>
      </w:r>
      <w:r w:rsidRPr="006E4257">
        <w:rPr>
          <w:color w:val="7F7F7F" w:themeColor="text1" w:themeTint="80"/>
          <w:sz w:val="16"/>
          <w:szCs w:val="16"/>
        </w:rPr>
        <w:t xml:space="preserve"> section 15.</w:t>
      </w:r>
    </w:p>
  </w:footnote>
  <w:footnote w:id="92">
    <w:p w:rsidR="001B3CA8" w:rsidRPr="006E4257" w:rsidRDefault="001B3CA8" w:rsidP="00AB0DAF">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w:t>
      </w:r>
      <w:r w:rsidRPr="006E4257">
        <w:rPr>
          <w:i/>
          <w:color w:val="7F7F7F" w:themeColor="text1" w:themeTint="80"/>
          <w:sz w:val="16"/>
          <w:szCs w:val="16"/>
        </w:rPr>
        <w:t>Legislative Assembly of Queensland - Members Remuneration Handbook</w:t>
      </w:r>
      <w:r w:rsidRPr="006E4257">
        <w:rPr>
          <w:color w:val="7F7F7F" w:themeColor="text1" w:themeTint="80"/>
          <w:sz w:val="16"/>
          <w:szCs w:val="16"/>
        </w:rPr>
        <w:t>, July 2015, section3.2.3.</w:t>
      </w:r>
    </w:p>
  </w:footnote>
  <w:footnote w:id="93">
    <w:p w:rsidR="001B3CA8" w:rsidRPr="006E4257" w:rsidRDefault="001B3CA8" w:rsidP="00AB0DAF">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w:t>
      </w:r>
      <w:r w:rsidRPr="006E4257">
        <w:rPr>
          <w:i/>
          <w:color w:val="7F7F7F" w:themeColor="text1" w:themeTint="80"/>
          <w:sz w:val="16"/>
          <w:szCs w:val="16"/>
        </w:rPr>
        <w:t xml:space="preserve">Parliamentary Remuneration Act 1990 </w:t>
      </w:r>
      <w:r w:rsidRPr="006E4257">
        <w:rPr>
          <w:color w:val="7F7F7F" w:themeColor="text1" w:themeTint="80"/>
          <w:sz w:val="16"/>
          <w:szCs w:val="16"/>
        </w:rPr>
        <w:t>(SA), section 5A.</w:t>
      </w:r>
    </w:p>
  </w:footnote>
  <w:footnote w:id="94">
    <w:p w:rsidR="001B3CA8" w:rsidRPr="006E4257" w:rsidRDefault="001B3CA8" w:rsidP="009760D7">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w:t>
      </w:r>
      <w:r w:rsidRPr="006E4257">
        <w:rPr>
          <w:i/>
          <w:color w:val="7F7F7F" w:themeColor="text1" w:themeTint="80"/>
          <w:sz w:val="16"/>
          <w:szCs w:val="16"/>
        </w:rPr>
        <w:t xml:space="preserve">Parliamentary Salaries and Superannuation Act 1968 </w:t>
      </w:r>
      <w:r w:rsidRPr="006E4257">
        <w:rPr>
          <w:color w:val="7F7F7F" w:themeColor="text1" w:themeTint="80"/>
          <w:sz w:val="16"/>
          <w:szCs w:val="16"/>
        </w:rPr>
        <w:t>(Vic), section 7E.</w:t>
      </w:r>
    </w:p>
  </w:footnote>
  <w:footnote w:id="95">
    <w:p w:rsidR="001B3CA8" w:rsidRPr="006E4257" w:rsidRDefault="001B3CA8" w:rsidP="00AB0DAF">
      <w:pPr>
        <w:pStyle w:val="FootnoteText"/>
        <w:spacing w:after="0"/>
        <w:rPr>
          <w:color w:val="7F7F7F" w:themeColor="text1" w:themeTint="80"/>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w:t>
      </w:r>
      <w:r w:rsidRPr="006E4257">
        <w:rPr>
          <w:i/>
          <w:color w:val="7F7F7F" w:themeColor="text1" w:themeTint="80"/>
          <w:sz w:val="16"/>
          <w:szCs w:val="16"/>
        </w:rPr>
        <w:t xml:space="preserve">Salaries and Allowances Tribunal </w:t>
      </w:r>
      <w:r w:rsidRPr="006E4257">
        <w:rPr>
          <w:color w:val="7F7F7F" w:themeColor="text1" w:themeTint="80"/>
          <w:sz w:val="16"/>
          <w:szCs w:val="16"/>
        </w:rPr>
        <w:t>(WA)</w:t>
      </w:r>
      <w:r w:rsidRPr="006E4257">
        <w:rPr>
          <w:i/>
          <w:color w:val="7F7F7F" w:themeColor="text1" w:themeTint="80"/>
          <w:sz w:val="16"/>
          <w:szCs w:val="16"/>
        </w:rPr>
        <w:t xml:space="preserve"> Remuneration of Members of Parliament - Determination</w:t>
      </w:r>
      <w:r w:rsidRPr="006E4257">
        <w:rPr>
          <w:color w:val="7F7F7F" w:themeColor="text1" w:themeTint="80"/>
          <w:sz w:val="16"/>
          <w:szCs w:val="16"/>
        </w:rPr>
        <w:t>, 23 June 2015, Part 8.</w:t>
      </w:r>
    </w:p>
  </w:footnote>
  <w:footnote w:id="96">
    <w:p w:rsidR="001B3CA8" w:rsidRPr="006E4257" w:rsidRDefault="001B3CA8" w:rsidP="00130463">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See section 3C(d) of the 2012 Act.</w:t>
      </w:r>
    </w:p>
  </w:footnote>
  <w:footnote w:id="97">
    <w:p w:rsidR="001B3CA8" w:rsidRPr="006E4257" w:rsidRDefault="001B3CA8" w:rsidP="00130463">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See section 3D(1)(d) of the 2012 Act.</w:t>
      </w:r>
    </w:p>
  </w:footnote>
  <w:footnote w:id="98">
    <w:p w:rsidR="001B3CA8" w:rsidRPr="006E4257" w:rsidRDefault="001B3CA8" w:rsidP="00130463">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See section 3D(d) of the 2012 Act.</w:t>
      </w:r>
    </w:p>
  </w:footnote>
  <w:footnote w:id="99">
    <w:p w:rsidR="001B3CA8" w:rsidRPr="006E4257" w:rsidRDefault="001B3CA8" w:rsidP="00545511">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See the definition of ‘allowances and benefits’ in section 3 of the 2012 Act.</w:t>
      </w:r>
    </w:p>
  </w:footnote>
  <w:footnote w:id="100">
    <w:p w:rsidR="001B3CA8" w:rsidRPr="006E4257" w:rsidRDefault="001B3CA8" w:rsidP="00690A70">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See section 3C(2) of the 2012 Act.</w:t>
      </w:r>
    </w:p>
  </w:footnote>
  <w:footnote w:id="101">
    <w:p w:rsidR="001B3CA8" w:rsidRPr="006E4257" w:rsidRDefault="001B3CA8" w:rsidP="00690A70">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See section 3D(1)(e) of the 2012 Act.</w:t>
      </w:r>
    </w:p>
  </w:footnote>
  <w:footnote w:id="102">
    <w:p w:rsidR="001B3CA8" w:rsidRPr="006E4257" w:rsidRDefault="001B3CA8" w:rsidP="0077405B">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As an independent or </w:t>
      </w:r>
      <w:r>
        <w:rPr>
          <w:color w:val="7F7F7F" w:themeColor="text1" w:themeTint="80"/>
          <w:sz w:val="16"/>
          <w:szCs w:val="16"/>
        </w:rPr>
        <w:t xml:space="preserve">a </w:t>
      </w:r>
      <w:r w:rsidRPr="006E4257">
        <w:rPr>
          <w:color w:val="7F7F7F" w:themeColor="text1" w:themeTint="80"/>
          <w:sz w:val="16"/>
          <w:szCs w:val="16"/>
        </w:rPr>
        <w:t>member of another party, for instance.</w:t>
      </w:r>
    </w:p>
  </w:footnote>
  <w:footnote w:id="103">
    <w:p w:rsidR="001B3CA8" w:rsidRPr="006E4257" w:rsidRDefault="001B3CA8" w:rsidP="006B3AD1">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See paragraphs 5.10.9 to 5.10.11 of the 2014 Report.</w:t>
      </w:r>
    </w:p>
  </w:footnote>
  <w:footnote w:id="104">
    <w:p w:rsidR="001B3CA8" w:rsidRPr="006E4257" w:rsidRDefault="001B3CA8" w:rsidP="006B3AD1">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However, we note clause 2(c) of Schedule 2 to the 2012 Act that provides, in part, that an MP is entitled to staff, office accommodation, equipment (including the capital and recurrent costs of that equipment), facilities and other resources provided to assist an MP in the performance of the MP’s duties.  But it is unclear whether this provision relates to just offices and staff at the Parliament rather than in electorates as well.</w:t>
      </w:r>
    </w:p>
  </w:footnote>
  <w:footnote w:id="105">
    <w:p w:rsidR="001B3CA8" w:rsidRPr="006E4257" w:rsidRDefault="001B3CA8" w:rsidP="00297FC5">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As an independent or </w:t>
      </w:r>
      <w:r>
        <w:rPr>
          <w:color w:val="7F7F7F" w:themeColor="text1" w:themeTint="80"/>
          <w:sz w:val="16"/>
          <w:szCs w:val="16"/>
        </w:rPr>
        <w:t xml:space="preserve">a </w:t>
      </w:r>
      <w:r w:rsidRPr="006E4257">
        <w:rPr>
          <w:color w:val="7F7F7F" w:themeColor="text1" w:themeTint="80"/>
          <w:sz w:val="16"/>
          <w:szCs w:val="16"/>
        </w:rPr>
        <w:t>member of another party, for instance.</w:t>
      </w:r>
    </w:p>
  </w:footnote>
  <w:footnote w:id="106">
    <w:p w:rsidR="001B3CA8" w:rsidRPr="006E4257" w:rsidRDefault="001B3CA8" w:rsidP="006B3AD1">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w:t>
      </w:r>
      <w:r w:rsidRPr="006E4257">
        <w:rPr>
          <w:bCs/>
          <w:color w:val="7F7F7F" w:themeColor="text1" w:themeTint="80"/>
          <w:sz w:val="16"/>
          <w:szCs w:val="16"/>
          <w:lang w:val="en-US"/>
        </w:rPr>
        <w:t>Source: Parliamentary Research Service – updated.</w:t>
      </w:r>
    </w:p>
  </w:footnote>
  <w:footnote w:id="107">
    <w:p w:rsidR="001B3CA8" w:rsidRDefault="001B3CA8" w:rsidP="008B77A9">
      <w:pPr>
        <w:pStyle w:val="FootnoteText"/>
        <w:spacing w:after="0"/>
      </w:pPr>
      <w:r w:rsidRPr="00BF5DD9">
        <w:rPr>
          <w:rStyle w:val="FootnoteReference"/>
          <w:sz w:val="16"/>
          <w:szCs w:val="16"/>
        </w:rPr>
        <w:footnoteRef/>
      </w:r>
      <w:r w:rsidRPr="00BF5DD9">
        <w:rPr>
          <w:sz w:val="16"/>
          <w:szCs w:val="16"/>
        </w:rPr>
        <w:t xml:space="preserve"> </w:t>
      </w:r>
      <w:r w:rsidRPr="003D118A">
        <w:rPr>
          <w:i/>
          <w:sz w:val="16"/>
          <w:szCs w:val="16"/>
          <w:lang w:val="en-US"/>
        </w:rPr>
        <w:t>The Attributes, Role and Reward of a Backbencher in the Federal Parliament</w:t>
      </w:r>
      <w:r>
        <w:rPr>
          <w:i/>
          <w:sz w:val="16"/>
          <w:szCs w:val="16"/>
          <w:lang w:val="en-US"/>
        </w:rPr>
        <w:t>,</w:t>
      </w:r>
      <w:r w:rsidRPr="00BF5DD9">
        <w:rPr>
          <w:sz w:val="16"/>
          <w:szCs w:val="16"/>
          <w:lang w:val="en-US"/>
        </w:rPr>
        <w:t xml:space="preserve"> Egan Associates</w:t>
      </w:r>
      <w:r>
        <w:rPr>
          <w:sz w:val="16"/>
          <w:szCs w:val="16"/>
          <w:lang w:val="en-US"/>
        </w:rPr>
        <w:t xml:space="preserve">, </w:t>
      </w:r>
      <w:r w:rsidRPr="00BF5DD9">
        <w:rPr>
          <w:sz w:val="16"/>
          <w:szCs w:val="16"/>
          <w:lang w:val="en-US"/>
        </w:rPr>
        <w:t>November 2011</w:t>
      </w:r>
    </w:p>
  </w:footnote>
  <w:footnote w:id="108">
    <w:p w:rsidR="001B3CA8" w:rsidRDefault="001B3CA8" w:rsidP="008B77A9">
      <w:pPr>
        <w:pStyle w:val="FootnoteText"/>
        <w:spacing w:after="0"/>
      </w:pPr>
      <w:r w:rsidRPr="00BF5DD9">
        <w:rPr>
          <w:rStyle w:val="FootnoteReference"/>
          <w:sz w:val="16"/>
          <w:szCs w:val="16"/>
        </w:rPr>
        <w:footnoteRef/>
      </w:r>
      <w:r w:rsidRPr="00BF5DD9">
        <w:rPr>
          <w:sz w:val="16"/>
          <w:szCs w:val="16"/>
        </w:rPr>
        <w:t xml:space="preserve"> </w:t>
      </w:r>
      <w:r w:rsidRPr="003D118A">
        <w:rPr>
          <w:i/>
          <w:sz w:val="16"/>
          <w:szCs w:val="16"/>
          <w:lang w:val="en-US"/>
        </w:rPr>
        <w:t>Building a new remuneration structure for Members of the Queensland Parliament</w:t>
      </w:r>
      <w:r w:rsidRPr="00BF5DD9">
        <w:rPr>
          <w:sz w:val="16"/>
          <w:szCs w:val="16"/>
          <w:lang w:val="en-US"/>
        </w:rPr>
        <w:t>, Queensland Independent Remuneration Tribunal, Determination 1/2013, 15 October 2013</w:t>
      </w:r>
    </w:p>
  </w:footnote>
  <w:footnote w:id="109">
    <w:p w:rsidR="001B3CA8" w:rsidRPr="006E4257" w:rsidRDefault="001B3CA8" w:rsidP="00267AAF">
      <w:pPr>
        <w:pStyle w:val="FootnoteText"/>
        <w:spacing w:after="0"/>
        <w:rPr>
          <w:color w:val="7F7F7F" w:themeColor="text1" w:themeTint="80"/>
          <w:sz w:val="16"/>
          <w:szCs w:val="16"/>
        </w:rPr>
      </w:pPr>
      <w:r w:rsidRPr="006E4257">
        <w:rPr>
          <w:rStyle w:val="FootnoteReference"/>
          <w:color w:val="7F7F7F" w:themeColor="text1" w:themeTint="80"/>
          <w:sz w:val="16"/>
        </w:rPr>
        <w:footnoteRef/>
      </w:r>
      <w:r w:rsidRPr="006E4257">
        <w:rPr>
          <w:color w:val="7F7F7F" w:themeColor="text1" w:themeTint="80"/>
        </w:rPr>
        <w:t xml:space="preserve"> </w:t>
      </w:r>
      <w:r w:rsidRPr="006E4257">
        <w:rPr>
          <w:color w:val="7F7F7F" w:themeColor="text1" w:themeTint="80"/>
          <w:sz w:val="16"/>
          <w:szCs w:val="16"/>
        </w:rPr>
        <w:t>Now removed.</w:t>
      </w:r>
    </w:p>
  </w:footnote>
  <w:footnote w:id="110">
    <w:p w:rsidR="001B3CA8" w:rsidRPr="006E4257" w:rsidRDefault="001B3CA8" w:rsidP="00267AAF">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Since then this has been addressed.</w:t>
      </w:r>
    </w:p>
  </w:footnote>
  <w:footnote w:id="111">
    <w:p w:rsidR="001B3CA8" w:rsidRPr="006E4257" w:rsidRDefault="001B3CA8" w:rsidP="006B3AD1">
      <w:pPr>
        <w:pStyle w:val="FootnoteText"/>
        <w:spacing w:after="0"/>
        <w:rPr>
          <w:color w:val="7F7F7F" w:themeColor="text1" w:themeTint="80"/>
          <w:sz w:val="16"/>
          <w:szCs w:val="16"/>
        </w:rPr>
      </w:pPr>
      <w:r w:rsidRPr="006E4257">
        <w:rPr>
          <w:rStyle w:val="FootnoteReference"/>
          <w:color w:val="7F7F7F" w:themeColor="text1" w:themeTint="80"/>
        </w:rPr>
        <w:footnoteRef/>
      </w:r>
      <w:r w:rsidRPr="006E4257">
        <w:rPr>
          <w:color w:val="7F7F7F" w:themeColor="text1" w:themeTint="80"/>
        </w:rPr>
        <w:t xml:space="preserve"> </w:t>
      </w:r>
      <w:r w:rsidRPr="006E4257">
        <w:rPr>
          <w:color w:val="7F7F7F" w:themeColor="text1" w:themeTint="80"/>
          <w:sz w:val="16"/>
          <w:szCs w:val="16"/>
          <w:lang w:val="en-US"/>
        </w:rPr>
        <w:t>Page 58,</w:t>
      </w:r>
      <w:r w:rsidRPr="006E4257">
        <w:rPr>
          <w:i/>
          <w:color w:val="7F7F7F" w:themeColor="text1" w:themeTint="80"/>
          <w:sz w:val="18"/>
          <w:szCs w:val="18"/>
          <w:lang w:val="en-US"/>
        </w:rPr>
        <w:t xml:space="preserve"> </w:t>
      </w:r>
      <w:r w:rsidRPr="006E4257">
        <w:rPr>
          <w:i/>
          <w:color w:val="7F7F7F" w:themeColor="text1" w:themeTint="80"/>
          <w:sz w:val="16"/>
          <w:szCs w:val="16"/>
          <w:lang w:val="en-US"/>
        </w:rPr>
        <w:t>Queensland Determination 1/2013</w:t>
      </w:r>
    </w:p>
  </w:footnote>
  <w:footnote w:id="112">
    <w:p w:rsidR="001B3CA8" w:rsidRPr="006E4257" w:rsidRDefault="001B3CA8" w:rsidP="00267AAF">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CPSU Submission p3</w:t>
      </w:r>
    </w:p>
  </w:footnote>
  <w:footnote w:id="113">
    <w:p w:rsidR="001B3CA8" w:rsidRPr="006E4257" w:rsidRDefault="001B3CA8" w:rsidP="00267AAF">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w:t>
      </w:r>
      <w:r w:rsidRPr="006E4257">
        <w:rPr>
          <w:i/>
          <w:color w:val="7F7F7F" w:themeColor="text1" w:themeTint="80"/>
          <w:sz w:val="16"/>
          <w:szCs w:val="16"/>
          <w:lang w:val="en-US"/>
        </w:rPr>
        <w:t>Final Report on the Review of Entitlements for Members of ACT Legislative Assembly,</w:t>
      </w:r>
      <w:r w:rsidRPr="006E4257">
        <w:rPr>
          <w:color w:val="7F7F7F" w:themeColor="text1" w:themeTint="80"/>
          <w:sz w:val="16"/>
          <w:szCs w:val="16"/>
          <w:lang w:val="en-US"/>
        </w:rPr>
        <w:t xml:space="preserve"> April 2014</w:t>
      </w:r>
    </w:p>
  </w:footnote>
  <w:footnote w:id="114">
    <w:p w:rsidR="001B3CA8" w:rsidRPr="006E4257" w:rsidRDefault="001B3CA8" w:rsidP="006B3AD1">
      <w:pPr>
        <w:pStyle w:val="FootnoteText"/>
        <w:spacing w:after="0"/>
        <w:rPr>
          <w:color w:val="7F7F7F" w:themeColor="text1" w:themeTint="80"/>
          <w:sz w:val="16"/>
          <w:szCs w:val="16"/>
        </w:rPr>
      </w:pPr>
      <w:r w:rsidRPr="006E4257">
        <w:rPr>
          <w:rStyle w:val="FootnoteReference"/>
          <w:color w:val="7F7F7F" w:themeColor="text1" w:themeTint="80"/>
          <w:sz w:val="16"/>
          <w:szCs w:val="16"/>
        </w:rPr>
        <w:footnoteRef/>
      </w:r>
      <w:r w:rsidRPr="006E4257">
        <w:rPr>
          <w:color w:val="7F7F7F" w:themeColor="text1" w:themeTint="80"/>
          <w:sz w:val="16"/>
          <w:szCs w:val="16"/>
        </w:rPr>
        <w:t xml:space="preserve"> Expenditure charged to Parliament House cost centres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A8" w:rsidRPr="00975ECD" w:rsidRDefault="001B3CA8" w:rsidP="00975ECD">
    <w:pPr>
      <w:pStyle w:val="Header"/>
      <w:pBdr>
        <w:bottom w:val="single" w:sz="4" w:space="1" w:color="7F7F7F" w:themeColor="text1" w:themeTint="80"/>
      </w:pBdr>
      <w:rPr>
        <w:color w:val="7F7F7F" w:themeColor="text1" w:themeTint="80"/>
      </w:rPr>
    </w:pPr>
    <w:r w:rsidRPr="00975ECD">
      <w:rPr>
        <w:color w:val="7F7F7F" w:themeColor="text1" w:themeTint="80"/>
      </w:rPr>
      <w:t>Report into Parliamentary Salaries and Allowances</w:t>
    </w:r>
    <w:r w:rsidRPr="00975ECD">
      <w:rPr>
        <w:color w:val="7F7F7F" w:themeColor="text1" w:themeTint="80"/>
      </w:rPr>
      <w:br/>
      <w:t>Full Bench, Tasmanian Industrial Commission – February 2016</w:t>
    </w:r>
  </w:p>
  <w:p w:rsidR="001B3CA8" w:rsidRDefault="001B3C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A8" w:rsidRPr="00975ECD" w:rsidRDefault="001B3CA8" w:rsidP="00975ECD">
    <w:pPr>
      <w:pStyle w:val="Header"/>
      <w:pBdr>
        <w:bottom w:val="single" w:sz="4" w:space="1" w:color="7F7F7F" w:themeColor="text1" w:themeTint="80"/>
      </w:pBdr>
      <w:rPr>
        <w:color w:val="7F7F7F" w:themeColor="text1" w:themeTint="80"/>
      </w:rPr>
    </w:pPr>
    <w:r w:rsidRPr="00975ECD">
      <w:rPr>
        <w:color w:val="7F7F7F" w:themeColor="text1" w:themeTint="80"/>
      </w:rPr>
      <w:t>Report into Parliamentary Salaries and Allowances</w:t>
    </w:r>
    <w:r w:rsidRPr="00975ECD">
      <w:rPr>
        <w:color w:val="7F7F7F" w:themeColor="text1" w:themeTint="80"/>
      </w:rPr>
      <w:br/>
      <w:t>Full Bench, Tasmanian Industrial Commission – February 2016</w:t>
    </w:r>
  </w:p>
  <w:p w:rsidR="001B3CA8" w:rsidRDefault="001B3C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A8" w:rsidRDefault="001B3C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A8" w:rsidRPr="00975ECD" w:rsidRDefault="001B3CA8" w:rsidP="00975ECD">
    <w:pPr>
      <w:pStyle w:val="Header"/>
      <w:pBdr>
        <w:bottom w:val="single" w:sz="4" w:space="1" w:color="7F7F7F" w:themeColor="text1" w:themeTint="80"/>
      </w:pBdr>
      <w:rPr>
        <w:color w:val="7F7F7F" w:themeColor="text1" w:themeTint="80"/>
      </w:rPr>
    </w:pPr>
    <w:r w:rsidRPr="00975ECD">
      <w:rPr>
        <w:color w:val="7F7F7F" w:themeColor="text1" w:themeTint="80"/>
      </w:rPr>
      <w:t>Report into Parliamentary Salaries and Allowances</w:t>
    </w:r>
    <w:r w:rsidRPr="00975ECD">
      <w:rPr>
        <w:color w:val="7F7F7F" w:themeColor="text1" w:themeTint="80"/>
      </w:rPr>
      <w:br/>
      <w:t>Full Bench, Tasmanian Industrial Commission – 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00BF"/>
    <w:multiLevelType w:val="hybridMultilevel"/>
    <w:tmpl w:val="86C6C3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4C70035"/>
    <w:multiLevelType w:val="hybridMultilevel"/>
    <w:tmpl w:val="4CE8CD2A"/>
    <w:lvl w:ilvl="0" w:tplc="D5A247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70579E"/>
    <w:multiLevelType w:val="hybridMultilevel"/>
    <w:tmpl w:val="AB3C909C"/>
    <w:lvl w:ilvl="0" w:tplc="966C3A3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651A6E"/>
    <w:multiLevelType w:val="hybridMultilevel"/>
    <w:tmpl w:val="AFB8C306"/>
    <w:lvl w:ilvl="0" w:tplc="993E7BB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124E38"/>
    <w:multiLevelType w:val="hybridMultilevel"/>
    <w:tmpl w:val="547A4F2A"/>
    <w:lvl w:ilvl="0" w:tplc="A8AE88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FC24703"/>
    <w:multiLevelType w:val="hybridMultilevel"/>
    <w:tmpl w:val="DD36EE42"/>
    <w:lvl w:ilvl="0" w:tplc="C0D8D55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4958D5"/>
    <w:multiLevelType w:val="hybridMultilevel"/>
    <w:tmpl w:val="9B3E0EE8"/>
    <w:lvl w:ilvl="0" w:tplc="ED62609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84D7FC2"/>
    <w:multiLevelType w:val="hybridMultilevel"/>
    <w:tmpl w:val="EFA67310"/>
    <w:lvl w:ilvl="0" w:tplc="7C08B4CE">
      <w:start w:val="1"/>
      <w:numFmt w:val="lowerRoman"/>
      <w:lvlText w:val="(%1)"/>
      <w:lvlJc w:val="right"/>
      <w:pPr>
        <w:ind w:left="644" w:hanging="360"/>
      </w:pPr>
      <w:rPr>
        <w:rFont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nsid w:val="192D1586"/>
    <w:multiLevelType w:val="hybridMultilevel"/>
    <w:tmpl w:val="BAA4A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503484"/>
    <w:multiLevelType w:val="hybridMultilevel"/>
    <w:tmpl w:val="33383292"/>
    <w:lvl w:ilvl="0" w:tplc="4BCC37C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D21202E"/>
    <w:multiLevelType w:val="hybridMultilevel"/>
    <w:tmpl w:val="683086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EA85A59"/>
    <w:multiLevelType w:val="hybridMultilevel"/>
    <w:tmpl w:val="C43CCC80"/>
    <w:lvl w:ilvl="0" w:tplc="2ECEF5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43405F5"/>
    <w:multiLevelType w:val="hybridMultilevel"/>
    <w:tmpl w:val="3BA6A9EE"/>
    <w:lvl w:ilvl="0" w:tplc="2ECEF512">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5F43368"/>
    <w:multiLevelType w:val="hybridMultilevel"/>
    <w:tmpl w:val="CBB2153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27035834"/>
    <w:multiLevelType w:val="hybridMultilevel"/>
    <w:tmpl w:val="4F0E3758"/>
    <w:lvl w:ilvl="0" w:tplc="0534D8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918280F"/>
    <w:multiLevelType w:val="hybridMultilevel"/>
    <w:tmpl w:val="1BD63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090820"/>
    <w:multiLevelType w:val="hybridMultilevel"/>
    <w:tmpl w:val="B4AEF028"/>
    <w:lvl w:ilvl="0" w:tplc="5032FE9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8137CEA"/>
    <w:multiLevelType w:val="hybridMultilevel"/>
    <w:tmpl w:val="1464ADFC"/>
    <w:lvl w:ilvl="0" w:tplc="DB5004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F7A7E4E"/>
    <w:multiLevelType w:val="hybridMultilevel"/>
    <w:tmpl w:val="767E3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BC5EA6"/>
    <w:multiLevelType w:val="hybridMultilevel"/>
    <w:tmpl w:val="8606FA04"/>
    <w:lvl w:ilvl="0" w:tplc="FF5025B8">
      <w:start w:val="1"/>
      <w:numFmt w:val="lowerRoman"/>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0F25369"/>
    <w:multiLevelType w:val="hybridMultilevel"/>
    <w:tmpl w:val="4FC010A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41F87EE3"/>
    <w:multiLevelType w:val="hybridMultilevel"/>
    <w:tmpl w:val="49E4216C"/>
    <w:lvl w:ilvl="0" w:tplc="EA6A848A">
      <w:start w:val="1"/>
      <w:numFmt w:val="lowerRoman"/>
      <w:lvlText w:val="(%1)"/>
      <w:lvlJc w:val="left"/>
      <w:pPr>
        <w:ind w:left="1070" w:hanging="360"/>
      </w:pPr>
      <w:rPr>
        <w:rFonts w:hint="default"/>
      </w:rPr>
    </w:lvl>
    <w:lvl w:ilvl="1" w:tplc="8928490C">
      <w:numFmt w:val="bullet"/>
      <w:lvlText w:val="•"/>
      <w:lvlJc w:val="left"/>
      <w:pPr>
        <w:ind w:left="1440" w:hanging="360"/>
      </w:pPr>
      <w:rPr>
        <w:rFonts w:ascii="Verdana" w:eastAsia="Calibri" w:hAnsi="Verdana"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0423C3C"/>
    <w:multiLevelType w:val="hybridMultilevel"/>
    <w:tmpl w:val="515A478C"/>
    <w:lvl w:ilvl="0" w:tplc="3EF0CFCC">
      <w:start w:val="1"/>
      <w:numFmt w:val="decimal"/>
      <w:lvlText w:val="(%1)"/>
      <w:lvlJc w:val="left"/>
      <w:pPr>
        <w:ind w:left="644"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0550297"/>
    <w:multiLevelType w:val="hybridMultilevel"/>
    <w:tmpl w:val="917CBB28"/>
    <w:lvl w:ilvl="0" w:tplc="CFBE48AE">
      <w:start w:val="1"/>
      <w:numFmt w:val="decimal"/>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4">
    <w:nsid w:val="5B940D35"/>
    <w:multiLevelType w:val="hybridMultilevel"/>
    <w:tmpl w:val="BC08092C"/>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5">
    <w:nsid w:val="5DE97810"/>
    <w:multiLevelType w:val="hybridMultilevel"/>
    <w:tmpl w:val="9D44B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0711052"/>
    <w:multiLevelType w:val="hybridMultilevel"/>
    <w:tmpl w:val="A8FAF258"/>
    <w:lvl w:ilvl="0" w:tplc="F656EDF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1967E15"/>
    <w:multiLevelType w:val="hybridMultilevel"/>
    <w:tmpl w:val="6F4420B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nsid w:val="62C7436B"/>
    <w:multiLevelType w:val="hybridMultilevel"/>
    <w:tmpl w:val="0CA0C3FA"/>
    <w:lvl w:ilvl="0" w:tplc="EA6A848A">
      <w:start w:val="1"/>
      <w:numFmt w:val="lowerRoman"/>
      <w:lvlText w:val="(%1)"/>
      <w:lvlJc w:val="left"/>
      <w:pPr>
        <w:ind w:left="107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44C0236"/>
    <w:multiLevelType w:val="hybridMultilevel"/>
    <w:tmpl w:val="18E696E6"/>
    <w:lvl w:ilvl="0" w:tplc="4D4AA356">
      <w:start w:val="1"/>
      <w:numFmt w:val="lowerLetter"/>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8F84ED6"/>
    <w:multiLevelType w:val="hybridMultilevel"/>
    <w:tmpl w:val="E94A6E34"/>
    <w:lvl w:ilvl="0" w:tplc="4D286EC8">
      <w:start w:val="1"/>
      <w:numFmt w:val="decimal"/>
      <w:pStyle w:val="texta"/>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nsid w:val="6E2B3CEB"/>
    <w:multiLevelType w:val="hybridMultilevel"/>
    <w:tmpl w:val="9C2496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FE45260"/>
    <w:multiLevelType w:val="hybridMultilevel"/>
    <w:tmpl w:val="C6E86AC2"/>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33">
    <w:nsid w:val="7BE851EA"/>
    <w:multiLevelType w:val="hybridMultilevel"/>
    <w:tmpl w:val="6A4C744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4">
    <w:nsid w:val="7F0121FB"/>
    <w:multiLevelType w:val="hybridMultilevel"/>
    <w:tmpl w:val="881AE90C"/>
    <w:lvl w:ilvl="0" w:tplc="CF543F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21"/>
  </w:num>
  <w:num w:numId="3">
    <w:abstractNumId w:val="19"/>
  </w:num>
  <w:num w:numId="4">
    <w:abstractNumId w:val="32"/>
  </w:num>
  <w:num w:numId="5">
    <w:abstractNumId w:val="33"/>
  </w:num>
  <w:num w:numId="6">
    <w:abstractNumId w:val="25"/>
  </w:num>
  <w:num w:numId="7">
    <w:abstractNumId w:val="8"/>
  </w:num>
  <w:num w:numId="8">
    <w:abstractNumId w:val="31"/>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6"/>
  </w:num>
  <w:num w:numId="12">
    <w:abstractNumId w:val="2"/>
  </w:num>
  <w:num w:numId="13">
    <w:abstractNumId w:val="29"/>
  </w:num>
  <w:num w:numId="14">
    <w:abstractNumId w:val="23"/>
  </w:num>
  <w:num w:numId="15">
    <w:abstractNumId w:val="6"/>
  </w:num>
  <w:num w:numId="16">
    <w:abstractNumId w:val="9"/>
  </w:num>
  <w:num w:numId="17">
    <w:abstractNumId w:val="3"/>
  </w:num>
  <w:num w:numId="18">
    <w:abstractNumId w:val="26"/>
  </w:num>
  <w:num w:numId="19">
    <w:abstractNumId w:val="11"/>
  </w:num>
  <w:num w:numId="20">
    <w:abstractNumId w:val="5"/>
  </w:num>
  <w:num w:numId="21">
    <w:abstractNumId w:val="18"/>
  </w:num>
  <w:num w:numId="22">
    <w:abstractNumId w:val="30"/>
  </w:num>
  <w:num w:numId="23">
    <w:abstractNumId w:val="13"/>
  </w:num>
  <w:num w:numId="24">
    <w:abstractNumId w:val="27"/>
  </w:num>
  <w:num w:numId="25">
    <w:abstractNumId w:val="20"/>
  </w:num>
  <w:num w:numId="26">
    <w:abstractNumId w:val="24"/>
  </w:num>
  <w:num w:numId="27">
    <w:abstractNumId w:val="22"/>
  </w:num>
  <w:num w:numId="28">
    <w:abstractNumId w:val="1"/>
  </w:num>
  <w:num w:numId="29">
    <w:abstractNumId w:val="14"/>
  </w:num>
  <w:num w:numId="30">
    <w:abstractNumId w:val="34"/>
  </w:num>
  <w:num w:numId="31">
    <w:abstractNumId w:val="7"/>
  </w:num>
  <w:num w:numId="32">
    <w:abstractNumId w:val="4"/>
  </w:num>
  <w:num w:numId="33">
    <w:abstractNumId w:val="17"/>
  </w:num>
  <w:num w:numId="34">
    <w:abstractNumId w:val="10"/>
  </w:num>
  <w:num w:numId="35">
    <w:abstractNumId w:val="0"/>
  </w:num>
  <w:num w:numId="3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B4"/>
    <w:rsid w:val="00017D10"/>
    <w:rsid w:val="00020A69"/>
    <w:rsid w:val="00020D0F"/>
    <w:rsid w:val="00023C4C"/>
    <w:rsid w:val="00024567"/>
    <w:rsid w:val="0002513A"/>
    <w:rsid w:val="00030CBE"/>
    <w:rsid w:val="0003140C"/>
    <w:rsid w:val="00032E21"/>
    <w:rsid w:val="00033C1B"/>
    <w:rsid w:val="00035CEC"/>
    <w:rsid w:val="000415F0"/>
    <w:rsid w:val="00044B11"/>
    <w:rsid w:val="00045D26"/>
    <w:rsid w:val="00050195"/>
    <w:rsid w:val="000535D7"/>
    <w:rsid w:val="00055B93"/>
    <w:rsid w:val="00056EA7"/>
    <w:rsid w:val="00057844"/>
    <w:rsid w:val="0006046E"/>
    <w:rsid w:val="00060543"/>
    <w:rsid w:val="00060E2B"/>
    <w:rsid w:val="00067833"/>
    <w:rsid w:val="00070DE8"/>
    <w:rsid w:val="00074065"/>
    <w:rsid w:val="00083BA9"/>
    <w:rsid w:val="0009227C"/>
    <w:rsid w:val="000A39B0"/>
    <w:rsid w:val="000A5A3E"/>
    <w:rsid w:val="000B1FC6"/>
    <w:rsid w:val="000B6121"/>
    <w:rsid w:val="000B79A2"/>
    <w:rsid w:val="000C3DD6"/>
    <w:rsid w:val="000C7AA6"/>
    <w:rsid w:val="000D253F"/>
    <w:rsid w:val="000E021A"/>
    <w:rsid w:val="000E59E2"/>
    <w:rsid w:val="000F1917"/>
    <w:rsid w:val="000F3D04"/>
    <w:rsid w:val="00103627"/>
    <w:rsid w:val="00104803"/>
    <w:rsid w:val="00105286"/>
    <w:rsid w:val="001065D3"/>
    <w:rsid w:val="0011298A"/>
    <w:rsid w:val="00115282"/>
    <w:rsid w:val="0011534D"/>
    <w:rsid w:val="00115BDA"/>
    <w:rsid w:val="00116B06"/>
    <w:rsid w:val="001175B8"/>
    <w:rsid w:val="00125718"/>
    <w:rsid w:val="00130463"/>
    <w:rsid w:val="0014382D"/>
    <w:rsid w:val="00152FB8"/>
    <w:rsid w:val="00153970"/>
    <w:rsid w:val="0015640D"/>
    <w:rsid w:val="00161506"/>
    <w:rsid w:val="0016388C"/>
    <w:rsid w:val="00164731"/>
    <w:rsid w:val="001711D0"/>
    <w:rsid w:val="001839BE"/>
    <w:rsid w:val="00184C32"/>
    <w:rsid w:val="00191B59"/>
    <w:rsid w:val="001A5E16"/>
    <w:rsid w:val="001A6987"/>
    <w:rsid w:val="001B3CA8"/>
    <w:rsid w:val="001C028F"/>
    <w:rsid w:val="001C5565"/>
    <w:rsid w:val="001D1D6C"/>
    <w:rsid w:val="001D2172"/>
    <w:rsid w:val="001D5578"/>
    <w:rsid w:val="001F02B2"/>
    <w:rsid w:val="001F221F"/>
    <w:rsid w:val="001F37F6"/>
    <w:rsid w:val="001F76F7"/>
    <w:rsid w:val="00202168"/>
    <w:rsid w:val="00211A92"/>
    <w:rsid w:val="00211FD1"/>
    <w:rsid w:val="00212FF3"/>
    <w:rsid w:val="00240BE7"/>
    <w:rsid w:val="00241A20"/>
    <w:rsid w:val="00244E4C"/>
    <w:rsid w:val="00257ABC"/>
    <w:rsid w:val="00263D7A"/>
    <w:rsid w:val="00267AAF"/>
    <w:rsid w:val="00270F13"/>
    <w:rsid w:val="00271637"/>
    <w:rsid w:val="0027293D"/>
    <w:rsid w:val="00274421"/>
    <w:rsid w:val="002744FD"/>
    <w:rsid w:val="00283355"/>
    <w:rsid w:val="00284906"/>
    <w:rsid w:val="002873B2"/>
    <w:rsid w:val="00292C8B"/>
    <w:rsid w:val="002931CC"/>
    <w:rsid w:val="0029629F"/>
    <w:rsid w:val="00296756"/>
    <w:rsid w:val="00297FC5"/>
    <w:rsid w:val="002A2ADA"/>
    <w:rsid w:val="002A4A99"/>
    <w:rsid w:val="002A604B"/>
    <w:rsid w:val="002B5577"/>
    <w:rsid w:val="002B707A"/>
    <w:rsid w:val="002D1867"/>
    <w:rsid w:val="002D1AF0"/>
    <w:rsid w:val="002D3268"/>
    <w:rsid w:val="002D3B2C"/>
    <w:rsid w:val="002D5C92"/>
    <w:rsid w:val="002E3804"/>
    <w:rsid w:val="002E52DA"/>
    <w:rsid w:val="002E5422"/>
    <w:rsid w:val="002E5DB0"/>
    <w:rsid w:val="002F122A"/>
    <w:rsid w:val="003015CF"/>
    <w:rsid w:val="0030285F"/>
    <w:rsid w:val="00303EEC"/>
    <w:rsid w:val="003044BE"/>
    <w:rsid w:val="00314A21"/>
    <w:rsid w:val="00314D5A"/>
    <w:rsid w:val="00317A96"/>
    <w:rsid w:val="00322F0D"/>
    <w:rsid w:val="00323D75"/>
    <w:rsid w:val="00325226"/>
    <w:rsid w:val="003279C9"/>
    <w:rsid w:val="00327CCC"/>
    <w:rsid w:val="00330E69"/>
    <w:rsid w:val="0033321C"/>
    <w:rsid w:val="0033523C"/>
    <w:rsid w:val="00340799"/>
    <w:rsid w:val="003428DF"/>
    <w:rsid w:val="0034750F"/>
    <w:rsid w:val="00353390"/>
    <w:rsid w:val="00353DC4"/>
    <w:rsid w:val="00361B5B"/>
    <w:rsid w:val="00365678"/>
    <w:rsid w:val="003662FC"/>
    <w:rsid w:val="00376757"/>
    <w:rsid w:val="00384915"/>
    <w:rsid w:val="00385318"/>
    <w:rsid w:val="0038643A"/>
    <w:rsid w:val="003A0193"/>
    <w:rsid w:val="003A6AAF"/>
    <w:rsid w:val="003B1485"/>
    <w:rsid w:val="003B41B5"/>
    <w:rsid w:val="003B7D8C"/>
    <w:rsid w:val="003D029F"/>
    <w:rsid w:val="003D5D53"/>
    <w:rsid w:val="003F1AA5"/>
    <w:rsid w:val="003F2DAF"/>
    <w:rsid w:val="00402351"/>
    <w:rsid w:val="00402F0A"/>
    <w:rsid w:val="00404159"/>
    <w:rsid w:val="0041655B"/>
    <w:rsid w:val="00416791"/>
    <w:rsid w:val="004321E6"/>
    <w:rsid w:val="00432E90"/>
    <w:rsid w:val="00446A0B"/>
    <w:rsid w:val="00446F49"/>
    <w:rsid w:val="004502E5"/>
    <w:rsid w:val="00451856"/>
    <w:rsid w:val="00455C1C"/>
    <w:rsid w:val="00482E08"/>
    <w:rsid w:val="00486EF3"/>
    <w:rsid w:val="00490FF6"/>
    <w:rsid w:val="004A5250"/>
    <w:rsid w:val="004A7412"/>
    <w:rsid w:val="004B0449"/>
    <w:rsid w:val="004B7749"/>
    <w:rsid w:val="004C439C"/>
    <w:rsid w:val="004C7016"/>
    <w:rsid w:val="004D229F"/>
    <w:rsid w:val="004D70C7"/>
    <w:rsid w:val="004D7D93"/>
    <w:rsid w:val="004E3456"/>
    <w:rsid w:val="004E762D"/>
    <w:rsid w:val="004F2DAE"/>
    <w:rsid w:val="00501E11"/>
    <w:rsid w:val="0050504C"/>
    <w:rsid w:val="00513633"/>
    <w:rsid w:val="00516208"/>
    <w:rsid w:val="00516CF3"/>
    <w:rsid w:val="0052437D"/>
    <w:rsid w:val="0052662F"/>
    <w:rsid w:val="005319BE"/>
    <w:rsid w:val="005332E7"/>
    <w:rsid w:val="00533753"/>
    <w:rsid w:val="005408E6"/>
    <w:rsid w:val="00540CBF"/>
    <w:rsid w:val="0054367F"/>
    <w:rsid w:val="00545511"/>
    <w:rsid w:val="00555534"/>
    <w:rsid w:val="00561D94"/>
    <w:rsid w:val="00562870"/>
    <w:rsid w:val="0057067F"/>
    <w:rsid w:val="0057767E"/>
    <w:rsid w:val="005779EB"/>
    <w:rsid w:val="005855C7"/>
    <w:rsid w:val="00585AE3"/>
    <w:rsid w:val="00587350"/>
    <w:rsid w:val="00591E6D"/>
    <w:rsid w:val="00591FA3"/>
    <w:rsid w:val="0059519B"/>
    <w:rsid w:val="005A3B90"/>
    <w:rsid w:val="005A3FC3"/>
    <w:rsid w:val="005A4A68"/>
    <w:rsid w:val="005A5562"/>
    <w:rsid w:val="005B091B"/>
    <w:rsid w:val="005B6618"/>
    <w:rsid w:val="005B797F"/>
    <w:rsid w:val="005C560E"/>
    <w:rsid w:val="005D550E"/>
    <w:rsid w:val="005E2475"/>
    <w:rsid w:val="00600323"/>
    <w:rsid w:val="006075D9"/>
    <w:rsid w:val="0061154A"/>
    <w:rsid w:val="0062314B"/>
    <w:rsid w:val="0063251C"/>
    <w:rsid w:val="00633406"/>
    <w:rsid w:val="006419B2"/>
    <w:rsid w:val="00646293"/>
    <w:rsid w:val="0064763B"/>
    <w:rsid w:val="0065150A"/>
    <w:rsid w:val="0065657F"/>
    <w:rsid w:val="00657527"/>
    <w:rsid w:val="006636AA"/>
    <w:rsid w:val="00665B17"/>
    <w:rsid w:val="006671F8"/>
    <w:rsid w:val="00671E4E"/>
    <w:rsid w:val="0067222D"/>
    <w:rsid w:val="006872D7"/>
    <w:rsid w:val="00690A70"/>
    <w:rsid w:val="00695181"/>
    <w:rsid w:val="0069704E"/>
    <w:rsid w:val="006A11FD"/>
    <w:rsid w:val="006A1789"/>
    <w:rsid w:val="006A32A8"/>
    <w:rsid w:val="006A3ACF"/>
    <w:rsid w:val="006B048B"/>
    <w:rsid w:val="006B3AD1"/>
    <w:rsid w:val="006B6AE0"/>
    <w:rsid w:val="006C0DC0"/>
    <w:rsid w:val="006C212F"/>
    <w:rsid w:val="006C4DE7"/>
    <w:rsid w:val="006D45A9"/>
    <w:rsid w:val="006D5495"/>
    <w:rsid w:val="006E0D20"/>
    <w:rsid w:val="006E4257"/>
    <w:rsid w:val="006F00C7"/>
    <w:rsid w:val="006F3526"/>
    <w:rsid w:val="007025CA"/>
    <w:rsid w:val="00702D39"/>
    <w:rsid w:val="00712653"/>
    <w:rsid w:val="00712B10"/>
    <w:rsid w:val="00714205"/>
    <w:rsid w:val="007217E1"/>
    <w:rsid w:val="00725574"/>
    <w:rsid w:val="00737092"/>
    <w:rsid w:val="0073747A"/>
    <w:rsid w:val="007473DA"/>
    <w:rsid w:val="0076007E"/>
    <w:rsid w:val="0076267D"/>
    <w:rsid w:val="007663CC"/>
    <w:rsid w:val="0077405B"/>
    <w:rsid w:val="00775B98"/>
    <w:rsid w:val="007777A5"/>
    <w:rsid w:val="00790FF4"/>
    <w:rsid w:val="0079234D"/>
    <w:rsid w:val="007954E2"/>
    <w:rsid w:val="00796AAC"/>
    <w:rsid w:val="007A0059"/>
    <w:rsid w:val="007A70AC"/>
    <w:rsid w:val="007C39E8"/>
    <w:rsid w:val="007D2E53"/>
    <w:rsid w:val="007D3A48"/>
    <w:rsid w:val="007E1E8C"/>
    <w:rsid w:val="007E3245"/>
    <w:rsid w:val="007E3A9E"/>
    <w:rsid w:val="007E4430"/>
    <w:rsid w:val="007E5A2E"/>
    <w:rsid w:val="007F25E8"/>
    <w:rsid w:val="007F2E75"/>
    <w:rsid w:val="007F346E"/>
    <w:rsid w:val="007F6410"/>
    <w:rsid w:val="007F7E57"/>
    <w:rsid w:val="00804DD7"/>
    <w:rsid w:val="0080603F"/>
    <w:rsid w:val="008118C4"/>
    <w:rsid w:val="00812495"/>
    <w:rsid w:val="00814386"/>
    <w:rsid w:val="00816660"/>
    <w:rsid w:val="0082053E"/>
    <w:rsid w:val="00822F8A"/>
    <w:rsid w:val="008364B0"/>
    <w:rsid w:val="00856AE8"/>
    <w:rsid w:val="0086497D"/>
    <w:rsid w:val="008657E9"/>
    <w:rsid w:val="00870928"/>
    <w:rsid w:val="00870CAB"/>
    <w:rsid w:val="00872852"/>
    <w:rsid w:val="0087538D"/>
    <w:rsid w:val="00876C58"/>
    <w:rsid w:val="008829B3"/>
    <w:rsid w:val="00885A79"/>
    <w:rsid w:val="0088738D"/>
    <w:rsid w:val="00887C0D"/>
    <w:rsid w:val="00892D04"/>
    <w:rsid w:val="008A3C5E"/>
    <w:rsid w:val="008A48EB"/>
    <w:rsid w:val="008A49C0"/>
    <w:rsid w:val="008A6C1A"/>
    <w:rsid w:val="008B0D6B"/>
    <w:rsid w:val="008B4B99"/>
    <w:rsid w:val="008B4D1D"/>
    <w:rsid w:val="008B77A9"/>
    <w:rsid w:val="008C312A"/>
    <w:rsid w:val="008C450A"/>
    <w:rsid w:val="008D19B0"/>
    <w:rsid w:val="008D1BE0"/>
    <w:rsid w:val="008D2F6B"/>
    <w:rsid w:val="008E2427"/>
    <w:rsid w:val="008E36CC"/>
    <w:rsid w:val="008E3762"/>
    <w:rsid w:val="008F22CF"/>
    <w:rsid w:val="008F3D18"/>
    <w:rsid w:val="008F4F32"/>
    <w:rsid w:val="008F6F40"/>
    <w:rsid w:val="00905393"/>
    <w:rsid w:val="00910B27"/>
    <w:rsid w:val="009128AE"/>
    <w:rsid w:val="00922A59"/>
    <w:rsid w:val="0092478B"/>
    <w:rsid w:val="009247CE"/>
    <w:rsid w:val="00930A71"/>
    <w:rsid w:val="00931F7D"/>
    <w:rsid w:val="00932D2A"/>
    <w:rsid w:val="009363DE"/>
    <w:rsid w:val="00936D3D"/>
    <w:rsid w:val="00936DC6"/>
    <w:rsid w:val="00946C82"/>
    <w:rsid w:val="00952FE2"/>
    <w:rsid w:val="00953027"/>
    <w:rsid w:val="00954126"/>
    <w:rsid w:val="00954614"/>
    <w:rsid w:val="009547FF"/>
    <w:rsid w:val="0096612F"/>
    <w:rsid w:val="00967FCC"/>
    <w:rsid w:val="0097223B"/>
    <w:rsid w:val="00975ECD"/>
    <w:rsid w:val="009760D7"/>
    <w:rsid w:val="009831F5"/>
    <w:rsid w:val="0099190A"/>
    <w:rsid w:val="009A616D"/>
    <w:rsid w:val="009A61BF"/>
    <w:rsid w:val="009B2842"/>
    <w:rsid w:val="009B596F"/>
    <w:rsid w:val="009C2293"/>
    <w:rsid w:val="009C4236"/>
    <w:rsid w:val="009D0949"/>
    <w:rsid w:val="00A04E7A"/>
    <w:rsid w:val="00A06C01"/>
    <w:rsid w:val="00A1292A"/>
    <w:rsid w:val="00A129FF"/>
    <w:rsid w:val="00A16519"/>
    <w:rsid w:val="00A211EA"/>
    <w:rsid w:val="00A2331E"/>
    <w:rsid w:val="00A23EAD"/>
    <w:rsid w:val="00A25035"/>
    <w:rsid w:val="00A318B7"/>
    <w:rsid w:val="00A32FB2"/>
    <w:rsid w:val="00A35474"/>
    <w:rsid w:val="00A36DD7"/>
    <w:rsid w:val="00A37F7D"/>
    <w:rsid w:val="00A44673"/>
    <w:rsid w:val="00A51769"/>
    <w:rsid w:val="00A637FD"/>
    <w:rsid w:val="00A825D6"/>
    <w:rsid w:val="00A82D6F"/>
    <w:rsid w:val="00AB0DAF"/>
    <w:rsid w:val="00AB279D"/>
    <w:rsid w:val="00AB392E"/>
    <w:rsid w:val="00AC0F46"/>
    <w:rsid w:val="00AD51A0"/>
    <w:rsid w:val="00AE2341"/>
    <w:rsid w:val="00AE2ADB"/>
    <w:rsid w:val="00AF09C8"/>
    <w:rsid w:val="00AF1741"/>
    <w:rsid w:val="00AF5B7F"/>
    <w:rsid w:val="00AF63E4"/>
    <w:rsid w:val="00B038D7"/>
    <w:rsid w:val="00B056CF"/>
    <w:rsid w:val="00B3119B"/>
    <w:rsid w:val="00B34CCE"/>
    <w:rsid w:val="00B35C1E"/>
    <w:rsid w:val="00B4239A"/>
    <w:rsid w:val="00B44103"/>
    <w:rsid w:val="00B45912"/>
    <w:rsid w:val="00B47DBF"/>
    <w:rsid w:val="00B53040"/>
    <w:rsid w:val="00B575E6"/>
    <w:rsid w:val="00B6701F"/>
    <w:rsid w:val="00B71129"/>
    <w:rsid w:val="00B74A76"/>
    <w:rsid w:val="00B75D15"/>
    <w:rsid w:val="00B765AB"/>
    <w:rsid w:val="00B772C3"/>
    <w:rsid w:val="00B84048"/>
    <w:rsid w:val="00B90338"/>
    <w:rsid w:val="00B91C4D"/>
    <w:rsid w:val="00B94ABB"/>
    <w:rsid w:val="00BA02DE"/>
    <w:rsid w:val="00BA109A"/>
    <w:rsid w:val="00BB40B4"/>
    <w:rsid w:val="00BB5480"/>
    <w:rsid w:val="00BD0D2E"/>
    <w:rsid w:val="00BD68E4"/>
    <w:rsid w:val="00BD69D6"/>
    <w:rsid w:val="00BD6E57"/>
    <w:rsid w:val="00BE74BC"/>
    <w:rsid w:val="00BF4A0A"/>
    <w:rsid w:val="00BF4E1E"/>
    <w:rsid w:val="00BF73E9"/>
    <w:rsid w:val="00C028FD"/>
    <w:rsid w:val="00C03939"/>
    <w:rsid w:val="00C153CC"/>
    <w:rsid w:val="00C30078"/>
    <w:rsid w:val="00C30766"/>
    <w:rsid w:val="00C332E4"/>
    <w:rsid w:val="00C37B1C"/>
    <w:rsid w:val="00C40A7F"/>
    <w:rsid w:val="00C51BA2"/>
    <w:rsid w:val="00C5200E"/>
    <w:rsid w:val="00C60E2B"/>
    <w:rsid w:val="00C61815"/>
    <w:rsid w:val="00C669E5"/>
    <w:rsid w:val="00C72F12"/>
    <w:rsid w:val="00C7460A"/>
    <w:rsid w:val="00C764B2"/>
    <w:rsid w:val="00C771AD"/>
    <w:rsid w:val="00C81789"/>
    <w:rsid w:val="00C81EAD"/>
    <w:rsid w:val="00C84D8D"/>
    <w:rsid w:val="00CA4682"/>
    <w:rsid w:val="00CC17E2"/>
    <w:rsid w:val="00CC5844"/>
    <w:rsid w:val="00CD22A4"/>
    <w:rsid w:val="00CD33A6"/>
    <w:rsid w:val="00CD4077"/>
    <w:rsid w:val="00CF2709"/>
    <w:rsid w:val="00CF5FD5"/>
    <w:rsid w:val="00D0013E"/>
    <w:rsid w:val="00D029E0"/>
    <w:rsid w:val="00D036C2"/>
    <w:rsid w:val="00D12A0A"/>
    <w:rsid w:val="00D164D0"/>
    <w:rsid w:val="00D21170"/>
    <w:rsid w:val="00D22E21"/>
    <w:rsid w:val="00D25266"/>
    <w:rsid w:val="00D25687"/>
    <w:rsid w:val="00D25FB8"/>
    <w:rsid w:val="00D26B03"/>
    <w:rsid w:val="00D27ECF"/>
    <w:rsid w:val="00D37D4E"/>
    <w:rsid w:val="00D41876"/>
    <w:rsid w:val="00D41DE2"/>
    <w:rsid w:val="00D44252"/>
    <w:rsid w:val="00D461CA"/>
    <w:rsid w:val="00D5167E"/>
    <w:rsid w:val="00D525D0"/>
    <w:rsid w:val="00D54B33"/>
    <w:rsid w:val="00D61820"/>
    <w:rsid w:val="00D672B5"/>
    <w:rsid w:val="00D72F57"/>
    <w:rsid w:val="00D73733"/>
    <w:rsid w:val="00D75A2B"/>
    <w:rsid w:val="00D75A61"/>
    <w:rsid w:val="00D83E7C"/>
    <w:rsid w:val="00D85181"/>
    <w:rsid w:val="00D95A63"/>
    <w:rsid w:val="00DB2D49"/>
    <w:rsid w:val="00DB580B"/>
    <w:rsid w:val="00DB6FB0"/>
    <w:rsid w:val="00DC7627"/>
    <w:rsid w:val="00DD0887"/>
    <w:rsid w:val="00DD5F80"/>
    <w:rsid w:val="00DD7CB0"/>
    <w:rsid w:val="00DE48D6"/>
    <w:rsid w:val="00DF2C8B"/>
    <w:rsid w:val="00DF3455"/>
    <w:rsid w:val="00DF3851"/>
    <w:rsid w:val="00DF5665"/>
    <w:rsid w:val="00E01EE9"/>
    <w:rsid w:val="00E047FC"/>
    <w:rsid w:val="00E06A1F"/>
    <w:rsid w:val="00E10647"/>
    <w:rsid w:val="00E11689"/>
    <w:rsid w:val="00E1189C"/>
    <w:rsid w:val="00E143B1"/>
    <w:rsid w:val="00E14D34"/>
    <w:rsid w:val="00E152A3"/>
    <w:rsid w:val="00E16CB6"/>
    <w:rsid w:val="00E21AA7"/>
    <w:rsid w:val="00E23CE6"/>
    <w:rsid w:val="00E31BFE"/>
    <w:rsid w:val="00E35D0D"/>
    <w:rsid w:val="00E466E3"/>
    <w:rsid w:val="00E52618"/>
    <w:rsid w:val="00E54AE5"/>
    <w:rsid w:val="00E577A6"/>
    <w:rsid w:val="00E62E58"/>
    <w:rsid w:val="00E65FBF"/>
    <w:rsid w:val="00E8097F"/>
    <w:rsid w:val="00E81345"/>
    <w:rsid w:val="00E823F5"/>
    <w:rsid w:val="00E84F7B"/>
    <w:rsid w:val="00E8538B"/>
    <w:rsid w:val="00E86B39"/>
    <w:rsid w:val="00E91872"/>
    <w:rsid w:val="00E922F0"/>
    <w:rsid w:val="00E94639"/>
    <w:rsid w:val="00EA59B5"/>
    <w:rsid w:val="00EA7276"/>
    <w:rsid w:val="00EB52BA"/>
    <w:rsid w:val="00EB61B5"/>
    <w:rsid w:val="00EB62C9"/>
    <w:rsid w:val="00EC1A81"/>
    <w:rsid w:val="00EC62E2"/>
    <w:rsid w:val="00ED609F"/>
    <w:rsid w:val="00EE3CD4"/>
    <w:rsid w:val="00EE46FD"/>
    <w:rsid w:val="00EE7618"/>
    <w:rsid w:val="00F060E6"/>
    <w:rsid w:val="00F1126E"/>
    <w:rsid w:val="00F15A02"/>
    <w:rsid w:val="00F2215B"/>
    <w:rsid w:val="00F22D14"/>
    <w:rsid w:val="00F322E8"/>
    <w:rsid w:val="00F324DE"/>
    <w:rsid w:val="00F33032"/>
    <w:rsid w:val="00F35B0C"/>
    <w:rsid w:val="00F35D48"/>
    <w:rsid w:val="00F42474"/>
    <w:rsid w:val="00F44574"/>
    <w:rsid w:val="00F44C80"/>
    <w:rsid w:val="00F455A9"/>
    <w:rsid w:val="00F45DAD"/>
    <w:rsid w:val="00F4682A"/>
    <w:rsid w:val="00F5306F"/>
    <w:rsid w:val="00F67F05"/>
    <w:rsid w:val="00F700FC"/>
    <w:rsid w:val="00F822DB"/>
    <w:rsid w:val="00F837DC"/>
    <w:rsid w:val="00F8689A"/>
    <w:rsid w:val="00F86C2C"/>
    <w:rsid w:val="00F9739E"/>
    <w:rsid w:val="00FA52C9"/>
    <w:rsid w:val="00FA61AC"/>
    <w:rsid w:val="00FB43A8"/>
    <w:rsid w:val="00FB4D49"/>
    <w:rsid w:val="00FD0609"/>
    <w:rsid w:val="00FD0D54"/>
    <w:rsid w:val="00FD16C1"/>
    <w:rsid w:val="00FD774A"/>
    <w:rsid w:val="00FD7DE5"/>
    <w:rsid w:val="00FE2B25"/>
    <w:rsid w:val="00FE6A7A"/>
    <w:rsid w:val="00FF4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80B"/>
    <w:pPr>
      <w:spacing w:after="200"/>
    </w:pPr>
    <w:rPr>
      <w:rFonts w:ascii="Verdana" w:hAnsi="Verdana"/>
      <w:szCs w:val="22"/>
      <w:lang w:eastAsia="en-US"/>
    </w:rPr>
  </w:style>
  <w:style w:type="paragraph" w:styleId="Heading1">
    <w:name w:val="heading 1"/>
    <w:aliases w:val="Heading 1 PS"/>
    <w:basedOn w:val="Normal"/>
    <w:next w:val="Normal"/>
    <w:link w:val="Heading1Char"/>
    <w:uiPriority w:val="9"/>
    <w:qFormat/>
    <w:rsid w:val="00F700FC"/>
    <w:pPr>
      <w:keepNext/>
      <w:spacing w:before="240" w:after="120"/>
      <w:outlineLvl w:val="0"/>
    </w:pPr>
    <w:rPr>
      <w:rFonts w:eastAsia="Times New Roman"/>
      <w:b/>
      <w:bCs/>
      <w:kern w:val="32"/>
      <w:szCs w:val="20"/>
      <w:lang w:val="en-US"/>
    </w:rPr>
  </w:style>
  <w:style w:type="paragraph" w:styleId="Heading2">
    <w:name w:val="heading 2"/>
    <w:aliases w:val="Heading 2 PS"/>
    <w:basedOn w:val="NoSpacing"/>
    <w:next w:val="Normal"/>
    <w:link w:val="Heading2Char"/>
    <w:uiPriority w:val="9"/>
    <w:unhideWhenUsed/>
    <w:qFormat/>
    <w:rsid w:val="00CC5844"/>
    <w:pPr>
      <w:keepNext/>
      <w:spacing w:before="240" w:after="120"/>
      <w:outlineLvl w:val="1"/>
    </w:pPr>
    <w:rPr>
      <w:rFonts w:eastAsia="Arial"/>
      <w:bCs/>
      <w:iCs/>
      <w:sz w:val="18"/>
      <w:szCs w:val="18"/>
      <w:lang w:val="en-US"/>
    </w:rPr>
  </w:style>
  <w:style w:type="paragraph" w:styleId="Heading3">
    <w:name w:val="heading 3"/>
    <w:basedOn w:val="Normal"/>
    <w:next w:val="Normal"/>
    <w:link w:val="Heading3Char"/>
    <w:uiPriority w:val="9"/>
    <w:unhideWhenUsed/>
    <w:qFormat/>
    <w:rsid w:val="00EC1A81"/>
    <w:pPr>
      <w:keepNext/>
      <w:spacing w:before="240" w:after="120"/>
      <w:outlineLvl w:val="2"/>
    </w:pPr>
    <w:rPr>
      <w:rFonts w:eastAsia="Times New Roman"/>
      <w:bCs/>
      <w:i/>
      <w:szCs w:val="20"/>
      <w:lang w:val="en-US"/>
    </w:rPr>
  </w:style>
  <w:style w:type="paragraph" w:styleId="Heading4">
    <w:name w:val="heading 4"/>
    <w:basedOn w:val="Normal"/>
    <w:next w:val="Normal"/>
    <w:link w:val="Heading4Char"/>
    <w:uiPriority w:val="9"/>
    <w:unhideWhenUsed/>
    <w:qFormat/>
    <w:rsid w:val="0027293D"/>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2FF3"/>
    <w:rPr>
      <w:color w:val="0000FF"/>
      <w:u w:val="single"/>
    </w:rPr>
  </w:style>
  <w:style w:type="paragraph" w:styleId="FootnoteText">
    <w:name w:val="footnote text"/>
    <w:basedOn w:val="Normal"/>
    <w:link w:val="FootnoteTextChar"/>
    <w:uiPriority w:val="99"/>
    <w:semiHidden/>
    <w:unhideWhenUsed/>
    <w:rsid w:val="0033321C"/>
    <w:rPr>
      <w:szCs w:val="20"/>
    </w:rPr>
  </w:style>
  <w:style w:type="character" w:customStyle="1" w:styleId="FootnoteTextChar">
    <w:name w:val="Footnote Text Char"/>
    <w:link w:val="FootnoteText"/>
    <w:uiPriority w:val="99"/>
    <w:semiHidden/>
    <w:rsid w:val="0033321C"/>
    <w:rPr>
      <w:rFonts w:ascii="Verdana" w:hAnsi="Verdana"/>
      <w:lang w:eastAsia="en-US"/>
    </w:rPr>
  </w:style>
  <w:style w:type="character" w:styleId="FootnoteReference">
    <w:name w:val="footnote reference"/>
    <w:uiPriority w:val="99"/>
    <w:semiHidden/>
    <w:unhideWhenUsed/>
    <w:rsid w:val="0033321C"/>
    <w:rPr>
      <w:vertAlign w:val="superscript"/>
    </w:rPr>
  </w:style>
  <w:style w:type="table" w:styleId="TableGrid">
    <w:name w:val="Table Grid"/>
    <w:basedOn w:val="TableNormal"/>
    <w:uiPriority w:val="59"/>
    <w:rsid w:val="00244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F4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eading 1 PS Char"/>
    <w:link w:val="Heading1"/>
    <w:uiPriority w:val="9"/>
    <w:rsid w:val="00F700FC"/>
    <w:rPr>
      <w:rFonts w:ascii="Verdana" w:eastAsia="Times New Roman" w:hAnsi="Verdana"/>
      <w:b/>
      <w:bCs/>
      <w:kern w:val="32"/>
      <w:lang w:val="en-US" w:eastAsia="en-US"/>
    </w:rPr>
  </w:style>
  <w:style w:type="character" w:customStyle="1" w:styleId="Heading2Char">
    <w:name w:val="Heading 2 Char"/>
    <w:aliases w:val="Heading 2 PS Char"/>
    <w:link w:val="Heading2"/>
    <w:uiPriority w:val="9"/>
    <w:rsid w:val="00CC5844"/>
    <w:rPr>
      <w:rFonts w:ascii="Verdana" w:eastAsia="Arial" w:hAnsi="Verdana"/>
      <w:bCs/>
      <w:iCs/>
      <w:sz w:val="18"/>
      <w:szCs w:val="18"/>
      <w:lang w:val="en-US" w:eastAsia="en-US"/>
    </w:rPr>
  </w:style>
  <w:style w:type="paragraph" w:styleId="NoSpacing">
    <w:name w:val="No Spacing"/>
    <w:uiPriority w:val="1"/>
    <w:qFormat/>
    <w:rsid w:val="008E3762"/>
    <w:rPr>
      <w:rFonts w:ascii="Verdana" w:hAnsi="Verdana"/>
      <w:szCs w:val="22"/>
      <w:lang w:eastAsia="en-US"/>
    </w:rPr>
  </w:style>
  <w:style w:type="paragraph" w:styleId="Header">
    <w:name w:val="header"/>
    <w:basedOn w:val="Normal"/>
    <w:link w:val="HeaderChar"/>
    <w:uiPriority w:val="99"/>
    <w:unhideWhenUsed/>
    <w:rsid w:val="00035CEC"/>
    <w:pPr>
      <w:tabs>
        <w:tab w:val="center" w:pos="4513"/>
        <w:tab w:val="right" w:pos="9026"/>
      </w:tabs>
    </w:pPr>
  </w:style>
  <w:style w:type="character" w:customStyle="1" w:styleId="HeaderChar">
    <w:name w:val="Header Char"/>
    <w:link w:val="Header"/>
    <w:uiPriority w:val="99"/>
    <w:rsid w:val="00035CEC"/>
    <w:rPr>
      <w:rFonts w:ascii="Verdana" w:hAnsi="Verdana"/>
      <w:szCs w:val="22"/>
      <w:lang w:eastAsia="en-US"/>
    </w:rPr>
  </w:style>
  <w:style w:type="paragraph" w:styleId="Footer">
    <w:name w:val="footer"/>
    <w:basedOn w:val="Normal"/>
    <w:link w:val="FooterChar"/>
    <w:uiPriority w:val="99"/>
    <w:unhideWhenUsed/>
    <w:rsid w:val="00035CEC"/>
    <w:pPr>
      <w:tabs>
        <w:tab w:val="center" w:pos="4513"/>
        <w:tab w:val="right" w:pos="9026"/>
      </w:tabs>
    </w:pPr>
  </w:style>
  <w:style w:type="character" w:customStyle="1" w:styleId="FooterChar">
    <w:name w:val="Footer Char"/>
    <w:link w:val="Footer"/>
    <w:uiPriority w:val="99"/>
    <w:rsid w:val="00035CEC"/>
    <w:rPr>
      <w:rFonts w:ascii="Verdana" w:hAnsi="Verdana"/>
      <w:szCs w:val="22"/>
      <w:lang w:eastAsia="en-US"/>
    </w:rPr>
  </w:style>
  <w:style w:type="paragraph" w:styleId="TOCHeading">
    <w:name w:val="TOC Heading"/>
    <w:basedOn w:val="Heading1"/>
    <w:next w:val="Normal"/>
    <w:uiPriority w:val="39"/>
    <w:unhideWhenUsed/>
    <w:qFormat/>
    <w:rsid w:val="009A616D"/>
    <w:pPr>
      <w:keepLines/>
      <w:spacing w:before="480" w:after="0" w:line="276" w:lineRule="auto"/>
      <w:outlineLvl w:val="9"/>
    </w:pPr>
    <w:rPr>
      <w:rFonts w:ascii="Cambria" w:eastAsia="MS Gothic" w:hAnsi="Cambria"/>
      <w:color w:val="365F91"/>
      <w:kern w:val="0"/>
      <w:sz w:val="28"/>
      <w:szCs w:val="28"/>
      <w:lang w:eastAsia="ja-JP"/>
    </w:rPr>
  </w:style>
  <w:style w:type="paragraph" w:styleId="TOC1">
    <w:name w:val="toc 1"/>
    <w:basedOn w:val="Normal"/>
    <w:next w:val="Normal"/>
    <w:autoRedefine/>
    <w:uiPriority w:val="39"/>
    <w:unhideWhenUsed/>
    <w:rsid w:val="007F2E75"/>
    <w:pPr>
      <w:tabs>
        <w:tab w:val="left" w:pos="851"/>
        <w:tab w:val="right" w:leader="dot" w:pos="9016"/>
      </w:tabs>
      <w:ind w:left="426"/>
    </w:pPr>
    <w:rPr>
      <w:b/>
      <w:noProof/>
      <w:sz w:val="16"/>
      <w:szCs w:val="16"/>
    </w:rPr>
  </w:style>
  <w:style w:type="paragraph" w:styleId="TOC2">
    <w:name w:val="toc 2"/>
    <w:basedOn w:val="Normal"/>
    <w:next w:val="Normal"/>
    <w:autoRedefine/>
    <w:uiPriority w:val="39"/>
    <w:unhideWhenUsed/>
    <w:rsid w:val="006E4257"/>
    <w:pPr>
      <w:tabs>
        <w:tab w:val="left" w:pos="851"/>
        <w:tab w:val="right" w:leader="dot" w:pos="9016"/>
      </w:tabs>
      <w:ind w:left="426"/>
    </w:pPr>
    <w:rPr>
      <w:noProof/>
      <w:sz w:val="16"/>
      <w:szCs w:val="16"/>
    </w:rPr>
  </w:style>
  <w:style w:type="paragraph" w:styleId="BalloonText">
    <w:name w:val="Balloon Text"/>
    <w:basedOn w:val="Normal"/>
    <w:link w:val="BalloonTextChar"/>
    <w:uiPriority w:val="99"/>
    <w:semiHidden/>
    <w:unhideWhenUsed/>
    <w:rsid w:val="004C439C"/>
    <w:pPr>
      <w:spacing w:after="0"/>
    </w:pPr>
    <w:rPr>
      <w:rFonts w:ascii="Tahoma" w:hAnsi="Tahoma" w:cs="Tahoma"/>
      <w:sz w:val="16"/>
      <w:szCs w:val="16"/>
    </w:rPr>
  </w:style>
  <w:style w:type="character" w:customStyle="1" w:styleId="BalloonTextChar">
    <w:name w:val="Balloon Text Char"/>
    <w:link w:val="BalloonText"/>
    <w:uiPriority w:val="99"/>
    <w:semiHidden/>
    <w:rsid w:val="004C439C"/>
    <w:rPr>
      <w:rFonts w:ascii="Tahoma" w:hAnsi="Tahoma" w:cs="Tahoma"/>
      <w:sz w:val="16"/>
      <w:szCs w:val="16"/>
      <w:lang w:eastAsia="en-US"/>
    </w:rPr>
  </w:style>
  <w:style w:type="character" w:styleId="CommentReference">
    <w:name w:val="annotation reference"/>
    <w:uiPriority w:val="99"/>
    <w:semiHidden/>
    <w:unhideWhenUsed/>
    <w:rsid w:val="00CD22A4"/>
    <w:rPr>
      <w:sz w:val="16"/>
      <w:szCs w:val="16"/>
    </w:rPr>
  </w:style>
  <w:style w:type="paragraph" w:styleId="CommentText">
    <w:name w:val="annotation text"/>
    <w:basedOn w:val="Normal"/>
    <w:link w:val="CommentTextChar"/>
    <w:uiPriority w:val="99"/>
    <w:semiHidden/>
    <w:unhideWhenUsed/>
    <w:rsid w:val="00CD22A4"/>
    <w:rPr>
      <w:szCs w:val="20"/>
    </w:rPr>
  </w:style>
  <w:style w:type="character" w:customStyle="1" w:styleId="CommentTextChar">
    <w:name w:val="Comment Text Char"/>
    <w:link w:val="CommentText"/>
    <w:uiPriority w:val="99"/>
    <w:semiHidden/>
    <w:rsid w:val="00CD22A4"/>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CD22A4"/>
    <w:rPr>
      <w:b/>
      <w:bCs/>
    </w:rPr>
  </w:style>
  <w:style w:type="character" w:customStyle="1" w:styleId="CommentSubjectChar">
    <w:name w:val="Comment Subject Char"/>
    <w:link w:val="CommentSubject"/>
    <w:uiPriority w:val="99"/>
    <w:semiHidden/>
    <w:rsid w:val="00CD22A4"/>
    <w:rPr>
      <w:rFonts w:ascii="Verdana" w:hAnsi="Verdana"/>
      <w:b/>
      <w:bCs/>
      <w:lang w:eastAsia="en-US"/>
    </w:rPr>
  </w:style>
  <w:style w:type="paragraph" w:styleId="Title">
    <w:name w:val="Title"/>
    <w:basedOn w:val="Normal"/>
    <w:next w:val="Normal"/>
    <w:link w:val="TitleChar"/>
    <w:uiPriority w:val="10"/>
    <w:qFormat/>
    <w:rsid w:val="0029629F"/>
    <w:pPr>
      <w:spacing w:before="240" w:after="240"/>
      <w:jc w:val="center"/>
      <w:outlineLvl w:val="0"/>
    </w:pPr>
    <w:rPr>
      <w:rFonts w:eastAsia="Times New Roman"/>
      <w:b/>
      <w:bCs/>
      <w:kern w:val="28"/>
      <w:szCs w:val="20"/>
      <w:lang w:val="en-US"/>
    </w:rPr>
  </w:style>
  <w:style w:type="character" w:customStyle="1" w:styleId="TitleChar">
    <w:name w:val="Title Char"/>
    <w:link w:val="Title"/>
    <w:uiPriority w:val="10"/>
    <w:rsid w:val="0029629F"/>
    <w:rPr>
      <w:rFonts w:ascii="Verdana" w:eastAsia="Times New Roman" w:hAnsi="Verdana" w:cs="Times New Roman"/>
      <w:b/>
      <w:bCs/>
      <w:kern w:val="28"/>
      <w:lang w:val="en-US" w:eastAsia="en-US"/>
    </w:rPr>
  </w:style>
  <w:style w:type="character" w:customStyle="1" w:styleId="Heading3Char">
    <w:name w:val="Heading 3 Char"/>
    <w:link w:val="Heading3"/>
    <w:uiPriority w:val="9"/>
    <w:rsid w:val="00EC1A81"/>
    <w:rPr>
      <w:rFonts w:ascii="Verdana" w:eastAsia="Times New Roman" w:hAnsi="Verdana"/>
      <w:bCs/>
      <w:i/>
      <w:lang w:val="en-US" w:eastAsia="en-US"/>
    </w:rPr>
  </w:style>
  <w:style w:type="paragraph" w:styleId="NormalWeb">
    <w:name w:val="Normal (Web)"/>
    <w:basedOn w:val="Normal"/>
    <w:uiPriority w:val="99"/>
    <w:semiHidden/>
    <w:unhideWhenUsed/>
    <w:rsid w:val="00030CBE"/>
    <w:pPr>
      <w:spacing w:before="100" w:beforeAutospacing="1" w:after="100" w:afterAutospacing="1"/>
    </w:pPr>
    <w:rPr>
      <w:rFonts w:ascii="Times New Roman" w:eastAsia="Times New Roman" w:hAnsi="Times New Roman"/>
      <w:sz w:val="24"/>
      <w:szCs w:val="24"/>
      <w:lang w:eastAsia="en-AU"/>
    </w:rPr>
  </w:style>
  <w:style w:type="paragraph" w:styleId="TOC3">
    <w:name w:val="toc 3"/>
    <w:basedOn w:val="Normal"/>
    <w:next w:val="Normal"/>
    <w:autoRedefine/>
    <w:uiPriority w:val="39"/>
    <w:unhideWhenUsed/>
    <w:rsid w:val="00C669E5"/>
    <w:pPr>
      <w:ind w:left="400"/>
    </w:pPr>
  </w:style>
  <w:style w:type="table" w:customStyle="1" w:styleId="TableGrid2">
    <w:name w:val="Table Grid2"/>
    <w:basedOn w:val="TableNormal"/>
    <w:next w:val="TableGrid"/>
    <w:uiPriority w:val="59"/>
    <w:rsid w:val="00F35B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35B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a">
    <w:name w:val="text (a)"/>
    <w:basedOn w:val="Normal"/>
    <w:link w:val="textaChar"/>
    <w:qFormat/>
    <w:rsid w:val="004B7749"/>
    <w:pPr>
      <w:numPr>
        <w:numId w:val="22"/>
      </w:numPr>
      <w:spacing w:after="120" w:line="300" w:lineRule="exact"/>
      <w:ind w:left="1797" w:hanging="357"/>
    </w:pPr>
    <w:rPr>
      <w:sz w:val="18"/>
      <w:szCs w:val="18"/>
      <w:lang w:val="en-US"/>
    </w:rPr>
  </w:style>
  <w:style w:type="paragraph" w:customStyle="1" w:styleId="textbasic">
    <w:name w:val="text basic"/>
    <w:basedOn w:val="Normal"/>
    <w:link w:val="textbasicChar"/>
    <w:qFormat/>
    <w:rsid w:val="00F324DE"/>
    <w:pPr>
      <w:spacing w:after="120" w:line="300" w:lineRule="exact"/>
      <w:jc w:val="both"/>
    </w:pPr>
    <w:rPr>
      <w:sz w:val="18"/>
      <w:szCs w:val="18"/>
      <w:lang w:val="en-US"/>
    </w:rPr>
  </w:style>
  <w:style w:type="paragraph" w:customStyle="1" w:styleId="TableTitledetermination">
    <w:name w:val="Table Title (determination)"/>
    <w:basedOn w:val="Normal"/>
    <w:link w:val="TableTitledeterminationChar"/>
    <w:qFormat/>
    <w:rsid w:val="00591FA3"/>
    <w:pPr>
      <w:ind w:left="1080"/>
      <w:jc w:val="both"/>
    </w:pPr>
    <w:rPr>
      <w:b/>
      <w:lang w:val="en-US"/>
    </w:rPr>
  </w:style>
  <w:style w:type="character" w:customStyle="1" w:styleId="textaChar">
    <w:name w:val="text (a) Char"/>
    <w:link w:val="texta"/>
    <w:rsid w:val="004B7749"/>
    <w:rPr>
      <w:rFonts w:ascii="Verdana" w:hAnsi="Verdana"/>
      <w:sz w:val="18"/>
      <w:szCs w:val="18"/>
      <w:lang w:val="en-US" w:eastAsia="en-US"/>
    </w:rPr>
  </w:style>
  <w:style w:type="character" w:customStyle="1" w:styleId="textbasicChar">
    <w:name w:val="text basic Char"/>
    <w:link w:val="textbasic"/>
    <w:rsid w:val="00F324DE"/>
    <w:rPr>
      <w:rFonts w:ascii="Verdana" w:hAnsi="Verdana"/>
      <w:sz w:val="18"/>
      <w:szCs w:val="18"/>
      <w:lang w:val="en-US" w:eastAsia="en-US"/>
    </w:rPr>
  </w:style>
  <w:style w:type="paragraph" w:customStyle="1" w:styleId="quoteitalics">
    <w:name w:val="quote italics"/>
    <w:basedOn w:val="Normal"/>
    <w:link w:val="quoteitalicsChar"/>
    <w:qFormat/>
    <w:rsid w:val="00591FA3"/>
    <w:pPr>
      <w:ind w:left="709"/>
      <w:jc w:val="both"/>
    </w:pPr>
    <w:rPr>
      <w:i/>
      <w:sz w:val="18"/>
      <w:szCs w:val="18"/>
      <w:lang w:val="en-US"/>
    </w:rPr>
  </w:style>
  <w:style w:type="character" w:customStyle="1" w:styleId="TableTitledeterminationChar">
    <w:name w:val="Table Title (determination) Char"/>
    <w:link w:val="TableTitledetermination"/>
    <w:rsid w:val="00591FA3"/>
    <w:rPr>
      <w:rFonts w:ascii="Verdana" w:hAnsi="Verdana"/>
      <w:b/>
      <w:szCs w:val="22"/>
      <w:lang w:val="en-US" w:eastAsia="en-US"/>
    </w:rPr>
  </w:style>
  <w:style w:type="paragraph" w:customStyle="1" w:styleId="quoteitalics1">
    <w:name w:val="quote italics (1)"/>
    <w:basedOn w:val="quoteitalics"/>
    <w:link w:val="quoteitalics1Char"/>
    <w:qFormat/>
    <w:rsid w:val="00F700FC"/>
    <w:pPr>
      <w:ind w:hanging="142"/>
    </w:pPr>
    <w:rPr>
      <w:bCs/>
    </w:rPr>
  </w:style>
  <w:style w:type="character" w:customStyle="1" w:styleId="quoteitalicsChar">
    <w:name w:val="quote italics Char"/>
    <w:link w:val="quoteitalics"/>
    <w:rsid w:val="00591FA3"/>
    <w:rPr>
      <w:rFonts w:ascii="Verdana" w:hAnsi="Verdana"/>
      <w:i/>
      <w:sz w:val="18"/>
      <w:szCs w:val="18"/>
      <w:lang w:val="en-US" w:eastAsia="en-US"/>
    </w:rPr>
  </w:style>
  <w:style w:type="paragraph" w:customStyle="1" w:styleId="texti">
    <w:name w:val="text (i)"/>
    <w:basedOn w:val="Normal"/>
    <w:link w:val="textiChar"/>
    <w:qFormat/>
    <w:rsid w:val="0033523C"/>
    <w:pPr>
      <w:spacing w:after="120" w:line="300" w:lineRule="exact"/>
      <w:ind w:left="709" w:hanging="567"/>
      <w:jc w:val="both"/>
    </w:pPr>
    <w:rPr>
      <w:sz w:val="18"/>
      <w:szCs w:val="18"/>
    </w:rPr>
  </w:style>
  <w:style w:type="character" w:customStyle="1" w:styleId="quoteitalics1Char">
    <w:name w:val="quote italics (1) Char"/>
    <w:link w:val="quoteitalics1"/>
    <w:rsid w:val="00F700FC"/>
    <w:rPr>
      <w:rFonts w:ascii="Verdana" w:hAnsi="Verdana"/>
      <w:bCs/>
      <w:i/>
      <w:sz w:val="18"/>
      <w:szCs w:val="18"/>
      <w:lang w:val="en-US" w:eastAsia="en-US"/>
    </w:rPr>
  </w:style>
  <w:style w:type="paragraph" w:customStyle="1" w:styleId="TableTitlemain">
    <w:name w:val="Table Title (main)"/>
    <w:basedOn w:val="TableTitledetermination"/>
    <w:link w:val="TableTitlemainChar"/>
    <w:qFormat/>
    <w:rsid w:val="00725574"/>
    <w:pPr>
      <w:ind w:left="1134" w:hanging="1134"/>
    </w:pPr>
  </w:style>
  <w:style w:type="character" w:customStyle="1" w:styleId="textiChar">
    <w:name w:val="text (i) Char"/>
    <w:link w:val="texti"/>
    <w:rsid w:val="0033523C"/>
    <w:rPr>
      <w:rFonts w:ascii="Verdana" w:hAnsi="Verdana"/>
      <w:sz w:val="18"/>
      <w:szCs w:val="18"/>
      <w:lang w:eastAsia="en-US"/>
    </w:rPr>
  </w:style>
  <w:style w:type="paragraph" w:styleId="TOC4">
    <w:name w:val="toc 4"/>
    <w:basedOn w:val="Normal"/>
    <w:next w:val="Normal"/>
    <w:autoRedefine/>
    <w:uiPriority w:val="39"/>
    <w:unhideWhenUsed/>
    <w:rsid w:val="00D75A61"/>
    <w:pPr>
      <w:spacing w:after="100" w:line="276" w:lineRule="auto"/>
      <w:ind w:left="660"/>
    </w:pPr>
    <w:rPr>
      <w:rFonts w:ascii="Calibri" w:eastAsia="Times New Roman" w:hAnsi="Calibri"/>
      <w:sz w:val="22"/>
      <w:lang w:eastAsia="en-AU"/>
    </w:rPr>
  </w:style>
  <w:style w:type="character" w:customStyle="1" w:styleId="TableTitlemainChar">
    <w:name w:val="Table Title (main) Char"/>
    <w:basedOn w:val="TableTitledeterminationChar"/>
    <w:link w:val="TableTitlemain"/>
    <w:rsid w:val="00725574"/>
    <w:rPr>
      <w:rFonts w:ascii="Verdana" w:hAnsi="Verdana"/>
      <w:b/>
      <w:szCs w:val="22"/>
      <w:lang w:val="en-US" w:eastAsia="en-US"/>
    </w:rPr>
  </w:style>
  <w:style w:type="paragraph" w:styleId="TOC5">
    <w:name w:val="toc 5"/>
    <w:basedOn w:val="Normal"/>
    <w:next w:val="Normal"/>
    <w:autoRedefine/>
    <w:uiPriority w:val="39"/>
    <w:unhideWhenUsed/>
    <w:rsid w:val="00D75A61"/>
    <w:pPr>
      <w:spacing w:after="100" w:line="276" w:lineRule="auto"/>
      <w:ind w:left="880"/>
    </w:pPr>
    <w:rPr>
      <w:rFonts w:ascii="Calibri" w:eastAsia="Times New Roman" w:hAnsi="Calibri"/>
      <w:sz w:val="22"/>
      <w:lang w:eastAsia="en-AU"/>
    </w:rPr>
  </w:style>
  <w:style w:type="paragraph" w:styleId="TOC6">
    <w:name w:val="toc 6"/>
    <w:basedOn w:val="Normal"/>
    <w:next w:val="Normal"/>
    <w:autoRedefine/>
    <w:uiPriority w:val="39"/>
    <w:unhideWhenUsed/>
    <w:rsid w:val="00D75A61"/>
    <w:pPr>
      <w:spacing w:after="100" w:line="276" w:lineRule="auto"/>
      <w:ind w:left="1100"/>
    </w:pPr>
    <w:rPr>
      <w:rFonts w:ascii="Calibri" w:eastAsia="Times New Roman" w:hAnsi="Calibri"/>
      <w:sz w:val="22"/>
      <w:lang w:eastAsia="en-AU"/>
    </w:rPr>
  </w:style>
  <w:style w:type="paragraph" w:styleId="TOC7">
    <w:name w:val="toc 7"/>
    <w:basedOn w:val="Normal"/>
    <w:next w:val="Normal"/>
    <w:autoRedefine/>
    <w:uiPriority w:val="39"/>
    <w:unhideWhenUsed/>
    <w:rsid w:val="00D75A61"/>
    <w:pPr>
      <w:spacing w:after="100" w:line="276" w:lineRule="auto"/>
      <w:ind w:left="1320"/>
    </w:pPr>
    <w:rPr>
      <w:rFonts w:ascii="Calibri" w:eastAsia="Times New Roman" w:hAnsi="Calibri"/>
      <w:sz w:val="22"/>
      <w:lang w:eastAsia="en-AU"/>
    </w:rPr>
  </w:style>
  <w:style w:type="paragraph" w:styleId="TOC8">
    <w:name w:val="toc 8"/>
    <w:basedOn w:val="Normal"/>
    <w:next w:val="Normal"/>
    <w:autoRedefine/>
    <w:uiPriority w:val="39"/>
    <w:unhideWhenUsed/>
    <w:rsid w:val="00D75A61"/>
    <w:pPr>
      <w:spacing w:after="100" w:line="276" w:lineRule="auto"/>
      <w:ind w:left="1540"/>
    </w:pPr>
    <w:rPr>
      <w:rFonts w:ascii="Calibri" w:eastAsia="Times New Roman" w:hAnsi="Calibri"/>
      <w:sz w:val="22"/>
      <w:lang w:eastAsia="en-AU"/>
    </w:rPr>
  </w:style>
  <w:style w:type="paragraph" w:styleId="TOC9">
    <w:name w:val="toc 9"/>
    <w:basedOn w:val="Normal"/>
    <w:next w:val="Normal"/>
    <w:autoRedefine/>
    <w:uiPriority w:val="39"/>
    <w:unhideWhenUsed/>
    <w:rsid w:val="00D75A61"/>
    <w:pPr>
      <w:spacing w:after="100" w:line="276" w:lineRule="auto"/>
      <w:ind w:left="1760"/>
    </w:pPr>
    <w:rPr>
      <w:rFonts w:ascii="Calibri" w:eastAsia="Times New Roman" w:hAnsi="Calibri"/>
      <w:sz w:val="22"/>
      <w:lang w:eastAsia="en-AU"/>
    </w:rPr>
  </w:style>
  <w:style w:type="paragraph" w:customStyle="1" w:styleId="Default">
    <w:name w:val="Default"/>
    <w:rsid w:val="0027293D"/>
    <w:pPr>
      <w:autoSpaceDE w:val="0"/>
      <w:autoSpaceDN w:val="0"/>
      <w:adjustRightInd w:val="0"/>
    </w:pPr>
    <w:rPr>
      <w:rFonts w:cs="Calibri"/>
      <w:color w:val="000000"/>
      <w:sz w:val="24"/>
      <w:szCs w:val="24"/>
    </w:rPr>
  </w:style>
  <w:style w:type="character" w:customStyle="1" w:styleId="Heading4Char">
    <w:name w:val="Heading 4 Char"/>
    <w:link w:val="Heading4"/>
    <w:uiPriority w:val="9"/>
    <w:rsid w:val="0027293D"/>
    <w:rPr>
      <w:rFonts w:ascii="Calibri" w:eastAsia="Times New Roman" w:hAnsi="Calibri" w:cs="Times New Roman"/>
      <w:b/>
      <w:bCs/>
      <w:sz w:val="28"/>
      <w:szCs w:val="28"/>
      <w:lang w:eastAsia="en-US"/>
    </w:rPr>
  </w:style>
  <w:style w:type="paragraph" w:customStyle="1" w:styleId="Appendixindent">
    <w:name w:val="Appendix indent"/>
    <w:basedOn w:val="texti"/>
    <w:link w:val="AppendixindentChar"/>
    <w:qFormat/>
    <w:rsid w:val="00A82D6F"/>
    <w:pPr>
      <w:ind w:hanging="709"/>
    </w:pPr>
  </w:style>
  <w:style w:type="character" w:customStyle="1" w:styleId="AppendixindentChar">
    <w:name w:val="Appendix indent Char"/>
    <w:basedOn w:val="textiChar"/>
    <w:link w:val="Appendixindent"/>
    <w:rsid w:val="00A82D6F"/>
    <w:rPr>
      <w:rFonts w:ascii="Verdana" w:hAnsi="Verdana"/>
      <w:sz w:val="18"/>
      <w:szCs w:val="18"/>
      <w:lang w:eastAsia="en-US"/>
    </w:rPr>
  </w:style>
  <w:style w:type="paragraph" w:styleId="ListParagraph">
    <w:name w:val="List Paragraph"/>
    <w:basedOn w:val="Normal"/>
    <w:uiPriority w:val="34"/>
    <w:qFormat/>
    <w:rsid w:val="00E466E3"/>
    <w:pPr>
      <w:snapToGrid w:val="0"/>
      <w:spacing w:after="0"/>
      <w:ind w:left="720"/>
      <w:contextualSpacing/>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80B"/>
    <w:pPr>
      <w:spacing w:after="200"/>
    </w:pPr>
    <w:rPr>
      <w:rFonts w:ascii="Verdana" w:hAnsi="Verdana"/>
      <w:szCs w:val="22"/>
      <w:lang w:eastAsia="en-US"/>
    </w:rPr>
  </w:style>
  <w:style w:type="paragraph" w:styleId="Heading1">
    <w:name w:val="heading 1"/>
    <w:aliases w:val="Heading 1 PS"/>
    <w:basedOn w:val="Normal"/>
    <w:next w:val="Normal"/>
    <w:link w:val="Heading1Char"/>
    <w:uiPriority w:val="9"/>
    <w:qFormat/>
    <w:rsid w:val="00F700FC"/>
    <w:pPr>
      <w:keepNext/>
      <w:spacing w:before="240" w:after="120"/>
      <w:outlineLvl w:val="0"/>
    </w:pPr>
    <w:rPr>
      <w:rFonts w:eastAsia="Times New Roman"/>
      <w:b/>
      <w:bCs/>
      <w:kern w:val="32"/>
      <w:szCs w:val="20"/>
      <w:lang w:val="en-US"/>
    </w:rPr>
  </w:style>
  <w:style w:type="paragraph" w:styleId="Heading2">
    <w:name w:val="heading 2"/>
    <w:aliases w:val="Heading 2 PS"/>
    <w:basedOn w:val="NoSpacing"/>
    <w:next w:val="Normal"/>
    <w:link w:val="Heading2Char"/>
    <w:uiPriority w:val="9"/>
    <w:unhideWhenUsed/>
    <w:qFormat/>
    <w:rsid w:val="00CC5844"/>
    <w:pPr>
      <w:keepNext/>
      <w:spacing w:before="240" w:after="120"/>
      <w:outlineLvl w:val="1"/>
    </w:pPr>
    <w:rPr>
      <w:rFonts w:eastAsia="Arial"/>
      <w:bCs/>
      <w:iCs/>
      <w:sz w:val="18"/>
      <w:szCs w:val="18"/>
      <w:lang w:val="en-US"/>
    </w:rPr>
  </w:style>
  <w:style w:type="paragraph" w:styleId="Heading3">
    <w:name w:val="heading 3"/>
    <w:basedOn w:val="Normal"/>
    <w:next w:val="Normal"/>
    <w:link w:val="Heading3Char"/>
    <w:uiPriority w:val="9"/>
    <w:unhideWhenUsed/>
    <w:qFormat/>
    <w:rsid w:val="00EC1A81"/>
    <w:pPr>
      <w:keepNext/>
      <w:spacing w:before="240" w:after="120"/>
      <w:outlineLvl w:val="2"/>
    </w:pPr>
    <w:rPr>
      <w:rFonts w:eastAsia="Times New Roman"/>
      <w:bCs/>
      <w:i/>
      <w:szCs w:val="20"/>
      <w:lang w:val="en-US"/>
    </w:rPr>
  </w:style>
  <w:style w:type="paragraph" w:styleId="Heading4">
    <w:name w:val="heading 4"/>
    <w:basedOn w:val="Normal"/>
    <w:next w:val="Normal"/>
    <w:link w:val="Heading4Char"/>
    <w:uiPriority w:val="9"/>
    <w:unhideWhenUsed/>
    <w:qFormat/>
    <w:rsid w:val="0027293D"/>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2FF3"/>
    <w:rPr>
      <w:color w:val="0000FF"/>
      <w:u w:val="single"/>
    </w:rPr>
  </w:style>
  <w:style w:type="paragraph" w:styleId="FootnoteText">
    <w:name w:val="footnote text"/>
    <w:basedOn w:val="Normal"/>
    <w:link w:val="FootnoteTextChar"/>
    <w:uiPriority w:val="99"/>
    <w:semiHidden/>
    <w:unhideWhenUsed/>
    <w:rsid w:val="0033321C"/>
    <w:rPr>
      <w:szCs w:val="20"/>
    </w:rPr>
  </w:style>
  <w:style w:type="character" w:customStyle="1" w:styleId="FootnoteTextChar">
    <w:name w:val="Footnote Text Char"/>
    <w:link w:val="FootnoteText"/>
    <w:uiPriority w:val="99"/>
    <w:semiHidden/>
    <w:rsid w:val="0033321C"/>
    <w:rPr>
      <w:rFonts w:ascii="Verdana" w:hAnsi="Verdana"/>
      <w:lang w:eastAsia="en-US"/>
    </w:rPr>
  </w:style>
  <w:style w:type="character" w:styleId="FootnoteReference">
    <w:name w:val="footnote reference"/>
    <w:uiPriority w:val="99"/>
    <w:semiHidden/>
    <w:unhideWhenUsed/>
    <w:rsid w:val="0033321C"/>
    <w:rPr>
      <w:vertAlign w:val="superscript"/>
    </w:rPr>
  </w:style>
  <w:style w:type="table" w:styleId="TableGrid">
    <w:name w:val="Table Grid"/>
    <w:basedOn w:val="TableNormal"/>
    <w:uiPriority w:val="59"/>
    <w:rsid w:val="00244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F4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eading 1 PS Char"/>
    <w:link w:val="Heading1"/>
    <w:uiPriority w:val="9"/>
    <w:rsid w:val="00F700FC"/>
    <w:rPr>
      <w:rFonts w:ascii="Verdana" w:eastAsia="Times New Roman" w:hAnsi="Verdana"/>
      <w:b/>
      <w:bCs/>
      <w:kern w:val="32"/>
      <w:lang w:val="en-US" w:eastAsia="en-US"/>
    </w:rPr>
  </w:style>
  <w:style w:type="character" w:customStyle="1" w:styleId="Heading2Char">
    <w:name w:val="Heading 2 Char"/>
    <w:aliases w:val="Heading 2 PS Char"/>
    <w:link w:val="Heading2"/>
    <w:uiPriority w:val="9"/>
    <w:rsid w:val="00CC5844"/>
    <w:rPr>
      <w:rFonts w:ascii="Verdana" w:eastAsia="Arial" w:hAnsi="Verdana"/>
      <w:bCs/>
      <w:iCs/>
      <w:sz w:val="18"/>
      <w:szCs w:val="18"/>
      <w:lang w:val="en-US" w:eastAsia="en-US"/>
    </w:rPr>
  </w:style>
  <w:style w:type="paragraph" w:styleId="NoSpacing">
    <w:name w:val="No Spacing"/>
    <w:uiPriority w:val="1"/>
    <w:qFormat/>
    <w:rsid w:val="008E3762"/>
    <w:rPr>
      <w:rFonts w:ascii="Verdana" w:hAnsi="Verdana"/>
      <w:szCs w:val="22"/>
      <w:lang w:eastAsia="en-US"/>
    </w:rPr>
  </w:style>
  <w:style w:type="paragraph" w:styleId="Header">
    <w:name w:val="header"/>
    <w:basedOn w:val="Normal"/>
    <w:link w:val="HeaderChar"/>
    <w:uiPriority w:val="99"/>
    <w:unhideWhenUsed/>
    <w:rsid w:val="00035CEC"/>
    <w:pPr>
      <w:tabs>
        <w:tab w:val="center" w:pos="4513"/>
        <w:tab w:val="right" w:pos="9026"/>
      </w:tabs>
    </w:pPr>
  </w:style>
  <w:style w:type="character" w:customStyle="1" w:styleId="HeaderChar">
    <w:name w:val="Header Char"/>
    <w:link w:val="Header"/>
    <w:uiPriority w:val="99"/>
    <w:rsid w:val="00035CEC"/>
    <w:rPr>
      <w:rFonts w:ascii="Verdana" w:hAnsi="Verdana"/>
      <w:szCs w:val="22"/>
      <w:lang w:eastAsia="en-US"/>
    </w:rPr>
  </w:style>
  <w:style w:type="paragraph" w:styleId="Footer">
    <w:name w:val="footer"/>
    <w:basedOn w:val="Normal"/>
    <w:link w:val="FooterChar"/>
    <w:uiPriority w:val="99"/>
    <w:unhideWhenUsed/>
    <w:rsid w:val="00035CEC"/>
    <w:pPr>
      <w:tabs>
        <w:tab w:val="center" w:pos="4513"/>
        <w:tab w:val="right" w:pos="9026"/>
      </w:tabs>
    </w:pPr>
  </w:style>
  <w:style w:type="character" w:customStyle="1" w:styleId="FooterChar">
    <w:name w:val="Footer Char"/>
    <w:link w:val="Footer"/>
    <w:uiPriority w:val="99"/>
    <w:rsid w:val="00035CEC"/>
    <w:rPr>
      <w:rFonts w:ascii="Verdana" w:hAnsi="Verdana"/>
      <w:szCs w:val="22"/>
      <w:lang w:eastAsia="en-US"/>
    </w:rPr>
  </w:style>
  <w:style w:type="paragraph" w:styleId="TOCHeading">
    <w:name w:val="TOC Heading"/>
    <w:basedOn w:val="Heading1"/>
    <w:next w:val="Normal"/>
    <w:uiPriority w:val="39"/>
    <w:unhideWhenUsed/>
    <w:qFormat/>
    <w:rsid w:val="009A616D"/>
    <w:pPr>
      <w:keepLines/>
      <w:spacing w:before="480" w:after="0" w:line="276" w:lineRule="auto"/>
      <w:outlineLvl w:val="9"/>
    </w:pPr>
    <w:rPr>
      <w:rFonts w:ascii="Cambria" w:eastAsia="MS Gothic" w:hAnsi="Cambria"/>
      <w:color w:val="365F91"/>
      <w:kern w:val="0"/>
      <w:sz w:val="28"/>
      <w:szCs w:val="28"/>
      <w:lang w:eastAsia="ja-JP"/>
    </w:rPr>
  </w:style>
  <w:style w:type="paragraph" w:styleId="TOC1">
    <w:name w:val="toc 1"/>
    <w:basedOn w:val="Normal"/>
    <w:next w:val="Normal"/>
    <w:autoRedefine/>
    <w:uiPriority w:val="39"/>
    <w:unhideWhenUsed/>
    <w:rsid w:val="007F2E75"/>
    <w:pPr>
      <w:tabs>
        <w:tab w:val="left" w:pos="851"/>
        <w:tab w:val="right" w:leader="dot" w:pos="9016"/>
      </w:tabs>
      <w:ind w:left="426"/>
    </w:pPr>
    <w:rPr>
      <w:b/>
      <w:noProof/>
      <w:sz w:val="16"/>
      <w:szCs w:val="16"/>
    </w:rPr>
  </w:style>
  <w:style w:type="paragraph" w:styleId="TOC2">
    <w:name w:val="toc 2"/>
    <w:basedOn w:val="Normal"/>
    <w:next w:val="Normal"/>
    <w:autoRedefine/>
    <w:uiPriority w:val="39"/>
    <w:unhideWhenUsed/>
    <w:rsid w:val="006E4257"/>
    <w:pPr>
      <w:tabs>
        <w:tab w:val="left" w:pos="851"/>
        <w:tab w:val="right" w:leader="dot" w:pos="9016"/>
      </w:tabs>
      <w:ind w:left="426"/>
    </w:pPr>
    <w:rPr>
      <w:noProof/>
      <w:sz w:val="16"/>
      <w:szCs w:val="16"/>
    </w:rPr>
  </w:style>
  <w:style w:type="paragraph" w:styleId="BalloonText">
    <w:name w:val="Balloon Text"/>
    <w:basedOn w:val="Normal"/>
    <w:link w:val="BalloonTextChar"/>
    <w:uiPriority w:val="99"/>
    <w:semiHidden/>
    <w:unhideWhenUsed/>
    <w:rsid w:val="004C439C"/>
    <w:pPr>
      <w:spacing w:after="0"/>
    </w:pPr>
    <w:rPr>
      <w:rFonts w:ascii="Tahoma" w:hAnsi="Tahoma" w:cs="Tahoma"/>
      <w:sz w:val="16"/>
      <w:szCs w:val="16"/>
    </w:rPr>
  </w:style>
  <w:style w:type="character" w:customStyle="1" w:styleId="BalloonTextChar">
    <w:name w:val="Balloon Text Char"/>
    <w:link w:val="BalloonText"/>
    <w:uiPriority w:val="99"/>
    <w:semiHidden/>
    <w:rsid w:val="004C439C"/>
    <w:rPr>
      <w:rFonts w:ascii="Tahoma" w:hAnsi="Tahoma" w:cs="Tahoma"/>
      <w:sz w:val="16"/>
      <w:szCs w:val="16"/>
      <w:lang w:eastAsia="en-US"/>
    </w:rPr>
  </w:style>
  <w:style w:type="character" w:styleId="CommentReference">
    <w:name w:val="annotation reference"/>
    <w:uiPriority w:val="99"/>
    <w:semiHidden/>
    <w:unhideWhenUsed/>
    <w:rsid w:val="00CD22A4"/>
    <w:rPr>
      <w:sz w:val="16"/>
      <w:szCs w:val="16"/>
    </w:rPr>
  </w:style>
  <w:style w:type="paragraph" w:styleId="CommentText">
    <w:name w:val="annotation text"/>
    <w:basedOn w:val="Normal"/>
    <w:link w:val="CommentTextChar"/>
    <w:uiPriority w:val="99"/>
    <w:semiHidden/>
    <w:unhideWhenUsed/>
    <w:rsid w:val="00CD22A4"/>
    <w:rPr>
      <w:szCs w:val="20"/>
    </w:rPr>
  </w:style>
  <w:style w:type="character" w:customStyle="1" w:styleId="CommentTextChar">
    <w:name w:val="Comment Text Char"/>
    <w:link w:val="CommentText"/>
    <w:uiPriority w:val="99"/>
    <w:semiHidden/>
    <w:rsid w:val="00CD22A4"/>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CD22A4"/>
    <w:rPr>
      <w:b/>
      <w:bCs/>
    </w:rPr>
  </w:style>
  <w:style w:type="character" w:customStyle="1" w:styleId="CommentSubjectChar">
    <w:name w:val="Comment Subject Char"/>
    <w:link w:val="CommentSubject"/>
    <w:uiPriority w:val="99"/>
    <w:semiHidden/>
    <w:rsid w:val="00CD22A4"/>
    <w:rPr>
      <w:rFonts w:ascii="Verdana" w:hAnsi="Verdana"/>
      <w:b/>
      <w:bCs/>
      <w:lang w:eastAsia="en-US"/>
    </w:rPr>
  </w:style>
  <w:style w:type="paragraph" w:styleId="Title">
    <w:name w:val="Title"/>
    <w:basedOn w:val="Normal"/>
    <w:next w:val="Normal"/>
    <w:link w:val="TitleChar"/>
    <w:uiPriority w:val="10"/>
    <w:qFormat/>
    <w:rsid w:val="0029629F"/>
    <w:pPr>
      <w:spacing w:before="240" w:after="240"/>
      <w:jc w:val="center"/>
      <w:outlineLvl w:val="0"/>
    </w:pPr>
    <w:rPr>
      <w:rFonts w:eastAsia="Times New Roman"/>
      <w:b/>
      <w:bCs/>
      <w:kern w:val="28"/>
      <w:szCs w:val="20"/>
      <w:lang w:val="en-US"/>
    </w:rPr>
  </w:style>
  <w:style w:type="character" w:customStyle="1" w:styleId="TitleChar">
    <w:name w:val="Title Char"/>
    <w:link w:val="Title"/>
    <w:uiPriority w:val="10"/>
    <w:rsid w:val="0029629F"/>
    <w:rPr>
      <w:rFonts w:ascii="Verdana" w:eastAsia="Times New Roman" w:hAnsi="Verdana" w:cs="Times New Roman"/>
      <w:b/>
      <w:bCs/>
      <w:kern w:val="28"/>
      <w:lang w:val="en-US" w:eastAsia="en-US"/>
    </w:rPr>
  </w:style>
  <w:style w:type="character" w:customStyle="1" w:styleId="Heading3Char">
    <w:name w:val="Heading 3 Char"/>
    <w:link w:val="Heading3"/>
    <w:uiPriority w:val="9"/>
    <w:rsid w:val="00EC1A81"/>
    <w:rPr>
      <w:rFonts w:ascii="Verdana" w:eastAsia="Times New Roman" w:hAnsi="Verdana"/>
      <w:bCs/>
      <w:i/>
      <w:lang w:val="en-US" w:eastAsia="en-US"/>
    </w:rPr>
  </w:style>
  <w:style w:type="paragraph" w:styleId="NormalWeb">
    <w:name w:val="Normal (Web)"/>
    <w:basedOn w:val="Normal"/>
    <w:uiPriority w:val="99"/>
    <w:semiHidden/>
    <w:unhideWhenUsed/>
    <w:rsid w:val="00030CBE"/>
    <w:pPr>
      <w:spacing w:before="100" w:beforeAutospacing="1" w:after="100" w:afterAutospacing="1"/>
    </w:pPr>
    <w:rPr>
      <w:rFonts w:ascii="Times New Roman" w:eastAsia="Times New Roman" w:hAnsi="Times New Roman"/>
      <w:sz w:val="24"/>
      <w:szCs w:val="24"/>
      <w:lang w:eastAsia="en-AU"/>
    </w:rPr>
  </w:style>
  <w:style w:type="paragraph" w:styleId="TOC3">
    <w:name w:val="toc 3"/>
    <w:basedOn w:val="Normal"/>
    <w:next w:val="Normal"/>
    <w:autoRedefine/>
    <w:uiPriority w:val="39"/>
    <w:unhideWhenUsed/>
    <w:rsid w:val="00C669E5"/>
    <w:pPr>
      <w:ind w:left="400"/>
    </w:pPr>
  </w:style>
  <w:style w:type="table" w:customStyle="1" w:styleId="TableGrid2">
    <w:name w:val="Table Grid2"/>
    <w:basedOn w:val="TableNormal"/>
    <w:next w:val="TableGrid"/>
    <w:uiPriority w:val="59"/>
    <w:rsid w:val="00F35B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35B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a">
    <w:name w:val="text (a)"/>
    <w:basedOn w:val="Normal"/>
    <w:link w:val="textaChar"/>
    <w:qFormat/>
    <w:rsid w:val="004B7749"/>
    <w:pPr>
      <w:numPr>
        <w:numId w:val="22"/>
      </w:numPr>
      <w:spacing w:after="120" w:line="300" w:lineRule="exact"/>
      <w:ind w:left="1797" w:hanging="357"/>
    </w:pPr>
    <w:rPr>
      <w:sz w:val="18"/>
      <w:szCs w:val="18"/>
      <w:lang w:val="en-US"/>
    </w:rPr>
  </w:style>
  <w:style w:type="paragraph" w:customStyle="1" w:styleId="textbasic">
    <w:name w:val="text basic"/>
    <w:basedOn w:val="Normal"/>
    <w:link w:val="textbasicChar"/>
    <w:qFormat/>
    <w:rsid w:val="00F324DE"/>
    <w:pPr>
      <w:spacing w:after="120" w:line="300" w:lineRule="exact"/>
      <w:jc w:val="both"/>
    </w:pPr>
    <w:rPr>
      <w:sz w:val="18"/>
      <w:szCs w:val="18"/>
      <w:lang w:val="en-US"/>
    </w:rPr>
  </w:style>
  <w:style w:type="paragraph" w:customStyle="1" w:styleId="TableTitledetermination">
    <w:name w:val="Table Title (determination)"/>
    <w:basedOn w:val="Normal"/>
    <w:link w:val="TableTitledeterminationChar"/>
    <w:qFormat/>
    <w:rsid w:val="00591FA3"/>
    <w:pPr>
      <w:ind w:left="1080"/>
      <w:jc w:val="both"/>
    </w:pPr>
    <w:rPr>
      <w:b/>
      <w:lang w:val="en-US"/>
    </w:rPr>
  </w:style>
  <w:style w:type="character" w:customStyle="1" w:styleId="textaChar">
    <w:name w:val="text (a) Char"/>
    <w:link w:val="texta"/>
    <w:rsid w:val="004B7749"/>
    <w:rPr>
      <w:rFonts w:ascii="Verdana" w:hAnsi="Verdana"/>
      <w:sz w:val="18"/>
      <w:szCs w:val="18"/>
      <w:lang w:val="en-US" w:eastAsia="en-US"/>
    </w:rPr>
  </w:style>
  <w:style w:type="character" w:customStyle="1" w:styleId="textbasicChar">
    <w:name w:val="text basic Char"/>
    <w:link w:val="textbasic"/>
    <w:rsid w:val="00F324DE"/>
    <w:rPr>
      <w:rFonts w:ascii="Verdana" w:hAnsi="Verdana"/>
      <w:sz w:val="18"/>
      <w:szCs w:val="18"/>
      <w:lang w:val="en-US" w:eastAsia="en-US"/>
    </w:rPr>
  </w:style>
  <w:style w:type="paragraph" w:customStyle="1" w:styleId="quoteitalics">
    <w:name w:val="quote italics"/>
    <w:basedOn w:val="Normal"/>
    <w:link w:val="quoteitalicsChar"/>
    <w:qFormat/>
    <w:rsid w:val="00591FA3"/>
    <w:pPr>
      <w:ind w:left="709"/>
      <w:jc w:val="both"/>
    </w:pPr>
    <w:rPr>
      <w:i/>
      <w:sz w:val="18"/>
      <w:szCs w:val="18"/>
      <w:lang w:val="en-US"/>
    </w:rPr>
  </w:style>
  <w:style w:type="character" w:customStyle="1" w:styleId="TableTitledeterminationChar">
    <w:name w:val="Table Title (determination) Char"/>
    <w:link w:val="TableTitledetermination"/>
    <w:rsid w:val="00591FA3"/>
    <w:rPr>
      <w:rFonts w:ascii="Verdana" w:hAnsi="Verdana"/>
      <w:b/>
      <w:szCs w:val="22"/>
      <w:lang w:val="en-US" w:eastAsia="en-US"/>
    </w:rPr>
  </w:style>
  <w:style w:type="paragraph" w:customStyle="1" w:styleId="quoteitalics1">
    <w:name w:val="quote italics (1)"/>
    <w:basedOn w:val="quoteitalics"/>
    <w:link w:val="quoteitalics1Char"/>
    <w:qFormat/>
    <w:rsid w:val="00F700FC"/>
    <w:pPr>
      <w:ind w:hanging="142"/>
    </w:pPr>
    <w:rPr>
      <w:bCs/>
    </w:rPr>
  </w:style>
  <w:style w:type="character" w:customStyle="1" w:styleId="quoteitalicsChar">
    <w:name w:val="quote italics Char"/>
    <w:link w:val="quoteitalics"/>
    <w:rsid w:val="00591FA3"/>
    <w:rPr>
      <w:rFonts w:ascii="Verdana" w:hAnsi="Verdana"/>
      <w:i/>
      <w:sz w:val="18"/>
      <w:szCs w:val="18"/>
      <w:lang w:val="en-US" w:eastAsia="en-US"/>
    </w:rPr>
  </w:style>
  <w:style w:type="paragraph" w:customStyle="1" w:styleId="texti">
    <w:name w:val="text (i)"/>
    <w:basedOn w:val="Normal"/>
    <w:link w:val="textiChar"/>
    <w:qFormat/>
    <w:rsid w:val="0033523C"/>
    <w:pPr>
      <w:spacing w:after="120" w:line="300" w:lineRule="exact"/>
      <w:ind w:left="709" w:hanging="567"/>
      <w:jc w:val="both"/>
    </w:pPr>
    <w:rPr>
      <w:sz w:val="18"/>
      <w:szCs w:val="18"/>
    </w:rPr>
  </w:style>
  <w:style w:type="character" w:customStyle="1" w:styleId="quoteitalics1Char">
    <w:name w:val="quote italics (1) Char"/>
    <w:link w:val="quoteitalics1"/>
    <w:rsid w:val="00F700FC"/>
    <w:rPr>
      <w:rFonts w:ascii="Verdana" w:hAnsi="Verdana"/>
      <w:bCs/>
      <w:i/>
      <w:sz w:val="18"/>
      <w:szCs w:val="18"/>
      <w:lang w:val="en-US" w:eastAsia="en-US"/>
    </w:rPr>
  </w:style>
  <w:style w:type="paragraph" w:customStyle="1" w:styleId="TableTitlemain">
    <w:name w:val="Table Title (main)"/>
    <w:basedOn w:val="TableTitledetermination"/>
    <w:link w:val="TableTitlemainChar"/>
    <w:qFormat/>
    <w:rsid w:val="00725574"/>
    <w:pPr>
      <w:ind w:left="1134" w:hanging="1134"/>
    </w:pPr>
  </w:style>
  <w:style w:type="character" w:customStyle="1" w:styleId="textiChar">
    <w:name w:val="text (i) Char"/>
    <w:link w:val="texti"/>
    <w:rsid w:val="0033523C"/>
    <w:rPr>
      <w:rFonts w:ascii="Verdana" w:hAnsi="Verdana"/>
      <w:sz w:val="18"/>
      <w:szCs w:val="18"/>
      <w:lang w:eastAsia="en-US"/>
    </w:rPr>
  </w:style>
  <w:style w:type="paragraph" w:styleId="TOC4">
    <w:name w:val="toc 4"/>
    <w:basedOn w:val="Normal"/>
    <w:next w:val="Normal"/>
    <w:autoRedefine/>
    <w:uiPriority w:val="39"/>
    <w:unhideWhenUsed/>
    <w:rsid w:val="00D75A61"/>
    <w:pPr>
      <w:spacing w:after="100" w:line="276" w:lineRule="auto"/>
      <w:ind w:left="660"/>
    </w:pPr>
    <w:rPr>
      <w:rFonts w:ascii="Calibri" w:eastAsia="Times New Roman" w:hAnsi="Calibri"/>
      <w:sz w:val="22"/>
      <w:lang w:eastAsia="en-AU"/>
    </w:rPr>
  </w:style>
  <w:style w:type="character" w:customStyle="1" w:styleId="TableTitlemainChar">
    <w:name w:val="Table Title (main) Char"/>
    <w:basedOn w:val="TableTitledeterminationChar"/>
    <w:link w:val="TableTitlemain"/>
    <w:rsid w:val="00725574"/>
    <w:rPr>
      <w:rFonts w:ascii="Verdana" w:hAnsi="Verdana"/>
      <w:b/>
      <w:szCs w:val="22"/>
      <w:lang w:val="en-US" w:eastAsia="en-US"/>
    </w:rPr>
  </w:style>
  <w:style w:type="paragraph" w:styleId="TOC5">
    <w:name w:val="toc 5"/>
    <w:basedOn w:val="Normal"/>
    <w:next w:val="Normal"/>
    <w:autoRedefine/>
    <w:uiPriority w:val="39"/>
    <w:unhideWhenUsed/>
    <w:rsid w:val="00D75A61"/>
    <w:pPr>
      <w:spacing w:after="100" w:line="276" w:lineRule="auto"/>
      <w:ind w:left="880"/>
    </w:pPr>
    <w:rPr>
      <w:rFonts w:ascii="Calibri" w:eastAsia="Times New Roman" w:hAnsi="Calibri"/>
      <w:sz w:val="22"/>
      <w:lang w:eastAsia="en-AU"/>
    </w:rPr>
  </w:style>
  <w:style w:type="paragraph" w:styleId="TOC6">
    <w:name w:val="toc 6"/>
    <w:basedOn w:val="Normal"/>
    <w:next w:val="Normal"/>
    <w:autoRedefine/>
    <w:uiPriority w:val="39"/>
    <w:unhideWhenUsed/>
    <w:rsid w:val="00D75A61"/>
    <w:pPr>
      <w:spacing w:after="100" w:line="276" w:lineRule="auto"/>
      <w:ind w:left="1100"/>
    </w:pPr>
    <w:rPr>
      <w:rFonts w:ascii="Calibri" w:eastAsia="Times New Roman" w:hAnsi="Calibri"/>
      <w:sz w:val="22"/>
      <w:lang w:eastAsia="en-AU"/>
    </w:rPr>
  </w:style>
  <w:style w:type="paragraph" w:styleId="TOC7">
    <w:name w:val="toc 7"/>
    <w:basedOn w:val="Normal"/>
    <w:next w:val="Normal"/>
    <w:autoRedefine/>
    <w:uiPriority w:val="39"/>
    <w:unhideWhenUsed/>
    <w:rsid w:val="00D75A61"/>
    <w:pPr>
      <w:spacing w:after="100" w:line="276" w:lineRule="auto"/>
      <w:ind w:left="1320"/>
    </w:pPr>
    <w:rPr>
      <w:rFonts w:ascii="Calibri" w:eastAsia="Times New Roman" w:hAnsi="Calibri"/>
      <w:sz w:val="22"/>
      <w:lang w:eastAsia="en-AU"/>
    </w:rPr>
  </w:style>
  <w:style w:type="paragraph" w:styleId="TOC8">
    <w:name w:val="toc 8"/>
    <w:basedOn w:val="Normal"/>
    <w:next w:val="Normal"/>
    <w:autoRedefine/>
    <w:uiPriority w:val="39"/>
    <w:unhideWhenUsed/>
    <w:rsid w:val="00D75A61"/>
    <w:pPr>
      <w:spacing w:after="100" w:line="276" w:lineRule="auto"/>
      <w:ind w:left="1540"/>
    </w:pPr>
    <w:rPr>
      <w:rFonts w:ascii="Calibri" w:eastAsia="Times New Roman" w:hAnsi="Calibri"/>
      <w:sz w:val="22"/>
      <w:lang w:eastAsia="en-AU"/>
    </w:rPr>
  </w:style>
  <w:style w:type="paragraph" w:styleId="TOC9">
    <w:name w:val="toc 9"/>
    <w:basedOn w:val="Normal"/>
    <w:next w:val="Normal"/>
    <w:autoRedefine/>
    <w:uiPriority w:val="39"/>
    <w:unhideWhenUsed/>
    <w:rsid w:val="00D75A61"/>
    <w:pPr>
      <w:spacing w:after="100" w:line="276" w:lineRule="auto"/>
      <w:ind w:left="1760"/>
    </w:pPr>
    <w:rPr>
      <w:rFonts w:ascii="Calibri" w:eastAsia="Times New Roman" w:hAnsi="Calibri"/>
      <w:sz w:val="22"/>
      <w:lang w:eastAsia="en-AU"/>
    </w:rPr>
  </w:style>
  <w:style w:type="paragraph" w:customStyle="1" w:styleId="Default">
    <w:name w:val="Default"/>
    <w:rsid w:val="0027293D"/>
    <w:pPr>
      <w:autoSpaceDE w:val="0"/>
      <w:autoSpaceDN w:val="0"/>
      <w:adjustRightInd w:val="0"/>
    </w:pPr>
    <w:rPr>
      <w:rFonts w:cs="Calibri"/>
      <w:color w:val="000000"/>
      <w:sz w:val="24"/>
      <w:szCs w:val="24"/>
    </w:rPr>
  </w:style>
  <w:style w:type="character" w:customStyle="1" w:styleId="Heading4Char">
    <w:name w:val="Heading 4 Char"/>
    <w:link w:val="Heading4"/>
    <w:uiPriority w:val="9"/>
    <w:rsid w:val="0027293D"/>
    <w:rPr>
      <w:rFonts w:ascii="Calibri" w:eastAsia="Times New Roman" w:hAnsi="Calibri" w:cs="Times New Roman"/>
      <w:b/>
      <w:bCs/>
      <w:sz w:val="28"/>
      <w:szCs w:val="28"/>
      <w:lang w:eastAsia="en-US"/>
    </w:rPr>
  </w:style>
  <w:style w:type="paragraph" w:customStyle="1" w:styleId="Appendixindent">
    <w:name w:val="Appendix indent"/>
    <w:basedOn w:val="texti"/>
    <w:link w:val="AppendixindentChar"/>
    <w:qFormat/>
    <w:rsid w:val="00A82D6F"/>
    <w:pPr>
      <w:ind w:hanging="709"/>
    </w:pPr>
  </w:style>
  <w:style w:type="character" w:customStyle="1" w:styleId="AppendixindentChar">
    <w:name w:val="Appendix indent Char"/>
    <w:basedOn w:val="textiChar"/>
    <w:link w:val="Appendixindent"/>
    <w:rsid w:val="00A82D6F"/>
    <w:rPr>
      <w:rFonts w:ascii="Verdana" w:hAnsi="Verdana"/>
      <w:sz w:val="18"/>
      <w:szCs w:val="18"/>
      <w:lang w:eastAsia="en-US"/>
    </w:rPr>
  </w:style>
  <w:style w:type="paragraph" w:styleId="ListParagraph">
    <w:name w:val="List Paragraph"/>
    <w:basedOn w:val="Normal"/>
    <w:uiPriority w:val="34"/>
    <w:qFormat/>
    <w:rsid w:val="00E466E3"/>
    <w:pPr>
      <w:snapToGrid w:val="0"/>
      <w:spacing w:after="0"/>
      <w:ind w:left="720"/>
      <w:contextualSpacing/>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6615">
      <w:bodyDiv w:val="1"/>
      <w:marLeft w:val="0"/>
      <w:marRight w:val="0"/>
      <w:marTop w:val="0"/>
      <w:marBottom w:val="0"/>
      <w:divBdr>
        <w:top w:val="none" w:sz="0" w:space="0" w:color="auto"/>
        <w:left w:val="none" w:sz="0" w:space="0" w:color="auto"/>
        <w:bottom w:val="none" w:sz="0" w:space="0" w:color="auto"/>
        <w:right w:val="none" w:sz="0" w:space="0" w:color="auto"/>
      </w:divBdr>
      <w:divsChild>
        <w:div w:id="16588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499583">
      <w:bodyDiv w:val="1"/>
      <w:marLeft w:val="0"/>
      <w:marRight w:val="0"/>
      <w:marTop w:val="0"/>
      <w:marBottom w:val="0"/>
      <w:divBdr>
        <w:top w:val="none" w:sz="0" w:space="0" w:color="auto"/>
        <w:left w:val="none" w:sz="0" w:space="0" w:color="auto"/>
        <w:bottom w:val="none" w:sz="0" w:space="0" w:color="auto"/>
        <w:right w:val="none" w:sz="0" w:space="0" w:color="auto"/>
      </w:divBdr>
    </w:div>
    <w:div w:id="401218287">
      <w:bodyDiv w:val="1"/>
      <w:marLeft w:val="0"/>
      <w:marRight w:val="0"/>
      <w:marTop w:val="0"/>
      <w:marBottom w:val="0"/>
      <w:divBdr>
        <w:top w:val="none" w:sz="0" w:space="0" w:color="auto"/>
        <w:left w:val="none" w:sz="0" w:space="0" w:color="auto"/>
        <w:bottom w:val="none" w:sz="0" w:space="0" w:color="auto"/>
        <w:right w:val="none" w:sz="0" w:space="0" w:color="auto"/>
      </w:divBdr>
    </w:div>
    <w:div w:id="548424484">
      <w:bodyDiv w:val="1"/>
      <w:marLeft w:val="0"/>
      <w:marRight w:val="0"/>
      <w:marTop w:val="0"/>
      <w:marBottom w:val="0"/>
      <w:divBdr>
        <w:top w:val="none" w:sz="0" w:space="0" w:color="auto"/>
        <w:left w:val="none" w:sz="0" w:space="0" w:color="auto"/>
        <w:bottom w:val="none" w:sz="0" w:space="0" w:color="auto"/>
        <w:right w:val="none" w:sz="0" w:space="0" w:color="auto"/>
      </w:divBdr>
      <w:divsChild>
        <w:div w:id="969046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794808">
      <w:bodyDiv w:val="1"/>
      <w:marLeft w:val="0"/>
      <w:marRight w:val="0"/>
      <w:marTop w:val="0"/>
      <w:marBottom w:val="0"/>
      <w:divBdr>
        <w:top w:val="none" w:sz="0" w:space="0" w:color="auto"/>
        <w:left w:val="none" w:sz="0" w:space="0" w:color="auto"/>
        <w:bottom w:val="none" w:sz="0" w:space="0" w:color="auto"/>
        <w:right w:val="none" w:sz="0" w:space="0" w:color="auto"/>
      </w:divBdr>
    </w:div>
    <w:div w:id="1038310331">
      <w:bodyDiv w:val="1"/>
      <w:marLeft w:val="0"/>
      <w:marRight w:val="0"/>
      <w:marTop w:val="0"/>
      <w:marBottom w:val="0"/>
      <w:divBdr>
        <w:top w:val="none" w:sz="0" w:space="0" w:color="auto"/>
        <w:left w:val="none" w:sz="0" w:space="0" w:color="auto"/>
        <w:bottom w:val="none" w:sz="0" w:space="0" w:color="auto"/>
        <w:right w:val="none" w:sz="0" w:space="0" w:color="auto"/>
      </w:divBdr>
    </w:div>
    <w:div w:id="1403990989">
      <w:bodyDiv w:val="1"/>
      <w:marLeft w:val="0"/>
      <w:marRight w:val="0"/>
      <w:marTop w:val="0"/>
      <w:marBottom w:val="0"/>
      <w:divBdr>
        <w:top w:val="none" w:sz="0" w:space="0" w:color="auto"/>
        <w:left w:val="none" w:sz="0" w:space="0" w:color="auto"/>
        <w:bottom w:val="none" w:sz="0" w:space="0" w:color="auto"/>
        <w:right w:val="none" w:sz="0" w:space="0" w:color="auto"/>
      </w:divBdr>
      <w:divsChild>
        <w:div w:id="480385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00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 (1).XSL" StyleName="APA"/>
</file>

<file path=customXml/itemProps1.xml><?xml version="1.0" encoding="utf-8"?>
<ds:datastoreItem xmlns:ds="http://schemas.openxmlformats.org/officeDocument/2006/customXml" ds:itemID="{8728264E-E0F7-4AD8-B886-B698B342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96</Pages>
  <Words>32328</Words>
  <Characters>184273</Characters>
  <Application>Microsoft Office Word</Application>
  <DocSecurity>0</DocSecurity>
  <Lines>1535</Lines>
  <Paragraphs>432</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216169</CharactersWithSpaces>
  <SharedDoc>false</SharedDoc>
  <HLinks>
    <vt:vector size="504" baseType="variant">
      <vt:variant>
        <vt:i4>2097185</vt:i4>
      </vt:variant>
      <vt:variant>
        <vt:i4>507</vt:i4>
      </vt:variant>
      <vt:variant>
        <vt:i4>0</vt:i4>
      </vt:variant>
      <vt:variant>
        <vt:i4>5</vt:i4>
      </vt:variant>
      <vt:variant>
        <vt:lpwstr>http://www.thelaw.tas.gov.au/tocview/content.w3p;cond=;doc_id=18%2B%2B2012%2BAT%40EN%2B20140513140000;histon=;inforequest=;prompt=;rec=0;term=</vt:lpwstr>
      </vt:variant>
      <vt:variant>
        <vt:lpwstr>JS6@GC4@Gc3@EN</vt:lpwstr>
      </vt:variant>
      <vt:variant>
        <vt:i4>1310780</vt:i4>
      </vt:variant>
      <vt:variant>
        <vt:i4>497</vt:i4>
      </vt:variant>
      <vt:variant>
        <vt:i4>0</vt:i4>
      </vt:variant>
      <vt:variant>
        <vt:i4>5</vt:i4>
      </vt:variant>
      <vt:variant>
        <vt:lpwstr/>
      </vt:variant>
      <vt:variant>
        <vt:lpwstr>_Toc440617965</vt:lpwstr>
      </vt:variant>
      <vt:variant>
        <vt:i4>1310780</vt:i4>
      </vt:variant>
      <vt:variant>
        <vt:i4>491</vt:i4>
      </vt:variant>
      <vt:variant>
        <vt:i4>0</vt:i4>
      </vt:variant>
      <vt:variant>
        <vt:i4>5</vt:i4>
      </vt:variant>
      <vt:variant>
        <vt:lpwstr/>
      </vt:variant>
      <vt:variant>
        <vt:lpwstr>_Toc440617964</vt:lpwstr>
      </vt:variant>
      <vt:variant>
        <vt:i4>1310780</vt:i4>
      </vt:variant>
      <vt:variant>
        <vt:i4>485</vt:i4>
      </vt:variant>
      <vt:variant>
        <vt:i4>0</vt:i4>
      </vt:variant>
      <vt:variant>
        <vt:i4>5</vt:i4>
      </vt:variant>
      <vt:variant>
        <vt:lpwstr/>
      </vt:variant>
      <vt:variant>
        <vt:lpwstr>_Toc440617963</vt:lpwstr>
      </vt:variant>
      <vt:variant>
        <vt:i4>1310780</vt:i4>
      </vt:variant>
      <vt:variant>
        <vt:i4>479</vt:i4>
      </vt:variant>
      <vt:variant>
        <vt:i4>0</vt:i4>
      </vt:variant>
      <vt:variant>
        <vt:i4>5</vt:i4>
      </vt:variant>
      <vt:variant>
        <vt:lpwstr/>
      </vt:variant>
      <vt:variant>
        <vt:lpwstr>_Toc440617962</vt:lpwstr>
      </vt:variant>
      <vt:variant>
        <vt:i4>1310780</vt:i4>
      </vt:variant>
      <vt:variant>
        <vt:i4>473</vt:i4>
      </vt:variant>
      <vt:variant>
        <vt:i4>0</vt:i4>
      </vt:variant>
      <vt:variant>
        <vt:i4>5</vt:i4>
      </vt:variant>
      <vt:variant>
        <vt:lpwstr/>
      </vt:variant>
      <vt:variant>
        <vt:lpwstr>_Toc440617961</vt:lpwstr>
      </vt:variant>
      <vt:variant>
        <vt:i4>1310780</vt:i4>
      </vt:variant>
      <vt:variant>
        <vt:i4>467</vt:i4>
      </vt:variant>
      <vt:variant>
        <vt:i4>0</vt:i4>
      </vt:variant>
      <vt:variant>
        <vt:i4>5</vt:i4>
      </vt:variant>
      <vt:variant>
        <vt:lpwstr/>
      </vt:variant>
      <vt:variant>
        <vt:lpwstr>_Toc440617960</vt:lpwstr>
      </vt:variant>
      <vt:variant>
        <vt:i4>1507388</vt:i4>
      </vt:variant>
      <vt:variant>
        <vt:i4>461</vt:i4>
      </vt:variant>
      <vt:variant>
        <vt:i4>0</vt:i4>
      </vt:variant>
      <vt:variant>
        <vt:i4>5</vt:i4>
      </vt:variant>
      <vt:variant>
        <vt:lpwstr/>
      </vt:variant>
      <vt:variant>
        <vt:lpwstr>_Toc440617959</vt:lpwstr>
      </vt:variant>
      <vt:variant>
        <vt:i4>1507388</vt:i4>
      </vt:variant>
      <vt:variant>
        <vt:i4>455</vt:i4>
      </vt:variant>
      <vt:variant>
        <vt:i4>0</vt:i4>
      </vt:variant>
      <vt:variant>
        <vt:i4>5</vt:i4>
      </vt:variant>
      <vt:variant>
        <vt:lpwstr/>
      </vt:variant>
      <vt:variant>
        <vt:lpwstr>_Toc440617958</vt:lpwstr>
      </vt:variant>
      <vt:variant>
        <vt:i4>1507388</vt:i4>
      </vt:variant>
      <vt:variant>
        <vt:i4>449</vt:i4>
      </vt:variant>
      <vt:variant>
        <vt:i4>0</vt:i4>
      </vt:variant>
      <vt:variant>
        <vt:i4>5</vt:i4>
      </vt:variant>
      <vt:variant>
        <vt:lpwstr/>
      </vt:variant>
      <vt:variant>
        <vt:lpwstr>_Toc440617957</vt:lpwstr>
      </vt:variant>
      <vt:variant>
        <vt:i4>1507388</vt:i4>
      </vt:variant>
      <vt:variant>
        <vt:i4>443</vt:i4>
      </vt:variant>
      <vt:variant>
        <vt:i4>0</vt:i4>
      </vt:variant>
      <vt:variant>
        <vt:i4>5</vt:i4>
      </vt:variant>
      <vt:variant>
        <vt:lpwstr/>
      </vt:variant>
      <vt:variant>
        <vt:lpwstr>_Toc440617956</vt:lpwstr>
      </vt:variant>
      <vt:variant>
        <vt:i4>1507388</vt:i4>
      </vt:variant>
      <vt:variant>
        <vt:i4>437</vt:i4>
      </vt:variant>
      <vt:variant>
        <vt:i4>0</vt:i4>
      </vt:variant>
      <vt:variant>
        <vt:i4>5</vt:i4>
      </vt:variant>
      <vt:variant>
        <vt:lpwstr/>
      </vt:variant>
      <vt:variant>
        <vt:lpwstr>_Toc440617955</vt:lpwstr>
      </vt:variant>
      <vt:variant>
        <vt:i4>1507388</vt:i4>
      </vt:variant>
      <vt:variant>
        <vt:i4>431</vt:i4>
      </vt:variant>
      <vt:variant>
        <vt:i4>0</vt:i4>
      </vt:variant>
      <vt:variant>
        <vt:i4>5</vt:i4>
      </vt:variant>
      <vt:variant>
        <vt:lpwstr/>
      </vt:variant>
      <vt:variant>
        <vt:lpwstr>_Toc440617954</vt:lpwstr>
      </vt:variant>
      <vt:variant>
        <vt:i4>1507388</vt:i4>
      </vt:variant>
      <vt:variant>
        <vt:i4>425</vt:i4>
      </vt:variant>
      <vt:variant>
        <vt:i4>0</vt:i4>
      </vt:variant>
      <vt:variant>
        <vt:i4>5</vt:i4>
      </vt:variant>
      <vt:variant>
        <vt:lpwstr/>
      </vt:variant>
      <vt:variant>
        <vt:lpwstr>_Toc440617953</vt:lpwstr>
      </vt:variant>
      <vt:variant>
        <vt:i4>1507388</vt:i4>
      </vt:variant>
      <vt:variant>
        <vt:i4>419</vt:i4>
      </vt:variant>
      <vt:variant>
        <vt:i4>0</vt:i4>
      </vt:variant>
      <vt:variant>
        <vt:i4>5</vt:i4>
      </vt:variant>
      <vt:variant>
        <vt:lpwstr/>
      </vt:variant>
      <vt:variant>
        <vt:lpwstr>_Toc440617952</vt:lpwstr>
      </vt:variant>
      <vt:variant>
        <vt:i4>1507388</vt:i4>
      </vt:variant>
      <vt:variant>
        <vt:i4>413</vt:i4>
      </vt:variant>
      <vt:variant>
        <vt:i4>0</vt:i4>
      </vt:variant>
      <vt:variant>
        <vt:i4>5</vt:i4>
      </vt:variant>
      <vt:variant>
        <vt:lpwstr/>
      </vt:variant>
      <vt:variant>
        <vt:lpwstr>_Toc440617951</vt:lpwstr>
      </vt:variant>
      <vt:variant>
        <vt:i4>1507388</vt:i4>
      </vt:variant>
      <vt:variant>
        <vt:i4>407</vt:i4>
      </vt:variant>
      <vt:variant>
        <vt:i4>0</vt:i4>
      </vt:variant>
      <vt:variant>
        <vt:i4>5</vt:i4>
      </vt:variant>
      <vt:variant>
        <vt:lpwstr/>
      </vt:variant>
      <vt:variant>
        <vt:lpwstr>_Toc440617950</vt:lpwstr>
      </vt:variant>
      <vt:variant>
        <vt:i4>1441852</vt:i4>
      </vt:variant>
      <vt:variant>
        <vt:i4>401</vt:i4>
      </vt:variant>
      <vt:variant>
        <vt:i4>0</vt:i4>
      </vt:variant>
      <vt:variant>
        <vt:i4>5</vt:i4>
      </vt:variant>
      <vt:variant>
        <vt:lpwstr/>
      </vt:variant>
      <vt:variant>
        <vt:lpwstr>_Toc440617949</vt:lpwstr>
      </vt:variant>
      <vt:variant>
        <vt:i4>1441852</vt:i4>
      </vt:variant>
      <vt:variant>
        <vt:i4>395</vt:i4>
      </vt:variant>
      <vt:variant>
        <vt:i4>0</vt:i4>
      </vt:variant>
      <vt:variant>
        <vt:i4>5</vt:i4>
      </vt:variant>
      <vt:variant>
        <vt:lpwstr/>
      </vt:variant>
      <vt:variant>
        <vt:lpwstr>_Toc440617948</vt:lpwstr>
      </vt:variant>
      <vt:variant>
        <vt:i4>1441852</vt:i4>
      </vt:variant>
      <vt:variant>
        <vt:i4>389</vt:i4>
      </vt:variant>
      <vt:variant>
        <vt:i4>0</vt:i4>
      </vt:variant>
      <vt:variant>
        <vt:i4>5</vt:i4>
      </vt:variant>
      <vt:variant>
        <vt:lpwstr/>
      </vt:variant>
      <vt:variant>
        <vt:lpwstr>_Toc440617947</vt:lpwstr>
      </vt:variant>
      <vt:variant>
        <vt:i4>1441852</vt:i4>
      </vt:variant>
      <vt:variant>
        <vt:i4>383</vt:i4>
      </vt:variant>
      <vt:variant>
        <vt:i4>0</vt:i4>
      </vt:variant>
      <vt:variant>
        <vt:i4>5</vt:i4>
      </vt:variant>
      <vt:variant>
        <vt:lpwstr/>
      </vt:variant>
      <vt:variant>
        <vt:lpwstr>_Toc440617946</vt:lpwstr>
      </vt:variant>
      <vt:variant>
        <vt:i4>1441852</vt:i4>
      </vt:variant>
      <vt:variant>
        <vt:i4>377</vt:i4>
      </vt:variant>
      <vt:variant>
        <vt:i4>0</vt:i4>
      </vt:variant>
      <vt:variant>
        <vt:i4>5</vt:i4>
      </vt:variant>
      <vt:variant>
        <vt:lpwstr/>
      </vt:variant>
      <vt:variant>
        <vt:lpwstr>_Toc440617945</vt:lpwstr>
      </vt:variant>
      <vt:variant>
        <vt:i4>1441852</vt:i4>
      </vt:variant>
      <vt:variant>
        <vt:i4>371</vt:i4>
      </vt:variant>
      <vt:variant>
        <vt:i4>0</vt:i4>
      </vt:variant>
      <vt:variant>
        <vt:i4>5</vt:i4>
      </vt:variant>
      <vt:variant>
        <vt:lpwstr/>
      </vt:variant>
      <vt:variant>
        <vt:lpwstr>_Toc440617944</vt:lpwstr>
      </vt:variant>
      <vt:variant>
        <vt:i4>1441852</vt:i4>
      </vt:variant>
      <vt:variant>
        <vt:i4>365</vt:i4>
      </vt:variant>
      <vt:variant>
        <vt:i4>0</vt:i4>
      </vt:variant>
      <vt:variant>
        <vt:i4>5</vt:i4>
      </vt:variant>
      <vt:variant>
        <vt:lpwstr/>
      </vt:variant>
      <vt:variant>
        <vt:lpwstr>_Toc440617943</vt:lpwstr>
      </vt:variant>
      <vt:variant>
        <vt:i4>1441852</vt:i4>
      </vt:variant>
      <vt:variant>
        <vt:i4>359</vt:i4>
      </vt:variant>
      <vt:variant>
        <vt:i4>0</vt:i4>
      </vt:variant>
      <vt:variant>
        <vt:i4>5</vt:i4>
      </vt:variant>
      <vt:variant>
        <vt:lpwstr/>
      </vt:variant>
      <vt:variant>
        <vt:lpwstr>_Toc440617942</vt:lpwstr>
      </vt:variant>
      <vt:variant>
        <vt:i4>1441852</vt:i4>
      </vt:variant>
      <vt:variant>
        <vt:i4>353</vt:i4>
      </vt:variant>
      <vt:variant>
        <vt:i4>0</vt:i4>
      </vt:variant>
      <vt:variant>
        <vt:i4>5</vt:i4>
      </vt:variant>
      <vt:variant>
        <vt:lpwstr/>
      </vt:variant>
      <vt:variant>
        <vt:lpwstr>_Toc440617941</vt:lpwstr>
      </vt:variant>
      <vt:variant>
        <vt:i4>1441852</vt:i4>
      </vt:variant>
      <vt:variant>
        <vt:i4>347</vt:i4>
      </vt:variant>
      <vt:variant>
        <vt:i4>0</vt:i4>
      </vt:variant>
      <vt:variant>
        <vt:i4>5</vt:i4>
      </vt:variant>
      <vt:variant>
        <vt:lpwstr/>
      </vt:variant>
      <vt:variant>
        <vt:lpwstr>_Toc440617940</vt:lpwstr>
      </vt:variant>
      <vt:variant>
        <vt:i4>1114172</vt:i4>
      </vt:variant>
      <vt:variant>
        <vt:i4>341</vt:i4>
      </vt:variant>
      <vt:variant>
        <vt:i4>0</vt:i4>
      </vt:variant>
      <vt:variant>
        <vt:i4>5</vt:i4>
      </vt:variant>
      <vt:variant>
        <vt:lpwstr/>
      </vt:variant>
      <vt:variant>
        <vt:lpwstr>_Toc440617939</vt:lpwstr>
      </vt:variant>
      <vt:variant>
        <vt:i4>1114172</vt:i4>
      </vt:variant>
      <vt:variant>
        <vt:i4>335</vt:i4>
      </vt:variant>
      <vt:variant>
        <vt:i4>0</vt:i4>
      </vt:variant>
      <vt:variant>
        <vt:i4>5</vt:i4>
      </vt:variant>
      <vt:variant>
        <vt:lpwstr/>
      </vt:variant>
      <vt:variant>
        <vt:lpwstr>_Toc440617938</vt:lpwstr>
      </vt:variant>
      <vt:variant>
        <vt:i4>1114172</vt:i4>
      </vt:variant>
      <vt:variant>
        <vt:i4>329</vt:i4>
      </vt:variant>
      <vt:variant>
        <vt:i4>0</vt:i4>
      </vt:variant>
      <vt:variant>
        <vt:i4>5</vt:i4>
      </vt:variant>
      <vt:variant>
        <vt:lpwstr/>
      </vt:variant>
      <vt:variant>
        <vt:lpwstr>_Toc440617937</vt:lpwstr>
      </vt:variant>
      <vt:variant>
        <vt:i4>1114172</vt:i4>
      </vt:variant>
      <vt:variant>
        <vt:i4>323</vt:i4>
      </vt:variant>
      <vt:variant>
        <vt:i4>0</vt:i4>
      </vt:variant>
      <vt:variant>
        <vt:i4>5</vt:i4>
      </vt:variant>
      <vt:variant>
        <vt:lpwstr/>
      </vt:variant>
      <vt:variant>
        <vt:lpwstr>_Toc440617936</vt:lpwstr>
      </vt:variant>
      <vt:variant>
        <vt:i4>1114172</vt:i4>
      </vt:variant>
      <vt:variant>
        <vt:i4>317</vt:i4>
      </vt:variant>
      <vt:variant>
        <vt:i4>0</vt:i4>
      </vt:variant>
      <vt:variant>
        <vt:i4>5</vt:i4>
      </vt:variant>
      <vt:variant>
        <vt:lpwstr/>
      </vt:variant>
      <vt:variant>
        <vt:lpwstr>_Toc440617935</vt:lpwstr>
      </vt:variant>
      <vt:variant>
        <vt:i4>1114172</vt:i4>
      </vt:variant>
      <vt:variant>
        <vt:i4>311</vt:i4>
      </vt:variant>
      <vt:variant>
        <vt:i4>0</vt:i4>
      </vt:variant>
      <vt:variant>
        <vt:i4>5</vt:i4>
      </vt:variant>
      <vt:variant>
        <vt:lpwstr/>
      </vt:variant>
      <vt:variant>
        <vt:lpwstr>_Toc440617934</vt:lpwstr>
      </vt:variant>
      <vt:variant>
        <vt:i4>1114172</vt:i4>
      </vt:variant>
      <vt:variant>
        <vt:i4>305</vt:i4>
      </vt:variant>
      <vt:variant>
        <vt:i4>0</vt:i4>
      </vt:variant>
      <vt:variant>
        <vt:i4>5</vt:i4>
      </vt:variant>
      <vt:variant>
        <vt:lpwstr/>
      </vt:variant>
      <vt:variant>
        <vt:lpwstr>_Toc440617933</vt:lpwstr>
      </vt:variant>
      <vt:variant>
        <vt:i4>1114172</vt:i4>
      </vt:variant>
      <vt:variant>
        <vt:i4>299</vt:i4>
      </vt:variant>
      <vt:variant>
        <vt:i4>0</vt:i4>
      </vt:variant>
      <vt:variant>
        <vt:i4>5</vt:i4>
      </vt:variant>
      <vt:variant>
        <vt:lpwstr/>
      </vt:variant>
      <vt:variant>
        <vt:lpwstr>_Toc440617932</vt:lpwstr>
      </vt:variant>
      <vt:variant>
        <vt:i4>1114172</vt:i4>
      </vt:variant>
      <vt:variant>
        <vt:i4>293</vt:i4>
      </vt:variant>
      <vt:variant>
        <vt:i4>0</vt:i4>
      </vt:variant>
      <vt:variant>
        <vt:i4>5</vt:i4>
      </vt:variant>
      <vt:variant>
        <vt:lpwstr/>
      </vt:variant>
      <vt:variant>
        <vt:lpwstr>_Toc440617931</vt:lpwstr>
      </vt:variant>
      <vt:variant>
        <vt:i4>1114172</vt:i4>
      </vt:variant>
      <vt:variant>
        <vt:i4>287</vt:i4>
      </vt:variant>
      <vt:variant>
        <vt:i4>0</vt:i4>
      </vt:variant>
      <vt:variant>
        <vt:i4>5</vt:i4>
      </vt:variant>
      <vt:variant>
        <vt:lpwstr/>
      </vt:variant>
      <vt:variant>
        <vt:lpwstr>_Toc440617930</vt:lpwstr>
      </vt:variant>
      <vt:variant>
        <vt:i4>1048636</vt:i4>
      </vt:variant>
      <vt:variant>
        <vt:i4>281</vt:i4>
      </vt:variant>
      <vt:variant>
        <vt:i4>0</vt:i4>
      </vt:variant>
      <vt:variant>
        <vt:i4>5</vt:i4>
      </vt:variant>
      <vt:variant>
        <vt:lpwstr/>
      </vt:variant>
      <vt:variant>
        <vt:lpwstr>_Toc440617929</vt:lpwstr>
      </vt:variant>
      <vt:variant>
        <vt:i4>1048636</vt:i4>
      </vt:variant>
      <vt:variant>
        <vt:i4>275</vt:i4>
      </vt:variant>
      <vt:variant>
        <vt:i4>0</vt:i4>
      </vt:variant>
      <vt:variant>
        <vt:i4>5</vt:i4>
      </vt:variant>
      <vt:variant>
        <vt:lpwstr/>
      </vt:variant>
      <vt:variant>
        <vt:lpwstr>_Toc440617928</vt:lpwstr>
      </vt:variant>
      <vt:variant>
        <vt:i4>1048636</vt:i4>
      </vt:variant>
      <vt:variant>
        <vt:i4>269</vt:i4>
      </vt:variant>
      <vt:variant>
        <vt:i4>0</vt:i4>
      </vt:variant>
      <vt:variant>
        <vt:i4>5</vt:i4>
      </vt:variant>
      <vt:variant>
        <vt:lpwstr/>
      </vt:variant>
      <vt:variant>
        <vt:lpwstr>_Toc440617927</vt:lpwstr>
      </vt:variant>
      <vt:variant>
        <vt:i4>1048636</vt:i4>
      </vt:variant>
      <vt:variant>
        <vt:i4>263</vt:i4>
      </vt:variant>
      <vt:variant>
        <vt:i4>0</vt:i4>
      </vt:variant>
      <vt:variant>
        <vt:i4>5</vt:i4>
      </vt:variant>
      <vt:variant>
        <vt:lpwstr/>
      </vt:variant>
      <vt:variant>
        <vt:lpwstr>_Toc440617926</vt:lpwstr>
      </vt:variant>
      <vt:variant>
        <vt:i4>1048636</vt:i4>
      </vt:variant>
      <vt:variant>
        <vt:i4>257</vt:i4>
      </vt:variant>
      <vt:variant>
        <vt:i4>0</vt:i4>
      </vt:variant>
      <vt:variant>
        <vt:i4>5</vt:i4>
      </vt:variant>
      <vt:variant>
        <vt:lpwstr/>
      </vt:variant>
      <vt:variant>
        <vt:lpwstr>_Toc440617925</vt:lpwstr>
      </vt:variant>
      <vt:variant>
        <vt:i4>1048636</vt:i4>
      </vt:variant>
      <vt:variant>
        <vt:i4>251</vt:i4>
      </vt:variant>
      <vt:variant>
        <vt:i4>0</vt:i4>
      </vt:variant>
      <vt:variant>
        <vt:i4>5</vt:i4>
      </vt:variant>
      <vt:variant>
        <vt:lpwstr/>
      </vt:variant>
      <vt:variant>
        <vt:lpwstr>_Toc440617924</vt:lpwstr>
      </vt:variant>
      <vt:variant>
        <vt:i4>1048636</vt:i4>
      </vt:variant>
      <vt:variant>
        <vt:i4>245</vt:i4>
      </vt:variant>
      <vt:variant>
        <vt:i4>0</vt:i4>
      </vt:variant>
      <vt:variant>
        <vt:i4>5</vt:i4>
      </vt:variant>
      <vt:variant>
        <vt:lpwstr/>
      </vt:variant>
      <vt:variant>
        <vt:lpwstr>_Toc440617923</vt:lpwstr>
      </vt:variant>
      <vt:variant>
        <vt:i4>1048636</vt:i4>
      </vt:variant>
      <vt:variant>
        <vt:i4>239</vt:i4>
      </vt:variant>
      <vt:variant>
        <vt:i4>0</vt:i4>
      </vt:variant>
      <vt:variant>
        <vt:i4>5</vt:i4>
      </vt:variant>
      <vt:variant>
        <vt:lpwstr/>
      </vt:variant>
      <vt:variant>
        <vt:lpwstr>_Toc440617922</vt:lpwstr>
      </vt:variant>
      <vt:variant>
        <vt:i4>1048636</vt:i4>
      </vt:variant>
      <vt:variant>
        <vt:i4>233</vt:i4>
      </vt:variant>
      <vt:variant>
        <vt:i4>0</vt:i4>
      </vt:variant>
      <vt:variant>
        <vt:i4>5</vt:i4>
      </vt:variant>
      <vt:variant>
        <vt:lpwstr/>
      </vt:variant>
      <vt:variant>
        <vt:lpwstr>_Toc440617921</vt:lpwstr>
      </vt:variant>
      <vt:variant>
        <vt:i4>1048636</vt:i4>
      </vt:variant>
      <vt:variant>
        <vt:i4>227</vt:i4>
      </vt:variant>
      <vt:variant>
        <vt:i4>0</vt:i4>
      </vt:variant>
      <vt:variant>
        <vt:i4>5</vt:i4>
      </vt:variant>
      <vt:variant>
        <vt:lpwstr/>
      </vt:variant>
      <vt:variant>
        <vt:lpwstr>_Toc440617920</vt:lpwstr>
      </vt:variant>
      <vt:variant>
        <vt:i4>1245244</vt:i4>
      </vt:variant>
      <vt:variant>
        <vt:i4>221</vt:i4>
      </vt:variant>
      <vt:variant>
        <vt:i4>0</vt:i4>
      </vt:variant>
      <vt:variant>
        <vt:i4>5</vt:i4>
      </vt:variant>
      <vt:variant>
        <vt:lpwstr/>
      </vt:variant>
      <vt:variant>
        <vt:lpwstr>_Toc440617919</vt:lpwstr>
      </vt:variant>
      <vt:variant>
        <vt:i4>1245244</vt:i4>
      </vt:variant>
      <vt:variant>
        <vt:i4>215</vt:i4>
      </vt:variant>
      <vt:variant>
        <vt:i4>0</vt:i4>
      </vt:variant>
      <vt:variant>
        <vt:i4>5</vt:i4>
      </vt:variant>
      <vt:variant>
        <vt:lpwstr/>
      </vt:variant>
      <vt:variant>
        <vt:lpwstr>_Toc440617918</vt:lpwstr>
      </vt:variant>
      <vt:variant>
        <vt:i4>1245244</vt:i4>
      </vt:variant>
      <vt:variant>
        <vt:i4>209</vt:i4>
      </vt:variant>
      <vt:variant>
        <vt:i4>0</vt:i4>
      </vt:variant>
      <vt:variant>
        <vt:i4>5</vt:i4>
      </vt:variant>
      <vt:variant>
        <vt:lpwstr/>
      </vt:variant>
      <vt:variant>
        <vt:lpwstr>_Toc440617917</vt:lpwstr>
      </vt:variant>
      <vt:variant>
        <vt:i4>1245244</vt:i4>
      </vt:variant>
      <vt:variant>
        <vt:i4>203</vt:i4>
      </vt:variant>
      <vt:variant>
        <vt:i4>0</vt:i4>
      </vt:variant>
      <vt:variant>
        <vt:i4>5</vt:i4>
      </vt:variant>
      <vt:variant>
        <vt:lpwstr/>
      </vt:variant>
      <vt:variant>
        <vt:lpwstr>_Toc440617916</vt:lpwstr>
      </vt:variant>
      <vt:variant>
        <vt:i4>1245244</vt:i4>
      </vt:variant>
      <vt:variant>
        <vt:i4>197</vt:i4>
      </vt:variant>
      <vt:variant>
        <vt:i4>0</vt:i4>
      </vt:variant>
      <vt:variant>
        <vt:i4>5</vt:i4>
      </vt:variant>
      <vt:variant>
        <vt:lpwstr/>
      </vt:variant>
      <vt:variant>
        <vt:lpwstr>_Toc440617915</vt:lpwstr>
      </vt:variant>
      <vt:variant>
        <vt:i4>1245244</vt:i4>
      </vt:variant>
      <vt:variant>
        <vt:i4>191</vt:i4>
      </vt:variant>
      <vt:variant>
        <vt:i4>0</vt:i4>
      </vt:variant>
      <vt:variant>
        <vt:i4>5</vt:i4>
      </vt:variant>
      <vt:variant>
        <vt:lpwstr/>
      </vt:variant>
      <vt:variant>
        <vt:lpwstr>_Toc440617914</vt:lpwstr>
      </vt:variant>
      <vt:variant>
        <vt:i4>1245244</vt:i4>
      </vt:variant>
      <vt:variant>
        <vt:i4>185</vt:i4>
      </vt:variant>
      <vt:variant>
        <vt:i4>0</vt:i4>
      </vt:variant>
      <vt:variant>
        <vt:i4>5</vt:i4>
      </vt:variant>
      <vt:variant>
        <vt:lpwstr/>
      </vt:variant>
      <vt:variant>
        <vt:lpwstr>_Toc440617913</vt:lpwstr>
      </vt:variant>
      <vt:variant>
        <vt:i4>1245244</vt:i4>
      </vt:variant>
      <vt:variant>
        <vt:i4>179</vt:i4>
      </vt:variant>
      <vt:variant>
        <vt:i4>0</vt:i4>
      </vt:variant>
      <vt:variant>
        <vt:i4>5</vt:i4>
      </vt:variant>
      <vt:variant>
        <vt:lpwstr/>
      </vt:variant>
      <vt:variant>
        <vt:lpwstr>_Toc440617912</vt:lpwstr>
      </vt:variant>
      <vt:variant>
        <vt:i4>1245244</vt:i4>
      </vt:variant>
      <vt:variant>
        <vt:i4>173</vt:i4>
      </vt:variant>
      <vt:variant>
        <vt:i4>0</vt:i4>
      </vt:variant>
      <vt:variant>
        <vt:i4>5</vt:i4>
      </vt:variant>
      <vt:variant>
        <vt:lpwstr/>
      </vt:variant>
      <vt:variant>
        <vt:lpwstr>_Toc440617911</vt:lpwstr>
      </vt:variant>
      <vt:variant>
        <vt:i4>1245244</vt:i4>
      </vt:variant>
      <vt:variant>
        <vt:i4>167</vt:i4>
      </vt:variant>
      <vt:variant>
        <vt:i4>0</vt:i4>
      </vt:variant>
      <vt:variant>
        <vt:i4>5</vt:i4>
      </vt:variant>
      <vt:variant>
        <vt:lpwstr/>
      </vt:variant>
      <vt:variant>
        <vt:lpwstr>_Toc440617910</vt:lpwstr>
      </vt:variant>
      <vt:variant>
        <vt:i4>1179708</vt:i4>
      </vt:variant>
      <vt:variant>
        <vt:i4>161</vt:i4>
      </vt:variant>
      <vt:variant>
        <vt:i4>0</vt:i4>
      </vt:variant>
      <vt:variant>
        <vt:i4>5</vt:i4>
      </vt:variant>
      <vt:variant>
        <vt:lpwstr/>
      </vt:variant>
      <vt:variant>
        <vt:lpwstr>_Toc440617909</vt:lpwstr>
      </vt:variant>
      <vt:variant>
        <vt:i4>1179708</vt:i4>
      </vt:variant>
      <vt:variant>
        <vt:i4>155</vt:i4>
      </vt:variant>
      <vt:variant>
        <vt:i4>0</vt:i4>
      </vt:variant>
      <vt:variant>
        <vt:i4>5</vt:i4>
      </vt:variant>
      <vt:variant>
        <vt:lpwstr/>
      </vt:variant>
      <vt:variant>
        <vt:lpwstr>_Toc440617908</vt:lpwstr>
      </vt:variant>
      <vt:variant>
        <vt:i4>1179708</vt:i4>
      </vt:variant>
      <vt:variant>
        <vt:i4>149</vt:i4>
      </vt:variant>
      <vt:variant>
        <vt:i4>0</vt:i4>
      </vt:variant>
      <vt:variant>
        <vt:i4>5</vt:i4>
      </vt:variant>
      <vt:variant>
        <vt:lpwstr/>
      </vt:variant>
      <vt:variant>
        <vt:lpwstr>_Toc440617907</vt:lpwstr>
      </vt:variant>
      <vt:variant>
        <vt:i4>1179708</vt:i4>
      </vt:variant>
      <vt:variant>
        <vt:i4>143</vt:i4>
      </vt:variant>
      <vt:variant>
        <vt:i4>0</vt:i4>
      </vt:variant>
      <vt:variant>
        <vt:i4>5</vt:i4>
      </vt:variant>
      <vt:variant>
        <vt:lpwstr/>
      </vt:variant>
      <vt:variant>
        <vt:lpwstr>_Toc440617906</vt:lpwstr>
      </vt:variant>
      <vt:variant>
        <vt:i4>1179708</vt:i4>
      </vt:variant>
      <vt:variant>
        <vt:i4>137</vt:i4>
      </vt:variant>
      <vt:variant>
        <vt:i4>0</vt:i4>
      </vt:variant>
      <vt:variant>
        <vt:i4>5</vt:i4>
      </vt:variant>
      <vt:variant>
        <vt:lpwstr/>
      </vt:variant>
      <vt:variant>
        <vt:lpwstr>_Toc440617905</vt:lpwstr>
      </vt:variant>
      <vt:variant>
        <vt:i4>1179708</vt:i4>
      </vt:variant>
      <vt:variant>
        <vt:i4>131</vt:i4>
      </vt:variant>
      <vt:variant>
        <vt:i4>0</vt:i4>
      </vt:variant>
      <vt:variant>
        <vt:i4>5</vt:i4>
      </vt:variant>
      <vt:variant>
        <vt:lpwstr/>
      </vt:variant>
      <vt:variant>
        <vt:lpwstr>_Toc440617904</vt:lpwstr>
      </vt:variant>
      <vt:variant>
        <vt:i4>1179708</vt:i4>
      </vt:variant>
      <vt:variant>
        <vt:i4>125</vt:i4>
      </vt:variant>
      <vt:variant>
        <vt:i4>0</vt:i4>
      </vt:variant>
      <vt:variant>
        <vt:i4>5</vt:i4>
      </vt:variant>
      <vt:variant>
        <vt:lpwstr/>
      </vt:variant>
      <vt:variant>
        <vt:lpwstr>_Toc440617903</vt:lpwstr>
      </vt:variant>
      <vt:variant>
        <vt:i4>1179708</vt:i4>
      </vt:variant>
      <vt:variant>
        <vt:i4>119</vt:i4>
      </vt:variant>
      <vt:variant>
        <vt:i4>0</vt:i4>
      </vt:variant>
      <vt:variant>
        <vt:i4>5</vt:i4>
      </vt:variant>
      <vt:variant>
        <vt:lpwstr/>
      </vt:variant>
      <vt:variant>
        <vt:lpwstr>_Toc440617902</vt:lpwstr>
      </vt:variant>
      <vt:variant>
        <vt:i4>1179708</vt:i4>
      </vt:variant>
      <vt:variant>
        <vt:i4>113</vt:i4>
      </vt:variant>
      <vt:variant>
        <vt:i4>0</vt:i4>
      </vt:variant>
      <vt:variant>
        <vt:i4>5</vt:i4>
      </vt:variant>
      <vt:variant>
        <vt:lpwstr/>
      </vt:variant>
      <vt:variant>
        <vt:lpwstr>_Toc440617901</vt:lpwstr>
      </vt:variant>
      <vt:variant>
        <vt:i4>1179708</vt:i4>
      </vt:variant>
      <vt:variant>
        <vt:i4>107</vt:i4>
      </vt:variant>
      <vt:variant>
        <vt:i4>0</vt:i4>
      </vt:variant>
      <vt:variant>
        <vt:i4>5</vt:i4>
      </vt:variant>
      <vt:variant>
        <vt:lpwstr/>
      </vt:variant>
      <vt:variant>
        <vt:lpwstr>_Toc440617900</vt:lpwstr>
      </vt:variant>
      <vt:variant>
        <vt:i4>1769533</vt:i4>
      </vt:variant>
      <vt:variant>
        <vt:i4>101</vt:i4>
      </vt:variant>
      <vt:variant>
        <vt:i4>0</vt:i4>
      </vt:variant>
      <vt:variant>
        <vt:i4>5</vt:i4>
      </vt:variant>
      <vt:variant>
        <vt:lpwstr/>
      </vt:variant>
      <vt:variant>
        <vt:lpwstr>_Toc440617899</vt:lpwstr>
      </vt:variant>
      <vt:variant>
        <vt:i4>1769533</vt:i4>
      </vt:variant>
      <vt:variant>
        <vt:i4>95</vt:i4>
      </vt:variant>
      <vt:variant>
        <vt:i4>0</vt:i4>
      </vt:variant>
      <vt:variant>
        <vt:i4>5</vt:i4>
      </vt:variant>
      <vt:variant>
        <vt:lpwstr/>
      </vt:variant>
      <vt:variant>
        <vt:lpwstr>_Toc440617898</vt:lpwstr>
      </vt:variant>
      <vt:variant>
        <vt:i4>1769533</vt:i4>
      </vt:variant>
      <vt:variant>
        <vt:i4>89</vt:i4>
      </vt:variant>
      <vt:variant>
        <vt:i4>0</vt:i4>
      </vt:variant>
      <vt:variant>
        <vt:i4>5</vt:i4>
      </vt:variant>
      <vt:variant>
        <vt:lpwstr/>
      </vt:variant>
      <vt:variant>
        <vt:lpwstr>_Toc440617897</vt:lpwstr>
      </vt:variant>
      <vt:variant>
        <vt:i4>1769533</vt:i4>
      </vt:variant>
      <vt:variant>
        <vt:i4>83</vt:i4>
      </vt:variant>
      <vt:variant>
        <vt:i4>0</vt:i4>
      </vt:variant>
      <vt:variant>
        <vt:i4>5</vt:i4>
      </vt:variant>
      <vt:variant>
        <vt:lpwstr/>
      </vt:variant>
      <vt:variant>
        <vt:lpwstr>_Toc440617896</vt:lpwstr>
      </vt:variant>
      <vt:variant>
        <vt:i4>1769533</vt:i4>
      </vt:variant>
      <vt:variant>
        <vt:i4>77</vt:i4>
      </vt:variant>
      <vt:variant>
        <vt:i4>0</vt:i4>
      </vt:variant>
      <vt:variant>
        <vt:i4>5</vt:i4>
      </vt:variant>
      <vt:variant>
        <vt:lpwstr/>
      </vt:variant>
      <vt:variant>
        <vt:lpwstr>_Toc440617895</vt:lpwstr>
      </vt:variant>
      <vt:variant>
        <vt:i4>1769533</vt:i4>
      </vt:variant>
      <vt:variant>
        <vt:i4>71</vt:i4>
      </vt:variant>
      <vt:variant>
        <vt:i4>0</vt:i4>
      </vt:variant>
      <vt:variant>
        <vt:i4>5</vt:i4>
      </vt:variant>
      <vt:variant>
        <vt:lpwstr/>
      </vt:variant>
      <vt:variant>
        <vt:lpwstr>_Toc440617894</vt:lpwstr>
      </vt:variant>
      <vt:variant>
        <vt:i4>1769533</vt:i4>
      </vt:variant>
      <vt:variant>
        <vt:i4>65</vt:i4>
      </vt:variant>
      <vt:variant>
        <vt:i4>0</vt:i4>
      </vt:variant>
      <vt:variant>
        <vt:i4>5</vt:i4>
      </vt:variant>
      <vt:variant>
        <vt:lpwstr/>
      </vt:variant>
      <vt:variant>
        <vt:lpwstr>_Toc440617893</vt:lpwstr>
      </vt:variant>
      <vt:variant>
        <vt:i4>1769533</vt:i4>
      </vt:variant>
      <vt:variant>
        <vt:i4>59</vt:i4>
      </vt:variant>
      <vt:variant>
        <vt:i4>0</vt:i4>
      </vt:variant>
      <vt:variant>
        <vt:i4>5</vt:i4>
      </vt:variant>
      <vt:variant>
        <vt:lpwstr/>
      </vt:variant>
      <vt:variant>
        <vt:lpwstr>_Toc440617892</vt:lpwstr>
      </vt:variant>
      <vt:variant>
        <vt:i4>1769533</vt:i4>
      </vt:variant>
      <vt:variant>
        <vt:i4>53</vt:i4>
      </vt:variant>
      <vt:variant>
        <vt:i4>0</vt:i4>
      </vt:variant>
      <vt:variant>
        <vt:i4>5</vt:i4>
      </vt:variant>
      <vt:variant>
        <vt:lpwstr/>
      </vt:variant>
      <vt:variant>
        <vt:lpwstr>_Toc440617891</vt:lpwstr>
      </vt:variant>
      <vt:variant>
        <vt:i4>1769533</vt:i4>
      </vt:variant>
      <vt:variant>
        <vt:i4>47</vt:i4>
      </vt:variant>
      <vt:variant>
        <vt:i4>0</vt:i4>
      </vt:variant>
      <vt:variant>
        <vt:i4>5</vt:i4>
      </vt:variant>
      <vt:variant>
        <vt:lpwstr/>
      </vt:variant>
      <vt:variant>
        <vt:lpwstr>_Toc440617890</vt:lpwstr>
      </vt:variant>
      <vt:variant>
        <vt:i4>1703997</vt:i4>
      </vt:variant>
      <vt:variant>
        <vt:i4>41</vt:i4>
      </vt:variant>
      <vt:variant>
        <vt:i4>0</vt:i4>
      </vt:variant>
      <vt:variant>
        <vt:i4>5</vt:i4>
      </vt:variant>
      <vt:variant>
        <vt:lpwstr/>
      </vt:variant>
      <vt:variant>
        <vt:lpwstr>_Toc440617889</vt:lpwstr>
      </vt:variant>
      <vt:variant>
        <vt:i4>1703997</vt:i4>
      </vt:variant>
      <vt:variant>
        <vt:i4>35</vt:i4>
      </vt:variant>
      <vt:variant>
        <vt:i4>0</vt:i4>
      </vt:variant>
      <vt:variant>
        <vt:i4>5</vt:i4>
      </vt:variant>
      <vt:variant>
        <vt:lpwstr/>
      </vt:variant>
      <vt:variant>
        <vt:lpwstr>_Toc440617888</vt:lpwstr>
      </vt:variant>
      <vt:variant>
        <vt:i4>1703997</vt:i4>
      </vt:variant>
      <vt:variant>
        <vt:i4>29</vt:i4>
      </vt:variant>
      <vt:variant>
        <vt:i4>0</vt:i4>
      </vt:variant>
      <vt:variant>
        <vt:i4>5</vt:i4>
      </vt:variant>
      <vt:variant>
        <vt:lpwstr/>
      </vt:variant>
      <vt:variant>
        <vt:lpwstr>_Toc440617887</vt:lpwstr>
      </vt:variant>
      <vt:variant>
        <vt:i4>1703997</vt:i4>
      </vt:variant>
      <vt:variant>
        <vt:i4>23</vt:i4>
      </vt:variant>
      <vt:variant>
        <vt:i4>0</vt:i4>
      </vt:variant>
      <vt:variant>
        <vt:i4>5</vt:i4>
      </vt:variant>
      <vt:variant>
        <vt:lpwstr/>
      </vt:variant>
      <vt:variant>
        <vt:lpwstr>_Toc440617886</vt:lpwstr>
      </vt:variant>
      <vt:variant>
        <vt:i4>1703997</vt:i4>
      </vt:variant>
      <vt:variant>
        <vt:i4>17</vt:i4>
      </vt:variant>
      <vt:variant>
        <vt:i4>0</vt:i4>
      </vt:variant>
      <vt:variant>
        <vt:i4>5</vt:i4>
      </vt:variant>
      <vt:variant>
        <vt:lpwstr/>
      </vt:variant>
      <vt:variant>
        <vt:lpwstr>_Toc440617885</vt:lpwstr>
      </vt:variant>
      <vt:variant>
        <vt:i4>1703997</vt:i4>
      </vt:variant>
      <vt:variant>
        <vt:i4>11</vt:i4>
      </vt:variant>
      <vt:variant>
        <vt:i4>0</vt:i4>
      </vt:variant>
      <vt:variant>
        <vt:i4>5</vt:i4>
      </vt:variant>
      <vt:variant>
        <vt:lpwstr/>
      </vt:variant>
      <vt:variant>
        <vt:lpwstr>_Toc440617884</vt:lpwstr>
      </vt:variant>
      <vt:variant>
        <vt:i4>1703997</vt:i4>
      </vt:variant>
      <vt:variant>
        <vt:i4>5</vt:i4>
      </vt:variant>
      <vt:variant>
        <vt:i4>0</vt:i4>
      </vt:variant>
      <vt:variant>
        <vt:i4>5</vt:i4>
      </vt:variant>
      <vt:variant>
        <vt:lpwstr/>
      </vt:variant>
      <vt:variant>
        <vt:lpwstr>_Toc440617883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Abey, Tim</dc:creator>
  <cp:lastModifiedBy>Foulston, Philip</cp:lastModifiedBy>
  <cp:revision>2</cp:revision>
  <cp:lastPrinted>2016-02-17T04:53:00Z</cp:lastPrinted>
  <dcterms:created xsi:type="dcterms:W3CDTF">2016-02-25T23:56:00Z</dcterms:created>
  <dcterms:modified xsi:type="dcterms:W3CDTF">2016-02-25T23:56:00Z</dcterms:modified>
</cp:coreProperties>
</file>