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057" w:rsidRPr="00942626" w:rsidRDefault="00063057" w:rsidP="00443DD1">
      <w:pPr>
        <w:spacing w:after="0"/>
        <w:rPr>
          <w:b/>
          <w:szCs w:val="20"/>
        </w:rPr>
      </w:pPr>
      <w:bookmarkStart w:id="0" w:name="_GoBack"/>
      <w:bookmarkEnd w:id="0"/>
      <w:r w:rsidRPr="00942626">
        <w:rPr>
          <w:b/>
          <w:szCs w:val="20"/>
        </w:rPr>
        <w:t>TASMANIAN INDUSTRIAL COMMISSION</w:t>
      </w:r>
    </w:p>
    <w:p w:rsidR="00063057" w:rsidRPr="00942626" w:rsidRDefault="00063057" w:rsidP="00443DD1">
      <w:pPr>
        <w:spacing w:after="0"/>
        <w:rPr>
          <w:b/>
          <w:szCs w:val="20"/>
        </w:rPr>
      </w:pPr>
    </w:p>
    <w:p w:rsidR="00443DD1" w:rsidRDefault="00063057" w:rsidP="00443DD1">
      <w:pPr>
        <w:spacing w:after="0"/>
        <w:rPr>
          <w:b/>
          <w:szCs w:val="20"/>
        </w:rPr>
      </w:pPr>
      <w:r w:rsidRPr="00686A6C">
        <w:rPr>
          <w:b/>
          <w:i/>
          <w:szCs w:val="20"/>
        </w:rPr>
        <w:t>Industrial Relations Act</w:t>
      </w:r>
      <w:r w:rsidRPr="00942626">
        <w:rPr>
          <w:b/>
          <w:szCs w:val="20"/>
        </w:rPr>
        <w:t xml:space="preserve"> 1984</w:t>
      </w:r>
    </w:p>
    <w:p w:rsidR="00063057" w:rsidRPr="00942626" w:rsidRDefault="00063057" w:rsidP="00443DD1">
      <w:pPr>
        <w:spacing w:after="0"/>
        <w:rPr>
          <w:szCs w:val="20"/>
        </w:rPr>
      </w:pPr>
      <w:r w:rsidRPr="00942626">
        <w:rPr>
          <w:szCs w:val="20"/>
        </w:rPr>
        <w:t>s70(1) appeal against decision</w:t>
      </w:r>
    </w:p>
    <w:p w:rsidR="00443DD1" w:rsidRDefault="00443DD1" w:rsidP="00443DD1">
      <w:pPr>
        <w:spacing w:after="0"/>
        <w:rPr>
          <w:szCs w:val="20"/>
        </w:rPr>
      </w:pPr>
    </w:p>
    <w:p w:rsidR="00063057" w:rsidRPr="00942626" w:rsidRDefault="002B2FD4" w:rsidP="00443DD1">
      <w:pPr>
        <w:spacing w:after="0"/>
        <w:rPr>
          <w:szCs w:val="20"/>
        </w:rPr>
      </w:pPr>
      <w:r w:rsidRPr="00942626">
        <w:rPr>
          <w:szCs w:val="20"/>
        </w:rPr>
        <w:fldChar w:fldCharType="begin"/>
      </w:r>
      <w:r w:rsidR="00063057" w:rsidRPr="00942626">
        <w:rPr>
          <w:szCs w:val="20"/>
        </w:rPr>
        <w:instrText xml:space="preserve">  </w:instrText>
      </w:r>
      <w:r w:rsidRPr="00942626">
        <w:rPr>
          <w:szCs w:val="20"/>
        </w:rPr>
        <w:fldChar w:fldCharType="end"/>
      </w:r>
    </w:p>
    <w:p w:rsidR="00443DD1" w:rsidRDefault="00443DD1" w:rsidP="00443DD1">
      <w:pPr>
        <w:spacing w:after="0"/>
        <w:jc w:val="both"/>
        <w:rPr>
          <w:b/>
        </w:rPr>
      </w:pPr>
      <w:r>
        <w:rPr>
          <w:b/>
        </w:rPr>
        <w:t>Alastair Paul Shepherd</w:t>
      </w:r>
    </w:p>
    <w:p w:rsidR="00443DD1" w:rsidRDefault="00443DD1" w:rsidP="00443DD1">
      <w:pPr>
        <w:spacing w:after="0"/>
        <w:jc w:val="both"/>
        <w:rPr>
          <w:b/>
        </w:rPr>
      </w:pPr>
      <w:r>
        <w:rPr>
          <w:b/>
        </w:rPr>
        <w:t>(T14</w:t>
      </w:r>
      <w:r w:rsidR="00A368E8">
        <w:rPr>
          <w:b/>
        </w:rPr>
        <w:t>400</w:t>
      </w:r>
      <w:r>
        <w:rPr>
          <w:b/>
        </w:rPr>
        <w:t xml:space="preserve"> of 201</w:t>
      </w:r>
      <w:r w:rsidR="00A368E8">
        <w:rPr>
          <w:b/>
        </w:rPr>
        <w:t>6</w:t>
      </w:r>
      <w:r>
        <w:rPr>
          <w:b/>
        </w:rPr>
        <w:t>)</w:t>
      </w:r>
      <w:r>
        <w:rPr>
          <w:b/>
        </w:rPr>
        <w:fldChar w:fldCharType="begin"/>
      </w:r>
      <w:r>
        <w:rPr>
          <w:b/>
        </w:rPr>
        <w:instrText xml:space="preserve">  </w:instrText>
      </w:r>
      <w:r>
        <w:rPr>
          <w:b/>
        </w:rPr>
        <w:fldChar w:fldCharType="end"/>
      </w:r>
    </w:p>
    <w:p w:rsidR="00443DD1" w:rsidRDefault="00443DD1" w:rsidP="00443DD1">
      <w:pPr>
        <w:spacing w:after="0"/>
        <w:rPr>
          <w:b/>
        </w:rPr>
      </w:pPr>
    </w:p>
    <w:p w:rsidR="00443DD1" w:rsidRPr="00212C20" w:rsidRDefault="00443DD1" w:rsidP="00443DD1">
      <w:pPr>
        <w:spacing w:after="0"/>
        <w:rPr>
          <w:b/>
        </w:rPr>
      </w:pPr>
      <w:r w:rsidRPr="00212C20">
        <w:rPr>
          <w:b/>
        </w:rPr>
        <w:t>and</w:t>
      </w:r>
    </w:p>
    <w:p w:rsidR="00443DD1" w:rsidRPr="00212C20" w:rsidRDefault="00443DD1" w:rsidP="00443DD1">
      <w:pPr>
        <w:spacing w:after="0"/>
        <w:rPr>
          <w:b/>
        </w:rPr>
      </w:pPr>
    </w:p>
    <w:p w:rsidR="00443DD1" w:rsidRDefault="00443DD1" w:rsidP="00443DD1">
      <w:pPr>
        <w:tabs>
          <w:tab w:val="left" w:pos="567"/>
          <w:tab w:val="left" w:pos="850"/>
        </w:tabs>
        <w:spacing w:after="0"/>
        <w:jc w:val="both"/>
        <w:rPr>
          <w:b/>
        </w:rPr>
      </w:pPr>
      <w:r>
        <w:rPr>
          <w:b/>
        </w:rPr>
        <w:t>Minister administering the State Service Act 2000/</w:t>
      </w:r>
      <w:r w:rsidRPr="00212C20">
        <w:rPr>
          <w:b/>
        </w:rPr>
        <w:t xml:space="preserve"> Department of </w:t>
      </w:r>
      <w:r>
        <w:rPr>
          <w:b/>
        </w:rPr>
        <w:t>Justice</w:t>
      </w:r>
    </w:p>
    <w:p w:rsidR="00063057" w:rsidRPr="00942626" w:rsidRDefault="00063057" w:rsidP="00443DD1">
      <w:pPr>
        <w:spacing w:after="0"/>
        <w:rPr>
          <w:szCs w:val="20"/>
        </w:rPr>
      </w:pPr>
    </w:p>
    <w:p w:rsidR="00744058" w:rsidRPr="00942626" w:rsidRDefault="00C16422" w:rsidP="00063057">
      <w:pPr>
        <w:spacing w:after="0"/>
        <w:rPr>
          <w:szCs w:val="20"/>
        </w:rPr>
      </w:pPr>
      <w:r>
        <w:rPr>
          <w:szCs w:val="20"/>
        </w:rPr>
        <w:t xml:space="preserve">ACTING </w:t>
      </w:r>
      <w:r w:rsidR="00744058" w:rsidRPr="00942626">
        <w:rPr>
          <w:szCs w:val="20"/>
        </w:rPr>
        <w:t xml:space="preserve">PRESIDENT </w:t>
      </w:r>
      <w:r w:rsidR="008058DD">
        <w:rPr>
          <w:szCs w:val="20"/>
        </w:rPr>
        <w:t>N WELLS</w:t>
      </w:r>
    </w:p>
    <w:p w:rsidR="00744058" w:rsidRPr="00942626" w:rsidRDefault="008058DD" w:rsidP="00063057">
      <w:pPr>
        <w:spacing w:after="0"/>
        <w:rPr>
          <w:szCs w:val="20"/>
        </w:rPr>
      </w:pPr>
      <w:r>
        <w:rPr>
          <w:szCs w:val="20"/>
        </w:rPr>
        <w:t xml:space="preserve">COMMISSIONER </w:t>
      </w:r>
      <w:r w:rsidR="00A368E8">
        <w:rPr>
          <w:szCs w:val="20"/>
        </w:rPr>
        <w:t>T LEE</w:t>
      </w:r>
    </w:p>
    <w:p w:rsidR="00063057" w:rsidRPr="00942626" w:rsidRDefault="00A368E8" w:rsidP="00063057">
      <w:pPr>
        <w:spacing w:after="0"/>
        <w:rPr>
          <w:szCs w:val="20"/>
        </w:rPr>
      </w:pPr>
      <w:r>
        <w:rPr>
          <w:szCs w:val="20"/>
        </w:rPr>
        <w:t>COMMISSIONER N WILSON</w:t>
      </w:r>
      <w:r w:rsidR="002B2FD4" w:rsidRPr="00942626">
        <w:rPr>
          <w:szCs w:val="20"/>
        </w:rPr>
        <w:fldChar w:fldCharType="begin"/>
      </w:r>
      <w:r w:rsidR="00063057" w:rsidRPr="00942626">
        <w:rPr>
          <w:szCs w:val="20"/>
        </w:rPr>
        <w:instrText xml:space="preserve">  </w:instrText>
      </w:r>
      <w:r w:rsidR="002B2FD4" w:rsidRPr="00942626">
        <w:rPr>
          <w:szCs w:val="20"/>
        </w:rPr>
        <w:fldChar w:fldCharType="end"/>
      </w:r>
    </w:p>
    <w:tbl>
      <w:tblPr>
        <w:tblW w:w="0" w:type="auto"/>
        <w:tblLook w:val="0000" w:firstRow="0" w:lastRow="0" w:firstColumn="0" w:lastColumn="0" w:noHBand="0" w:noVBand="0"/>
      </w:tblPr>
      <w:tblGrid>
        <w:gridCol w:w="4618"/>
        <w:gridCol w:w="4624"/>
      </w:tblGrid>
      <w:tr w:rsidR="00063057" w:rsidRPr="00942626" w:rsidTr="00841845">
        <w:tc>
          <w:tcPr>
            <w:tcW w:w="4643" w:type="dxa"/>
          </w:tcPr>
          <w:p w:rsidR="00063057" w:rsidRPr="00942626" w:rsidRDefault="00063057" w:rsidP="00841845">
            <w:pPr>
              <w:spacing w:after="0"/>
              <w:rPr>
                <w:szCs w:val="20"/>
              </w:rPr>
            </w:pPr>
          </w:p>
        </w:tc>
        <w:tc>
          <w:tcPr>
            <w:tcW w:w="4644" w:type="dxa"/>
          </w:tcPr>
          <w:p w:rsidR="00063057" w:rsidRPr="00942626" w:rsidRDefault="00063057" w:rsidP="000C63E2">
            <w:pPr>
              <w:spacing w:after="0"/>
              <w:jc w:val="right"/>
              <w:rPr>
                <w:szCs w:val="20"/>
              </w:rPr>
            </w:pPr>
            <w:r w:rsidRPr="00942626">
              <w:rPr>
                <w:szCs w:val="20"/>
              </w:rPr>
              <w:t xml:space="preserve">HOBART, </w:t>
            </w:r>
            <w:r w:rsidR="004A50FB" w:rsidRPr="004A50FB">
              <w:rPr>
                <w:szCs w:val="20"/>
              </w:rPr>
              <w:t>26</w:t>
            </w:r>
            <w:r w:rsidR="0013531C">
              <w:rPr>
                <w:szCs w:val="20"/>
              </w:rPr>
              <w:t xml:space="preserve"> </w:t>
            </w:r>
            <w:r w:rsidR="00A368E8">
              <w:rPr>
                <w:szCs w:val="20"/>
              </w:rPr>
              <w:t>MAY 2016</w:t>
            </w:r>
          </w:p>
        </w:tc>
      </w:tr>
      <w:tr w:rsidR="00B42D1F" w:rsidRPr="00942626" w:rsidTr="00841845">
        <w:tc>
          <w:tcPr>
            <w:tcW w:w="4643" w:type="dxa"/>
          </w:tcPr>
          <w:p w:rsidR="00B42D1F" w:rsidRPr="00942626" w:rsidRDefault="00B42D1F" w:rsidP="00841845">
            <w:pPr>
              <w:spacing w:after="0"/>
              <w:rPr>
                <w:szCs w:val="20"/>
              </w:rPr>
            </w:pPr>
          </w:p>
        </w:tc>
        <w:tc>
          <w:tcPr>
            <w:tcW w:w="4644" w:type="dxa"/>
          </w:tcPr>
          <w:p w:rsidR="00B42D1F" w:rsidRPr="00942626" w:rsidRDefault="00B42D1F" w:rsidP="00841845">
            <w:pPr>
              <w:spacing w:after="0"/>
              <w:jc w:val="right"/>
              <w:rPr>
                <w:szCs w:val="20"/>
              </w:rPr>
            </w:pPr>
          </w:p>
        </w:tc>
      </w:tr>
    </w:tbl>
    <w:p w:rsidR="00063057" w:rsidRPr="00B42D1F" w:rsidRDefault="008058DD" w:rsidP="00744058">
      <w:pPr>
        <w:spacing w:after="0"/>
        <w:jc w:val="center"/>
        <w:rPr>
          <w:b/>
          <w:szCs w:val="20"/>
        </w:rPr>
      </w:pPr>
      <w:r>
        <w:rPr>
          <w:b/>
          <w:szCs w:val="20"/>
        </w:rPr>
        <w:t>DECISION</w:t>
      </w:r>
    </w:p>
    <w:p w:rsidR="00063057" w:rsidRPr="00942626" w:rsidRDefault="00063057" w:rsidP="00063057">
      <w:pPr>
        <w:spacing w:after="0"/>
        <w:jc w:val="both"/>
        <w:rPr>
          <w:szCs w:val="20"/>
        </w:rPr>
      </w:pPr>
    </w:p>
    <w:p w:rsidR="00063057" w:rsidRPr="00942626" w:rsidRDefault="002B2FD4" w:rsidP="00063057">
      <w:pPr>
        <w:spacing w:after="0"/>
        <w:jc w:val="both"/>
        <w:rPr>
          <w:szCs w:val="20"/>
        </w:rPr>
      </w:pPr>
      <w:r w:rsidRPr="00942626">
        <w:rPr>
          <w:szCs w:val="20"/>
        </w:rPr>
        <w:fldChar w:fldCharType="begin"/>
      </w:r>
      <w:r w:rsidR="00063057" w:rsidRPr="00942626">
        <w:rPr>
          <w:szCs w:val="20"/>
        </w:rPr>
        <w:instrText xml:space="preserve">  </w:instrText>
      </w:r>
      <w:r w:rsidRPr="00942626">
        <w:rPr>
          <w:szCs w:val="20"/>
        </w:rPr>
        <w:fldChar w:fldCharType="end"/>
      </w:r>
      <w:r w:rsidR="00063057" w:rsidRPr="00942626">
        <w:rPr>
          <w:b/>
          <w:szCs w:val="20"/>
        </w:rPr>
        <w:t xml:space="preserve">Appeal against a decision handed down by </w:t>
      </w:r>
      <w:r w:rsidR="008058DD">
        <w:rPr>
          <w:b/>
          <w:szCs w:val="20"/>
        </w:rPr>
        <w:t xml:space="preserve">President Abey on </w:t>
      </w:r>
      <w:r w:rsidR="008058DD" w:rsidRPr="00902EA6">
        <w:rPr>
          <w:b/>
          <w:szCs w:val="20"/>
        </w:rPr>
        <w:t>1</w:t>
      </w:r>
      <w:r w:rsidR="00A368E8">
        <w:rPr>
          <w:b/>
          <w:szCs w:val="20"/>
        </w:rPr>
        <w:t>8</w:t>
      </w:r>
      <w:r w:rsidR="00063057" w:rsidRPr="00902EA6">
        <w:rPr>
          <w:b/>
          <w:szCs w:val="20"/>
        </w:rPr>
        <w:t>/</w:t>
      </w:r>
      <w:r w:rsidR="00A368E8">
        <w:rPr>
          <w:b/>
          <w:szCs w:val="20"/>
        </w:rPr>
        <w:t>2</w:t>
      </w:r>
      <w:r w:rsidR="00063057" w:rsidRPr="00902EA6">
        <w:rPr>
          <w:b/>
          <w:szCs w:val="20"/>
        </w:rPr>
        <w:t>/1</w:t>
      </w:r>
      <w:r w:rsidR="00A368E8">
        <w:rPr>
          <w:b/>
          <w:szCs w:val="20"/>
        </w:rPr>
        <w:t>6 – T14368</w:t>
      </w:r>
      <w:r w:rsidR="00063057" w:rsidRPr="00942626">
        <w:rPr>
          <w:b/>
          <w:szCs w:val="20"/>
        </w:rPr>
        <w:t xml:space="preserve"> of 201</w:t>
      </w:r>
      <w:r w:rsidR="00A368E8">
        <w:rPr>
          <w:b/>
          <w:szCs w:val="20"/>
        </w:rPr>
        <w:t>5</w:t>
      </w:r>
      <w:r w:rsidR="00063057" w:rsidRPr="00942626">
        <w:rPr>
          <w:b/>
          <w:szCs w:val="20"/>
        </w:rPr>
        <w:t xml:space="preserve"> – </w:t>
      </w:r>
      <w:r w:rsidR="00301D95">
        <w:rPr>
          <w:b/>
          <w:szCs w:val="20"/>
        </w:rPr>
        <w:t xml:space="preserve">jurisdiction – </w:t>
      </w:r>
      <w:r w:rsidR="00D01A71">
        <w:rPr>
          <w:b/>
          <w:szCs w:val="20"/>
        </w:rPr>
        <w:t>competency of appeal – threshold issue –</w:t>
      </w:r>
      <w:r w:rsidR="00A368E8">
        <w:rPr>
          <w:b/>
          <w:szCs w:val="20"/>
        </w:rPr>
        <w:t xml:space="preserve"> </w:t>
      </w:r>
      <w:r w:rsidR="00D6359D">
        <w:rPr>
          <w:b/>
          <w:szCs w:val="20"/>
        </w:rPr>
        <w:t>decision did not contain an order – decision incapable of appeal – no appeal lie</w:t>
      </w:r>
      <w:r w:rsidR="000D7AAC">
        <w:rPr>
          <w:b/>
          <w:szCs w:val="20"/>
        </w:rPr>
        <w:t>s</w:t>
      </w:r>
    </w:p>
    <w:p w:rsidR="00744058" w:rsidRPr="00942626" w:rsidRDefault="00744058" w:rsidP="00063057">
      <w:pPr>
        <w:spacing w:after="0"/>
        <w:jc w:val="both"/>
        <w:rPr>
          <w:szCs w:val="20"/>
          <w:lang w:val="en-US"/>
        </w:rPr>
      </w:pPr>
    </w:p>
    <w:p w:rsidR="00063057" w:rsidRPr="00942626" w:rsidRDefault="007F4428" w:rsidP="00063057">
      <w:pPr>
        <w:spacing w:after="0"/>
        <w:jc w:val="both"/>
        <w:rPr>
          <w:szCs w:val="20"/>
          <w:lang w:val="en-US"/>
        </w:rPr>
      </w:pPr>
      <w:r w:rsidRPr="0013531C">
        <w:rPr>
          <w:b/>
          <w:szCs w:val="20"/>
          <w:lang w:val="en-US"/>
        </w:rPr>
        <w:t>[1]</w:t>
      </w:r>
      <w:r w:rsidRPr="0013531C">
        <w:rPr>
          <w:b/>
          <w:szCs w:val="20"/>
          <w:lang w:val="en-US"/>
        </w:rPr>
        <w:tab/>
      </w:r>
      <w:r w:rsidR="00063057" w:rsidRPr="00942626">
        <w:rPr>
          <w:szCs w:val="20"/>
          <w:lang w:val="en-US"/>
        </w:rPr>
        <w:t xml:space="preserve">This is an appeal </w:t>
      </w:r>
      <w:r w:rsidR="006216ED">
        <w:rPr>
          <w:szCs w:val="20"/>
          <w:lang w:val="en-US"/>
        </w:rPr>
        <w:t>pursuant to s70(1)</w:t>
      </w:r>
      <w:r w:rsidR="00C553D3">
        <w:rPr>
          <w:szCs w:val="20"/>
          <w:lang w:val="en-US"/>
        </w:rPr>
        <w:t>(b)</w:t>
      </w:r>
      <w:r w:rsidR="006216ED">
        <w:rPr>
          <w:szCs w:val="20"/>
          <w:lang w:val="en-US"/>
        </w:rPr>
        <w:t xml:space="preserve"> of the </w:t>
      </w:r>
      <w:r w:rsidR="006216ED" w:rsidRPr="006216ED">
        <w:rPr>
          <w:i/>
          <w:szCs w:val="20"/>
          <w:lang w:val="en-US"/>
        </w:rPr>
        <w:t xml:space="preserve">Industrial Relations Act </w:t>
      </w:r>
      <w:r w:rsidR="006216ED" w:rsidRPr="00686A6C">
        <w:rPr>
          <w:szCs w:val="20"/>
          <w:lang w:val="en-US"/>
        </w:rPr>
        <w:t>1984</w:t>
      </w:r>
      <w:r w:rsidR="006216ED">
        <w:rPr>
          <w:szCs w:val="20"/>
          <w:lang w:val="en-US"/>
        </w:rPr>
        <w:t xml:space="preserve"> (the Act) </w:t>
      </w:r>
      <w:r w:rsidR="00063057" w:rsidRPr="00942626">
        <w:rPr>
          <w:szCs w:val="20"/>
          <w:lang w:val="en-US"/>
        </w:rPr>
        <w:t xml:space="preserve">against a decision of </w:t>
      </w:r>
      <w:r w:rsidR="008058DD">
        <w:rPr>
          <w:szCs w:val="20"/>
          <w:lang w:val="en-US"/>
        </w:rPr>
        <w:t>President Abey</w:t>
      </w:r>
      <w:r w:rsidR="00A368E8">
        <w:rPr>
          <w:szCs w:val="20"/>
          <w:lang w:val="en-US"/>
        </w:rPr>
        <w:t xml:space="preserve"> in Matter T14368</w:t>
      </w:r>
      <w:r w:rsidR="00063057" w:rsidRPr="00942626">
        <w:rPr>
          <w:szCs w:val="20"/>
          <w:lang w:val="en-US"/>
        </w:rPr>
        <w:t xml:space="preserve"> of 201</w:t>
      </w:r>
      <w:r w:rsidR="000C63E2">
        <w:rPr>
          <w:szCs w:val="20"/>
          <w:lang w:val="en-US"/>
        </w:rPr>
        <w:t>5</w:t>
      </w:r>
      <w:r w:rsidR="00063057" w:rsidRPr="00942626">
        <w:rPr>
          <w:szCs w:val="20"/>
          <w:lang w:val="en-US"/>
        </w:rPr>
        <w:t xml:space="preserve"> issued </w:t>
      </w:r>
      <w:r w:rsidR="008058DD">
        <w:rPr>
          <w:szCs w:val="20"/>
          <w:lang w:val="en-US"/>
        </w:rPr>
        <w:t>on 1</w:t>
      </w:r>
      <w:r w:rsidR="00A368E8">
        <w:rPr>
          <w:szCs w:val="20"/>
          <w:lang w:val="en-US"/>
        </w:rPr>
        <w:t>8</w:t>
      </w:r>
      <w:r w:rsidR="00063057" w:rsidRPr="00942626">
        <w:rPr>
          <w:szCs w:val="20"/>
          <w:lang w:val="en-US"/>
        </w:rPr>
        <w:t xml:space="preserve"> </w:t>
      </w:r>
      <w:r w:rsidR="00A368E8">
        <w:rPr>
          <w:szCs w:val="20"/>
          <w:lang w:val="en-US"/>
        </w:rPr>
        <w:t>February</w:t>
      </w:r>
      <w:r w:rsidR="00063057" w:rsidRPr="00942626">
        <w:rPr>
          <w:szCs w:val="20"/>
          <w:lang w:val="en-US"/>
        </w:rPr>
        <w:t xml:space="preserve"> 201</w:t>
      </w:r>
      <w:r w:rsidR="00A368E8">
        <w:rPr>
          <w:szCs w:val="20"/>
          <w:lang w:val="en-US"/>
        </w:rPr>
        <w:t>6 relating to the alleged unfair termination of Mr Alastair Paul Shepherd (the Appellant).</w:t>
      </w:r>
    </w:p>
    <w:p w:rsidR="00063057" w:rsidRPr="00942626" w:rsidRDefault="00063057" w:rsidP="00063057">
      <w:pPr>
        <w:spacing w:after="0"/>
        <w:jc w:val="both"/>
        <w:rPr>
          <w:szCs w:val="20"/>
          <w:lang w:val="en-US"/>
        </w:rPr>
      </w:pPr>
    </w:p>
    <w:p w:rsidR="009C5533" w:rsidRDefault="007F4428" w:rsidP="00063057">
      <w:pPr>
        <w:spacing w:after="0"/>
        <w:jc w:val="both"/>
        <w:rPr>
          <w:szCs w:val="20"/>
          <w:lang w:val="en-US"/>
        </w:rPr>
      </w:pPr>
      <w:r w:rsidRPr="0013531C">
        <w:rPr>
          <w:b/>
          <w:szCs w:val="20"/>
          <w:lang w:val="en-US"/>
        </w:rPr>
        <w:t>[2]</w:t>
      </w:r>
      <w:r w:rsidRPr="0013531C">
        <w:rPr>
          <w:b/>
          <w:szCs w:val="20"/>
          <w:lang w:val="en-US"/>
        </w:rPr>
        <w:tab/>
      </w:r>
      <w:r w:rsidR="00A368E8">
        <w:rPr>
          <w:szCs w:val="20"/>
          <w:lang w:val="en-US"/>
        </w:rPr>
        <w:t xml:space="preserve">The </w:t>
      </w:r>
      <w:r w:rsidR="00A3160F">
        <w:rPr>
          <w:szCs w:val="20"/>
          <w:lang w:val="en-US"/>
        </w:rPr>
        <w:t xml:space="preserve">Appellant sought to appeal the President’s decision which </w:t>
      </w:r>
      <w:r w:rsidR="000413D2">
        <w:rPr>
          <w:szCs w:val="20"/>
          <w:lang w:val="en-US"/>
        </w:rPr>
        <w:t>hel</w:t>
      </w:r>
      <w:r w:rsidR="00A3160F">
        <w:rPr>
          <w:szCs w:val="20"/>
          <w:lang w:val="en-US"/>
        </w:rPr>
        <w:t xml:space="preserve">d that </w:t>
      </w:r>
      <w:r w:rsidR="000413D2">
        <w:rPr>
          <w:szCs w:val="20"/>
          <w:lang w:val="en-US"/>
        </w:rPr>
        <w:t xml:space="preserve">the Appellant’s termination was not unfair and the application was dismissed.  </w:t>
      </w:r>
      <w:r w:rsidR="00A3160F">
        <w:rPr>
          <w:szCs w:val="20"/>
          <w:lang w:val="en-US"/>
        </w:rPr>
        <w:t xml:space="preserve">The Appellant filed his </w:t>
      </w:r>
      <w:r w:rsidR="00A368E8">
        <w:rPr>
          <w:szCs w:val="20"/>
          <w:lang w:val="en-US"/>
        </w:rPr>
        <w:t>Notice of Appeal on 10 March 2016</w:t>
      </w:r>
      <w:r w:rsidR="00807702">
        <w:rPr>
          <w:szCs w:val="20"/>
          <w:lang w:val="en-US"/>
        </w:rPr>
        <w:t xml:space="preserve"> listing </w:t>
      </w:r>
      <w:r w:rsidR="00686A6C">
        <w:rPr>
          <w:szCs w:val="20"/>
          <w:lang w:val="en-US"/>
        </w:rPr>
        <w:t>five</w:t>
      </w:r>
      <w:r w:rsidR="00807702">
        <w:rPr>
          <w:szCs w:val="20"/>
          <w:lang w:val="en-US"/>
        </w:rPr>
        <w:t xml:space="preserve"> pages of </w:t>
      </w:r>
      <w:r w:rsidR="00686A6C">
        <w:rPr>
          <w:szCs w:val="20"/>
          <w:lang w:val="en-US"/>
        </w:rPr>
        <w:t>appeal g</w:t>
      </w:r>
      <w:r w:rsidR="00807702">
        <w:rPr>
          <w:szCs w:val="20"/>
          <w:lang w:val="en-US"/>
        </w:rPr>
        <w:t>rounds.  This Notice was filed</w:t>
      </w:r>
      <w:r w:rsidR="00A368E8">
        <w:rPr>
          <w:szCs w:val="20"/>
          <w:lang w:val="en-US"/>
        </w:rPr>
        <w:t xml:space="preserve"> within the 21 day timeframe envisaged in section 71(1) of the </w:t>
      </w:r>
      <w:r w:rsidR="00A3160F">
        <w:rPr>
          <w:szCs w:val="20"/>
          <w:lang w:val="en-US"/>
        </w:rPr>
        <w:t>Act.</w:t>
      </w:r>
    </w:p>
    <w:p w:rsidR="009C5533" w:rsidRDefault="009C5533" w:rsidP="00063057">
      <w:pPr>
        <w:spacing w:after="0"/>
        <w:jc w:val="both"/>
        <w:rPr>
          <w:szCs w:val="20"/>
          <w:lang w:val="en-US"/>
        </w:rPr>
      </w:pPr>
    </w:p>
    <w:p w:rsidR="00902EA6" w:rsidRPr="00902EA6" w:rsidRDefault="00A3160F" w:rsidP="00063057">
      <w:pPr>
        <w:spacing w:after="0"/>
        <w:jc w:val="both"/>
        <w:rPr>
          <w:b/>
          <w:szCs w:val="20"/>
          <w:lang w:val="en-US"/>
        </w:rPr>
      </w:pPr>
      <w:r>
        <w:rPr>
          <w:b/>
          <w:szCs w:val="20"/>
          <w:lang w:val="en-US"/>
        </w:rPr>
        <w:t>Jurisdiction</w:t>
      </w:r>
      <w:r w:rsidR="00301D95">
        <w:rPr>
          <w:b/>
          <w:szCs w:val="20"/>
          <w:lang w:val="en-US"/>
        </w:rPr>
        <w:t>al point</w:t>
      </w:r>
    </w:p>
    <w:p w:rsidR="00902EA6" w:rsidRDefault="00902EA6" w:rsidP="00063057">
      <w:pPr>
        <w:spacing w:after="0"/>
        <w:jc w:val="both"/>
        <w:rPr>
          <w:szCs w:val="20"/>
          <w:lang w:val="en-US"/>
        </w:rPr>
      </w:pPr>
    </w:p>
    <w:p w:rsidR="00301D95" w:rsidRDefault="009C5533" w:rsidP="00063057">
      <w:pPr>
        <w:spacing w:after="0"/>
        <w:jc w:val="both"/>
        <w:rPr>
          <w:szCs w:val="20"/>
          <w:lang w:val="en-US"/>
        </w:rPr>
      </w:pPr>
      <w:r w:rsidRPr="009C5533">
        <w:rPr>
          <w:b/>
          <w:szCs w:val="20"/>
          <w:lang w:val="en-US"/>
        </w:rPr>
        <w:t>[3]</w:t>
      </w:r>
      <w:r>
        <w:rPr>
          <w:szCs w:val="20"/>
          <w:lang w:val="en-US"/>
        </w:rPr>
        <w:tab/>
      </w:r>
      <w:r w:rsidR="00902EA6">
        <w:rPr>
          <w:szCs w:val="20"/>
          <w:lang w:val="en-US"/>
        </w:rPr>
        <w:t>On 2</w:t>
      </w:r>
      <w:r w:rsidR="000413D2">
        <w:rPr>
          <w:szCs w:val="20"/>
          <w:lang w:val="en-US"/>
        </w:rPr>
        <w:t>4 March 2016</w:t>
      </w:r>
      <w:r w:rsidR="00902EA6">
        <w:rPr>
          <w:szCs w:val="20"/>
          <w:lang w:val="en-US"/>
        </w:rPr>
        <w:t xml:space="preserve"> the </w:t>
      </w:r>
      <w:r w:rsidR="000413D2">
        <w:rPr>
          <w:szCs w:val="20"/>
          <w:lang w:val="en-US"/>
        </w:rPr>
        <w:t>Respondent raised a jurisdictional issue as to</w:t>
      </w:r>
      <w:r w:rsidR="00301D95">
        <w:rPr>
          <w:szCs w:val="20"/>
          <w:lang w:val="en-US"/>
        </w:rPr>
        <w:t xml:space="preserve"> the competency of the Appeal.  On 4 April 2016 the Fu</w:t>
      </w:r>
      <w:r w:rsidR="00686A6C">
        <w:rPr>
          <w:szCs w:val="20"/>
          <w:lang w:val="en-US"/>
        </w:rPr>
        <w:t>ll Bench wrote to the Appellant</w:t>
      </w:r>
      <w:r w:rsidR="00301D95">
        <w:rPr>
          <w:szCs w:val="20"/>
          <w:lang w:val="en-US"/>
        </w:rPr>
        <w:t xml:space="preserve"> notifying him of the jurisdictional point raised by the Respondent and advising of the necessity for a preliminary hearing to hear the parties on the point of jurisdiction.</w:t>
      </w:r>
    </w:p>
    <w:p w:rsidR="00902EA6" w:rsidRDefault="00902EA6" w:rsidP="00063057">
      <w:pPr>
        <w:spacing w:after="0"/>
        <w:jc w:val="both"/>
        <w:rPr>
          <w:szCs w:val="20"/>
          <w:lang w:val="en-US"/>
        </w:rPr>
      </w:pPr>
    </w:p>
    <w:p w:rsidR="006576E7" w:rsidRDefault="00902EA6" w:rsidP="00063057">
      <w:pPr>
        <w:spacing w:after="0"/>
        <w:jc w:val="both"/>
        <w:rPr>
          <w:szCs w:val="20"/>
          <w:lang w:val="en-US"/>
        </w:rPr>
      </w:pPr>
      <w:r w:rsidRPr="00902EA6">
        <w:rPr>
          <w:b/>
          <w:szCs w:val="20"/>
          <w:lang w:val="en-US"/>
        </w:rPr>
        <w:t>[4]</w:t>
      </w:r>
      <w:r w:rsidR="00C82C75">
        <w:rPr>
          <w:szCs w:val="20"/>
          <w:lang w:val="en-US"/>
        </w:rPr>
        <w:tab/>
      </w:r>
      <w:r w:rsidR="00301D95">
        <w:rPr>
          <w:szCs w:val="20"/>
          <w:lang w:val="en-US"/>
        </w:rPr>
        <w:t>Directions were issued to the parties on 4 April 2016 and the matter was listed for preliminary hearing which took place on 11 May 2016</w:t>
      </w:r>
      <w:r w:rsidR="00336429">
        <w:rPr>
          <w:szCs w:val="20"/>
          <w:lang w:val="en-US"/>
        </w:rPr>
        <w:t>.</w:t>
      </w:r>
      <w:r w:rsidR="00301D95">
        <w:rPr>
          <w:szCs w:val="20"/>
          <w:lang w:val="en-US"/>
        </w:rPr>
        <w:t xml:space="preserve">  Submissions in accordance with the directions </w:t>
      </w:r>
      <w:r w:rsidR="00A7323B">
        <w:rPr>
          <w:szCs w:val="20"/>
          <w:lang w:val="en-US"/>
        </w:rPr>
        <w:t>were filed</w:t>
      </w:r>
      <w:r w:rsidR="00301D95">
        <w:rPr>
          <w:szCs w:val="20"/>
          <w:lang w:val="en-US"/>
        </w:rPr>
        <w:t>.</w:t>
      </w:r>
      <w:r w:rsidR="00F54ACE">
        <w:rPr>
          <w:szCs w:val="20"/>
          <w:lang w:val="en-US"/>
        </w:rPr>
        <w:t xml:space="preserve">  The Appellant </w:t>
      </w:r>
      <w:r w:rsidR="00A7323B">
        <w:rPr>
          <w:szCs w:val="20"/>
          <w:lang w:val="en-US"/>
        </w:rPr>
        <w:t xml:space="preserve">represented </w:t>
      </w:r>
      <w:r w:rsidR="00F54ACE">
        <w:rPr>
          <w:szCs w:val="20"/>
          <w:lang w:val="en-US"/>
        </w:rPr>
        <w:t>himself.  Ms T Banman and Mr B Charlton appeared for the Respondent.</w:t>
      </w:r>
    </w:p>
    <w:p w:rsidR="006576E7" w:rsidRDefault="006576E7" w:rsidP="00063057">
      <w:pPr>
        <w:spacing w:after="0"/>
        <w:jc w:val="both"/>
        <w:rPr>
          <w:szCs w:val="20"/>
          <w:lang w:val="en-US"/>
        </w:rPr>
      </w:pPr>
    </w:p>
    <w:p w:rsidR="006576E7" w:rsidRDefault="006576E7" w:rsidP="00063057">
      <w:pPr>
        <w:spacing w:after="0"/>
        <w:jc w:val="both"/>
        <w:rPr>
          <w:szCs w:val="20"/>
          <w:lang w:val="en-US"/>
        </w:rPr>
      </w:pPr>
      <w:r w:rsidRPr="006576E7">
        <w:rPr>
          <w:b/>
          <w:szCs w:val="20"/>
          <w:lang w:val="en-US"/>
        </w:rPr>
        <w:t>[5]</w:t>
      </w:r>
      <w:r>
        <w:rPr>
          <w:szCs w:val="20"/>
          <w:lang w:val="en-US"/>
        </w:rPr>
        <w:tab/>
      </w:r>
      <w:r w:rsidRPr="004A50FB">
        <w:rPr>
          <w:szCs w:val="20"/>
          <w:lang w:val="en-US"/>
        </w:rPr>
        <w:t>Following the hearing of the Appeal the Full Bench ident</w:t>
      </w:r>
      <w:r w:rsidR="00C911A6" w:rsidRPr="004A50FB">
        <w:rPr>
          <w:szCs w:val="20"/>
          <w:lang w:val="en-US"/>
        </w:rPr>
        <w:t>ified matters arising from the S</w:t>
      </w:r>
      <w:r w:rsidRPr="004A50FB">
        <w:rPr>
          <w:szCs w:val="20"/>
          <w:lang w:val="en-US"/>
        </w:rPr>
        <w:t xml:space="preserve">econd </w:t>
      </w:r>
      <w:r w:rsidR="00C911A6" w:rsidRPr="004A50FB">
        <w:rPr>
          <w:szCs w:val="20"/>
          <w:lang w:val="en-US"/>
        </w:rPr>
        <w:t>R</w:t>
      </w:r>
      <w:r w:rsidRPr="004A50FB">
        <w:rPr>
          <w:szCs w:val="20"/>
          <w:lang w:val="en-US"/>
        </w:rPr>
        <w:t xml:space="preserve">eading speech of the </w:t>
      </w:r>
      <w:r w:rsidR="00C911A6" w:rsidRPr="004A50FB">
        <w:rPr>
          <w:i/>
          <w:szCs w:val="20"/>
          <w:lang w:val="en-US"/>
        </w:rPr>
        <w:t xml:space="preserve">Industrial Relations Amendment (Enterprise Agreements and Workplace Freedom) Act </w:t>
      </w:r>
      <w:r w:rsidR="00C911A6" w:rsidRPr="00A94813">
        <w:rPr>
          <w:szCs w:val="20"/>
          <w:lang w:val="en-US"/>
        </w:rPr>
        <w:t>1992</w:t>
      </w:r>
      <w:r w:rsidRPr="004A50FB">
        <w:rPr>
          <w:i/>
          <w:szCs w:val="20"/>
          <w:lang w:val="en-US"/>
        </w:rPr>
        <w:t xml:space="preserve"> </w:t>
      </w:r>
      <w:r w:rsidRPr="004A50FB">
        <w:rPr>
          <w:szCs w:val="20"/>
          <w:lang w:val="en-US"/>
        </w:rPr>
        <w:t xml:space="preserve">which were </w:t>
      </w:r>
      <w:r w:rsidR="00C911A6" w:rsidRPr="004A50FB">
        <w:rPr>
          <w:szCs w:val="20"/>
          <w:lang w:val="en-US"/>
        </w:rPr>
        <w:t xml:space="preserve">considered </w:t>
      </w:r>
      <w:r w:rsidRPr="004A50FB">
        <w:rPr>
          <w:szCs w:val="20"/>
          <w:lang w:val="en-US"/>
        </w:rPr>
        <w:t>relevant to the jurisdictional matter to be</w:t>
      </w:r>
      <w:r w:rsidR="00C911A6" w:rsidRPr="004A50FB">
        <w:rPr>
          <w:szCs w:val="20"/>
          <w:lang w:val="en-US"/>
        </w:rPr>
        <w:t xml:space="preserve"> determined</w:t>
      </w:r>
      <w:r w:rsidRPr="004A50FB">
        <w:rPr>
          <w:szCs w:val="20"/>
          <w:lang w:val="en-US"/>
        </w:rPr>
        <w:t>.  Submissions were sought, and received, from the parties</w:t>
      </w:r>
      <w:r w:rsidR="00C911A6" w:rsidRPr="004A50FB">
        <w:rPr>
          <w:szCs w:val="20"/>
          <w:lang w:val="en-US"/>
        </w:rPr>
        <w:t>.  Th</w:t>
      </w:r>
      <w:r w:rsidRPr="004A50FB">
        <w:rPr>
          <w:szCs w:val="20"/>
          <w:lang w:val="en-US"/>
        </w:rPr>
        <w:t>ose submissions</w:t>
      </w:r>
      <w:r w:rsidR="00C911A6" w:rsidRPr="004A50FB">
        <w:rPr>
          <w:rStyle w:val="FootnoteReference"/>
          <w:szCs w:val="20"/>
          <w:lang w:val="en-US"/>
        </w:rPr>
        <w:footnoteReference w:id="1"/>
      </w:r>
      <w:r w:rsidRPr="004A50FB">
        <w:rPr>
          <w:szCs w:val="20"/>
          <w:lang w:val="en-US"/>
        </w:rPr>
        <w:t xml:space="preserve"> have been considered by the Full Bench in the determination of this matter</w:t>
      </w:r>
      <w:r>
        <w:rPr>
          <w:szCs w:val="20"/>
          <w:lang w:val="en-US"/>
        </w:rPr>
        <w:t>.</w:t>
      </w:r>
    </w:p>
    <w:p w:rsidR="006576E7" w:rsidRDefault="006576E7" w:rsidP="00063057">
      <w:pPr>
        <w:spacing w:after="0"/>
        <w:jc w:val="both"/>
        <w:rPr>
          <w:szCs w:val="20"/>
          <w:lang w:val="en-US"/>
        </w:rPr>
      </w:pPr>
    </w:p>
    <w:p w:rsidR="00C911A6" w:rsidRDefault="00C911A6" w:rsidP="00063057">
      <w:pPr>
        <w:spacing w:after="0"/>
        <w:jc w:val="both"/>
        <w:rPr>
          <w:szCs w:val="20"/>
          <w:lang w:val="en-US"/>
        </w:rPr>
      </w:pPr>
    </w:p>
    <w:p w:rsidR="00063057" w:rsidRPr="00807702" w:rsidRDefault="00807702" w:rsidP="00063057">
      <w:pPr>
        <w:spacing w:after="0"/>
        <w:jc w:val="both"/>
        <w:rPr>
          <w:b/>
          <w:i/>
          <w:szCs w:val="20"/>
          <w:lang w:val="en-US"/>
        </w:rPr>
      </w:pPr>
      <w:r w:rsidRPr="00807702">
        <w:rPr>
          <w:b/>
          <w:i/>
          <w:szCs w:val="20"/>
          <w:lang w:val="en-US"/>
        </w:rPr>
        <w:lastRenderedPageBreak/>
        <w:t xml:space="preserve">Is the </w:t>
      </w:r>
      <w:r w:rsidR="00B416FE" w:rsidRPr="00807702">
        <w:rPr>
          <w:b/>
          <w:i/>
          <w:szCs w:val="20"/>
          <w:lang w:val="en-US"/>
        </w:rPr>
        <w:t>Appeal</w:t>
      </w:r>
      <w:r w:rsidRPr="00807702">
        <w:rPr>
          <w:b/>
          <w:i/>
          <w:szCs w:val="20"/>
          <w:lang w:val="en-US"/>
        </w:rPr>
        <w:t xml:space="preserve"> Competent?</w:t>
      </w:r>
    </w:p>
    <w:p w:rsidR="00B416FE" w:rsidRPr="00942626" w:rsidRDefault="00B416FE" w:rsidP="00063057">
      <w:pPr>
        <w:spacing w:after="0"/>
        <w:jc w:val="both"/>
        <w:rPr>
          <w:szCs w:val="20"/>
          <w:lang w:val="en-US"/>
        </w:rPr>
      </w:pPr>
    </w:p>
    <w:p w:rsidR="00171A02" w:rsidRPr="005D05FB" w:rsidRDefault="00FB3B6B" w:rsidP="00031DB8">
      <w:pPr>
        <w:spacing w:after="0"/>
        <w:jc w:val="both"/>
        <w:rPr>
          <w:szCs w:val="20"/>
          <w:lang w:val="en-US"/>
        </w:rPr>
      </w:pPr>
      <w:r>
        <w:rPr>
          <w:b/>
          <w:szCs w:val="20"/>
          <w:lang w:val="en-US"/>
        </w:rPr>
        <w:t>[</w:t>
      </w:r>
      <w:r w:rsidR="006576E7">
        <w:rPr>
          <w:b/>
          <w:szCs w:val="20"/>
          <w:lang w:val="en-US"/>
        </w:rPr>
        <w:t>6</w:t>
      </w:r>
      <w:r w:rsidR="00171A02" w:rsidRPr="005C0D39">
        <w:rPr>
          <w:b/>
          <w:szCs w:val="20"/>
          <w:lang w:val="en-US"/>
        </w:rPr>
        <w:t>]</w:t>
      </w:r>
      <w:r w:rsidR="00A94813">
        <w:rPr>
          <w:szCs w:val="20"/>
          <w:lang w:val="en-US"/>
        </w:rPr>
        <w:tab/>
        <w:t>The A</w:t>
      </w:r>
      <w:r w:rsidR="00171A02">
        <w:rPr>
          <w:szCs w:val="20"/>
          <w:lang w:val="en-US"/>
        </w:rPr>
        <w:t>ppellant’s appeal is made und</w:t>
      </w:r>
      <w:r w:rsidR="00031DB8">
        <w:rPr>
          <w:szCs w:val="20"/>
          <w:lang w:val="en-US"/>
        </w:rPr>
        <w:t>er s70(1)(b) of the Act.</w:t>
      </w:r>
    </w:p>
    <w:p w:rsidR="00171A02" w:rsidRPr="00171A02" w:rsidRDefault="00171A02" w:rsidP="00171A02">
      <w:pPr>
        <w:spacing w:after="0"/>
        <w:jc w:val="both"/>
        <w:rPr>
          <w:szCs w:val="20"/>
          <w:lang w:val="en-US"/>
        </w:rPr>
      </w:pPr>
    </w:p>
    <w:p w:rsidR="00FB3B6B" w:rsidRDefault="005E4602" w:rsidP="00171A02">
      <w:pPr>
        <w:spacing w:after="0"/>
        <w:jc w:val="both"/>
        <w:rPr>
          <w:szCs w:val="20"/>
          <w:lang w:val="en-US"/>
        </w:rPr>
      </w:pPr>
      <w:r>
        <w:rPr>
          <w:b/>
          <w:szCs w:val="20"/>
          <w:lang w:val="en-US"/>
        </w:rPr>
        <w:t>[</w:t>
      </w:r>
      <w:r w:rsidR="006576E7">
        <w:rPr>
          <w:b/>
          <w:szCs w:val="20"/>
          <w:lang w:val="en-US"/>
        </w:rPr>
        <w:t>7</w:t>
      </w:r>
      <w:r w:rsidR="007F4428" w:rsidRPr="0013531C">
        <w:rPr>
          <w:b/>
          <w:szCs w:val="20"/>
          <w:lang w:val="en-US"/>
        </w:rPr>
        <w:t>]</w:t>
      </w:r>
      <w:r w:rsidR="007F4428" w:rsidRPr="0013531C">
        <w:rPr>
          <w:b/>
          <w:szCs w:val="20"/>
          <w:lang w:val="en-US"/>
        </w:rPr>
        <w:tab/>
      </w:r>
      <w:r w:rsidR="00B416FE">
        <w:rPr>
          <w:szCs w:val="20"/>
          <w:lang w:val="en-US"/>
        </w:rPr>
        <w:t xml:space="preserve">The respondent submits that </w:t>
      </w:r>
      <w:r w:rsidR="00FB3B6B">
        <w:rPr>
          <w:szCs w:val="20"/>
          <w:lang w:val="en-US"/>
        </w:rPr>
        <w:t xml:space="preserve">in line with the authority established in </w:t>
      </w:r>
      <w:r w:rsidR="00FB3B6B" w:rsidRPr="004A50FB">
        <w:rPr>
          <w:i/>
          <w:szCs w:val="20"/>
          <w:lang w:val="en-US"/>
        </w:rPr>
        <w:t>Port of Devonport Corporation Pty Ltd v Abey</w:t>
      </w:r>
      <w:r w:rsidR="00FB3B6B">
        <w:rPr>
          <w:szCs w:val="20"/>
          <w:lang w:val="en-US"/>
        </w:rPr>
        <w:t xml:space="preserve"> [2005] TASSC97 at [20] per Crawford J, the Full Bench is obliged to determine whether it has jurisdiction in relation to an Appeal.</w:t>
      </w:r>
      <w:r w:rsidR="00E04B22">
        <w:rPr>
          <w:rStyle w:val="FootnoteReference"/>
          <w:szCs w:val="20"/>
          <w:lang w:val="en-US"/>
        </w:rPr>
        <w:footnoteReference w:id="2"/>
      </w:r>
    </w:p>
    <w:p w:rsidR="00FB3B6B" w:rsidRDefault="00FB3B6B" w:rsidP="00171A02">
      <w:pPr>
        <w:spacing w:after="0"/>
        <w:jc w:val="both"/>
        <w:rPr>
          <w:szCs w:val="20"/>
          <w:lang w:val="en-US"/>
        </w:rPr>
      </w:pPr>
    </w:p>
    <w:p w:rsidR="00FB3B6B" w:rsidRDefault="006576E7" w:rsidP="00171A02">
      <w:pPr>
        <w:spacing w:after="0"/>
        <w:jc w:val="both"/>
        <w:rPr>
          <w:szCs w:val="20"/>
          <w:lang w:val="en-US"/>
        </w:rPr>
      </w:pPr>
      <w:r>
        <w:rPr>
          <w:b/>
          <w:szCs w:val="20"/>
          <w:lang w:val="en-US"/>
        </w:rPr>
        <w:t>[8</w:t>
      </w:r>
      <w:r w:rsidR="00FB3B6B" w:rsidRPr="00F54ACE">
        <w:rPr>
          <w:b/>
          <w:szCs w:val="20"/>
          <w:lang w:val="en-US"/>
        </w:rPr>
        <w:t>]</w:t>
      </w:r>
      <w:r w:rsidR="00FB3B6B">
        <w:rPr>
          <w:szCs w:val="20"/>
          <w:lang w:val="en-US"/>
        </w:rPr>
        <w:tab/>
      </w:r>
      <w:r w:rsidR="00A94813">
        <w:rPr>
          <w:szCs w:val="20"/>
          <w:lang w:val="en-US"/>
        </w:rPr>
        <w:t>The Respondent i</w:t>
      </w:r>
      <w:r w:rsidR="00FE0382">
        <w:rPr>
          <w:szCs w:val="20"/>
          <w:lang w:val="en-US"/>
        </w:rPr>
        <w:t xml:space="preserve">s of the opinion that whilst the President was invested with jurisdiction to make an ‘order in writing’ directing </w:t>
      </w:r>
      <w:r w:rsidR="00FE0382" w:rsidRPr="00FE0382">
        <w:rPr>
          <w:i/>
          <w:szCs w:val="20"/>
          <w:lang w:val="en-US"/>
        </w:rPr>
        <w:t>“that anything should be required to be done, or that any action should be required to be taken, for the purpose of… settling the industrial dispute…”</w:t>
      </w:r>
      <w:r w:rsidR="00FE0382">
        <w:rPr>
          <w:szCs w:val="20"/>
          <w:lang w:val="en-US"/>
        </w:rPr>
        <w:t>,</w:t>
      </w:r>
      <w:r w:rsidR="00FE0382">
        <w:rPr>
          <w:rStyle w:val="FootnoteReference"/>
          <w:szCs w:val="20"/>
          <w:lang w:val="en-US"/>
        </w:rPr>
        <w:footnoteReference w:id="3"/>
      </w:r>
      <w:r w:rsidR="00FE0382">
        <w:rPr>
          <w:szCs w:val="20"/>
          <w:lang w:val="en-US"/>
        </w:rPr>
        <w:t xml:space="preserve"> he determined that the Appellant’s termination was a decision open to the employer</w:t>
      </w:r>
      <w:r w:rsidR="00F54ACE">
        <w:rPr>
          <w:szCs w:val="20"/>
          <w:lang w:val="en-US"/>
        </w:rPr>
        <w:t>, declined to interfere with that termination</w:t>
      </w:r>
      <w:r w:rsidR="00FE0382">
        <w:rPr>
          <w:szCs w:val="20"/>
          <w:lang w:val="en-US"/>
        </w:rPr>
        <w:t xml:space="preserve"> and dismissed the Appellant’s originating application.</w:t>
      </w:r>
      <w:r w:rsidR="00F54ACE">
        <w:rPr>
          <w:rStyle w:val="FootnoteReference"/>
          <w:szCs w:val="20"/>
          <w:lang w:val="en-US"/>
        </w:rPr>
        <w:footnoteReference w:id="4"/>
      </w:r>
    </w:p>
    <w:p w:rsidR="00F54ACE" w:rsidRDefault="00F54ACE" w:rsidP="00171A02">
      <w:pPr>
        <w:spacing w:after="0"/>
        <w:jc w:val="both"/>
        <w:rPr>
          <w:szCs w:val="20"/>
          <w:lang w:val="en-US"/>
        </w:rPr>
      </w:pPr>
    </w:p>
    <w:p w:rsidR="00031DB8" w:rsidRPr="00031DB8" w:rsidRDefault="00F54ACE" w:rsidP="0045271E">
      <w:pPr>
        <w:spacing w:after="0"/>
        <w:jc w:val="both"/>
        <w:rPr>
          <w:szCs w:val="20"/>
          <w:lang w:val="en-US"/>
        </w:rPr>
      </w:pPr>
      <w:r w:rsidRPr="00F54ACE">
        <w:rPr>
          <w:b/>
          <w:szCs w:val="20"/>
          <w:lang w:val="en-US"/>
        </w:rPr>
        <w:t>[</w:t>
      </w:r>
      <w:r w:rsidR="006576E7">
        <w:rPr>
          <w:b/>
          <w:szCs w:val="20"/>
          <w:lang w:val="en-US"/>
        </w:rPr>
        <w:t>9</w:t>
      </w:r>
      <w:r w:rsidRPr="00F54ACE">
        <w:rPr>
          <w:b/>
          <w:szCs w:val="20"/>
          <w:lang w:val="en-US"/>
        </w:rPr>
        <w:t>]</w:t>
      </w:r>
      <w:r>
        <w:rPr>
          <w:szCs w:val="20"/>
          <w:lang w:val="en-US"/>
        </w:rPr>
        <w:tab/>
      </w:r>
      <w:r w:rsidR="00A94813">
        <w:rPr>
          <w:szCs w:val="20"/>
          <w:lang w:val="en-US"/>
        </w:rPr>
        <w:t xml:space="preserve">The </w:t>
      </w:r>
      <w:r>
        <w:rPr>
          <w:szCs w:val="20"/>
          <w:lang w:val="en-US"/>
        </w:rPr>
        <w:t xml:space="preserve">Respondent </w:t>
      </w:r>
      <w:r w:rsidR="00A94813">
        <w:rPr>
          <w:szCs w:val="20"/>
          <w:lang w:val="en-US"/>
        </w:rPr>
        <w:t xml:space="preserve">contends </w:t>
      </w:r>
      <w:r>
        <w:rPr>
          <w:szCs w:val="20"/>
          <w:lang w:val="en-US"/>
        </w:rPr>
        <w:t xml:space="preserve">that the wording of s70(1)(b) is clear </w:t>
      </w:r>
      <w:r w:rsidR="00686A6C">
        <w:rPr>
          <w:szCs w:val="20"/>
          <w:lang w:val="en-US"/>
        </w:rPr>
        <w:t xml:space="preserve">in </w:t>
      </w:r>
      <w:r>
        <w:rPr>
          <w:szCs w:val="20"/>
          <w:lang w:val="en-US"/>
        </w:rPr>
        <w:t xml:space="preserve">that a right to appeal a matter to a Full Bench of the Tasmanian Industrial Commission only exists if the appeal is </w:t>
      </w:r>
      <w:r w:rsidRPr="00F54ACE">
        <w:rPr>
          <w:i/>
          <w:szCs w:val="20"/>
          <w:lang w:val="en-US"/>
        </w:rPr>
        <w:t>“made against an order made by a Commissioner under section 31(1)”</w:t>
      </w:r>
      <w:r w:rsidR="00031DB8">
        <w:rPr>
          <w:i/>
          <w:szCs w:val="20"/>
          <w:lang w:val="en-US"/>
        </w:rPr>
        <w:t xml:space="preserve">.  </w:t>
      </w:r>
      <w:r w:rsidR="00031DB8">
        <w:rPr>
          <w:szCs w:val="20"/>
          <w:lang w:val="en-US"/>
        </w:rPr>
        <w:t>It follows, the Respondent says, that as the President did not make an order pursuant to section 31</w:t>
      </w:r>
      <w:r w:rsidR="004A50FB">
        <w:rPr>
          <w:szCs w:val="20"/>
          <w:lang w:val="en-US"/>
        </w:rPr>
        <w:t xml:space="preserve"> of the Act</w:t>
      </w:r>
      <w:r w:rsidR="00031DB8">
        <w:rPr>
          <w:szCs w:val="20"/>
          <w:lang w:val="en-US"/>
        </w:rPr>
        <w:t xml:space="preserve">, </w:t>
      </w:r>
      <w:r w:rsidR="0045271E">
        <w:rPr>
          <w:szCs w:val="20"/>
          <w:lang w:val="en-US"/>
        </w:rPr>
        <w:t>the</w:t>
      </w:r>
      <w:r w:rsidR="00031DB8">
        <w:rPr>
          <w:szCs w:val="20"/>
          <w:lang w:val="en-US"/>
        </w:rPr>
        <w:t xml:space="preserve"> Supreme Court of Tasmania decision in </w:t>
      </w:r>
      <w:r w:rsidR="00031DB8" w:rsidRPr="00031DB8">
        <w:rPr>
          <w:i/>
          <w:szCs w:val="20"/>
          <w:lang w:val="en-US"/>
        </w:rPr>
        <w:t>Bennett v Bartlett Minister Administering the State Service Act [2009] TASSC 95</w:t>
      </w:r>
      <w:r w:rsidR="00031DB8">
        <w:rPr>
          <w:szCs w:val="20"/>
          <w:lang w:val="en-US"/>
        </w:rPr>
        <w:t>, per Crawford CJ, Evans and Tennent JJ</w:t>
      </w:r>
      <w:r w:rsidR="0045271E">
        <w:rPr>
          <w:szCs w:val="20"/>
          <w:lang w:val="en-US"/>
        </w:rPr>
        <w:t xml:space="preserve"> (</w:t>
      </w:r>
      <w:r w:rsidR="0045271E" w:rsidRPr="0045271E">
        <w:rPr>
          <w:i/>
          <w:szCs w:val="20"/>
          <w:lang w:val="en-US"/>
        </w:rPr>
        <w:t>Bennett</w:t>
      </w:r>
      <w:r w:rsidR="0045271E">
        <w:rPr>
          <w:szCs w:val="20"/>
          <w:lang w:val="en-US"/>
        </w:rPr>
        <w:t>)</w:t>
      </w:r>
      <w:r w:rsidR="00031DB8">
        <w:rPr>
          <w:szCs w:val="20"/>
          <w:lang w:val="en-US"/>
        </w:rPr>
        <w:t xml:space="preserve"> </w:t>
      </w:r>
      <w:r w:rsidR="0045271E">
        <w:rPr>
          <w:szCs w:val="20"/>
          <w:lang w:val="en-US"/>
        </w:rPr>
        <w:t>is relevant.</w:t>
      </w:r>
    </w:p>
    <w:p w:rsidR="00F54ACE" w:rsidRDefault="00F54ACE" w:rsidP="00171A02">
      <w:pPr>
        <w:spacing w:after="0"/>
        <w:jc w:val="both"/>
        <w:rPr>
          <w:szCs w:val="20"/>
          <w:lang w:val="en-US"/>
        </w:rPr>
      </w:pPr>
    </w:p>
    <w:p w:rsidR="00F54ACE" w:rsidRDefault="00F54ACE" w:rsidP="00171A02">
      <w:pPr>
        <w:spacing w:after="0"/>
        <w:jc w:val="both"/>
        <w:rPr>
          <w:szCs w:val="20"/>
          <w:lang w:val="en-US"/>
        </w:rPr>
      </w:pPr>
      <w:r w:rsidRPr="00F54ACE">
        <w:rPr>
          <w:b/>
          <w:szCs w:val="20"/>
          <w:lang w:val="en-US"/>
        </w:rPr>
        <w:t>[</w:t>
      </w:r>
      <w:r w:rsidR="006576E7">
        <w:rPr>
          <w:b/>
          <w:szCs w:val="20"/>
          <w:lang w:val="en-US"/>
        </w:rPr>
        <w:t>10</w:t>
      </w:r>
      <w:r w:rsidRPr="00F54ACE">
        <w:rPr>
          <w:b/>
          <w:szCs w:val="20"/>
          <w:lang w:val="en-US"/>
        </w:rPr>
        <w:t>]</w:t>
      </w:r>
      <w:r w:rsidR="00E04B22">
        <w:rPr>
          <w:szCs w:val="20"/>
          <w:lang w:val="en-US"/>
        </w:rPr>
        <w:tab/>
        <w:t xml:space="preserve">The Appellant </w:t>
      </w:r>
      <w:r w:rsidR="00A94813">
        <w:rPr>
          <w:szCs w:val="20"/>
          <w:lang w:val="en-US"/>
        </w:rPr>
        <w:t>submits</w:t>
      </w:r>
      <w:r w:rsidR="006345CB">
        <w:rPr>
          <w:szCs w:val="20"/>
          <w:lang w:val="en-US"/>
        </w:rPr>
        <w:t xml:space="preserve"> that </w:t>
      </w:r>
      <w:r w:rsidR="00E04B22">
        <w:rPr>
          <w:szCs w:val="20"/>
          <w:lang w:val="en-US"/>
        </w:rPr>
        <w:t xml:space="preserve">he had made an application as to the termination of his employment under both s29(1A) of the Act and also under s50(1)(b) of the </w:t>
      </w:r>
      <w:r w:rsidR="00E04B22" w:rsidRPr="00E04B22">
        <w:rPr>
          <w:i/>
          <w:szCs w:val="20"/>
          <w:lang w:val="en-US"/>
        </w:rPr>
        <w:t>State Service Act 2000</w:t>
      </w:r>
      <w:r w:rsidR="001A1F97">
        <w:rPr>
          <w:i/>
          <w:szCs w:val="20"/>
          <w:lang w:val="en-US"/>
        </w:rPr>
        <w:t xml:space="preserve"> </w:t>
      </w:r>
      <w:r w:rsidR="001A1F97" w:rsidRPr="001A1F97">
        <w:rPr>
          <w:szCs w:val="20"/>
          <w:lang w:val="en-US"/>
        </w:rPr>
        <w:t>(the SS Act)</w:t>
      </w:r>
      <w:r w:rsidR="00E04B22" w:rsidRPr="001A1F97">
        <w:rPr>
          <w:szCs w:val="20"/>
          <w:lang w:val="en-US"/>
        </w:rPr>
        <w:t>,</w:t>
      </w:r>
      <w:r w:rsidR="00E04B22">
        <w:rPr>
          <w:i/>
          <w:szCs w:val="20"/>
          <w:lang w:val="en-US"/>
        </w:rPr>
        <w:t xml:space="preserve"> </w:t>
      </w:r>
      <w:r w:rsidR="00E04B22" w:rsidRPr="00E04B22">
        <w:rPr>
          <w:szCs w:val="20"/>
          <w:lang w:val="en-US"/>
        </w:rPr>
        <w:t>however only the s29(1A) application under the Act had been progressed</w:t>
      </w:r>
      <w:r w:rsidR="00E04B22">
        <w:rPr>
          <w:szCs w:val="20"/>
          <w:lang w:val="en-US"/>
        </w:rPr>
        <w:t>.</w:t>
      </w:r>
    </w:p>
    <w:p w:rsidR="00F54ACE" w:rsidRDefault="00F54ACE" w:rsidP="00171A02">
      <w:pPr>
        <w:spacing w:after="0"/>
        <w:jc w:val="both"/>
        <w:rPr>
          <w:szCs w:val="20"/>
          <w:lang w:val="en-US"/>
        </w:rPr>
      </w:pPr>
    </w:p>
    <w:p w:rsidR="00F54ACE" w:rsidRDefault="006576E7" w:rsidP="00171A02">
      <w:pPr>
        <w:spacing w:after="0"/>
        <w:jc w:val="both"/>
        <w:rPr>
          <w:szCs w:val="20"/>
          <w:lang w:val="en-US"/>
        </w:rPr>
      </w:pPr>
      <w:r>
        <w:rPr>
          <w:b/>
          <w:szCs w:val="20"/>
          <w:lang w:val="en-US"/>
        </w:rPr>
        <w:t>[11</w:t>
      </w:r>
      <w:r w:rsidR="00F54ACE" w:rsidRPr="00F54ACE">
        <w:rPr>
          <w:b/>
          <w:szCs w:val="20"/>
          <w:lang w:val="en-US"/>
        </w:rPr>
        <w:t>]</w:t>
      </w:r>
      <w:r w:rsidR="00E04B22">
        <w:rPr>
          <w:szCs w:val="20"/>
          <w:lang w:val="en-US"/>
        </w:rPr>
        <w:tab/>
      </w:r>
      <w:r w:rsidR="00A94813">
        <w:rPr>
          <w:szCs w:val="20"/>
          <w:lang w:val="en-US"/>
        </w:rPr>
        <w:t>Further the Appellant submits</w:t>
      </w:r>
      <w:r w:rsidR="00E04B22">
        <w:rPr>
          <w:szCs w:val="20"/>
          <w:lang w:val="en-US"/>
        </w:rPr>
        <w:t xml:space="preserve"> that the hearing before the President under s29 of the Act was a de novo process which required the President to determine afresh the matters involved in the termination of his employment </w:t>
      </w:r>
      <w:r w:rsidR="00686A6C">
        <w:rPr>
          <w:szCs w:val="20"/>
          <w:lang w:val="en-US"/>
        </w:rPr>
        <w:t>and</w:t>
      </w:r>
      <w:r w:rsidR="00E04B22">
        <w:rPr>
          <w:szCs w:val="20"/>
          <w:lang w:val="en-US"/>
        </w:rPr>
        <w:t xml:space="preserve"> requiring findings be made which went to the substance of the decision</w:t>
      </w:r>
      <w:r w:rsidR="00686A6C">
        <w:rPr>
          <w:szCs w:val="20"/>
          <w:lang w:val="en-US"/>
        </w:rPr>
        <w:t>.  The Appellant says</w:t>
      </w:r>
      <w:r w:rsidR="00E04B22">
        <w:rPr>
          <w:szCs w:val="20"/>
          <w:lang w:val="en-US"/>
        </w:rPr>
        <w:t xml:space="preserve"> therefore the appeal is within jurisdiction.</w:t>
      </w:r>
      <w:r w:rsidR="00E04B22">
        <w:rPr>
          <w:rStyle w:val="FootnoteReference"/>
          <w:szCs w:val="20"/>
          <w:lang w:val="en-US"/>
        </w:rPr>
        <w:footnoteReference w:id="5"/>
      </w:r>
    </w:p>
    <w:p w:rsidR="00F54ACE" w:rsidRDefault="00F54ACE" w:rsidP="00171A02">
      <w:pPr>
        <w:spacing w:after="0"/>
        <w:jc w:val="both"/>
        <w:rPr>
          <w:szCs w:val="20"/>
          <w:lang w:val="en-US"/>
        </w:rPr>
      </w:pPr>
    </w:p>
    <w:p w:rsidR="0045271E" w:rsidRDefault="006576E7" w:rsidP="00171A02">
      <w:pPr>
        <w:spacing w:after="0"/>
        <w:jc w:val="both"/>
        <w:rPr>
          <w:szCs w:val="20"/>
          <w:lang w:val="en-US"/>
        </w:rPr>
      </w:pPr>
      <w:r>
        <w:rPr>
          <w:b/>
          <w:szCs w:val="20"/>
          <w:lang w:val="en-US"/>
        </w:rPr>
        <w:t>[12</w:t>
      </w:r>
      <w:r w:rsidR="00F54ACE" w:rsidRPr="00F54ACE">
        <w:rPr>
          <w:b/>
          <w:szCs w:val="20"/>
          <w:lang w:val="en-US"/>
        </w:rPr>
        <w:t>]</w:t>
      </w:r>
      <w:r w:rsidR="001A1F97">
        <w:rPr>
          <w:szCs w:val="20"/>
          <w:lang w:val="en-US"/>
        </w:rPr>
        <w:tab/>
        <w:t xml:space="preserve">The Respondent relies on s50(3) of the </w:t>
      </w:r>
      <w:r w:rsidR="001A1F97" w:rsidRPr="001A1F97">
        <w:rPr>
          <w:szCs w:val="20"/>
          <w:lang w:val="en-US"/>
        </w:rPr>
        <w:t>SS Act</w:t>
      </w:r>
      <w:r w:rsidR="001A1F97">
        <w:rPr>
          <w:i/>
          <w:szCs w:val="20"/>
          <w:lang w:val="en-US"/>
        </w:rPr>
        <w:t xml:space="preserve"> </w:t>
      </w:r>
      <w:r w:rsidR="001A1F97">
        <w:rPr>
          <w:szCs w:val="20"/>
          <w:lang w:val="en-US"/>
        </w:rPr>
        <w:t>which provides</w:t>
      </w:r>
      <w:r w:rsidR="0045271E">
        <w:rPr>
          <w:szCs w:val="20"/>
          <w:lang w:val="en-US"/>
        </w:rPr>
        <w:t>:</w:t>
      </w:r>
    </w:p>
    <w:p w:rsidR="0045271E" w:rsidRDefault="0045271E" w:rsidP="00171A02">
      <w:pPr>
        <w:spacing w:after="0"/>
        <w:jc w:val="both"/>
        <w:rPr>
          <w:szCs w:val="20"/>
          <w:lang w:val="en-US"/>
        </w:rPr>
      </w:pPr>
    </w:p>
    <w:p w:rsidR="001A1F97" w:rsidRDefault="001A1F97" w:rsidP="0045271E">
      <w:pPr>
        <w:spacing w:after="0"/>
        <w:ind w:left="993"/>
        <w:jc w:val="both"/>
        <w:rPr>
          <w:szCs w:val="20"/>
          <w:lang w:val="en-US"/>
        </w:rPr>
      </w:pPr>
      <w:r w:rsidRPr="001A1F97">
        <w:rPr>
          <w:i/>
          <w:szCs w:val="20"/>
          <w:lang w:val="en-US"/>
        </w:rPr>
        <w:t>“An employee is not entitled to make an application for a review under subsection (1)(b) in respect of the termination of the employee’s employment”</w:t>
      </w:r>
      <w:r>
        <w:rPr>
          <w:i/>
          <w:szCs w:val="20"/>
          <w:lang w:val="en-US"/>
        </w:rPr>
        <w:t>.</w:t>
      </w:r>
    </w:p>
    <w:p w:rsidR="001A1F97" w:rsidRDefault="001A1F97" w:rsidP="00171A02">
      <w:pPr>
        <w:spacing w:after="0"/>
        <w:jc w:val="both"/>
        <w:rPr>
          <w:szCs w:val="20"/>
          <w:lang w:val="en-US"/>
        </w:rPr>
      </w:pPr>
    </w:p>
    <w:p w:rsidR="0045271E" w:rsidRDefault="006576E7" w:rsidP="00171A02">
      <w:pPr>
        <w:spacing w:after="0"/>
        <w:jc w:val="both"/>
        <w:rPr>
          <w:szCs w:val="20"/>
          <w:lang w:val="en-US"/>
        </w:rPr>
      </w:pPr>
      <w:r>
        <w:rPr>
          <w:b/>
          <w:szCs w:val="20"/>
          <w:lang w:val="en-US"/>
        </w:rPr>
        <w:t>[13</w:t>
      </w:r>
      <w:r w:rsidR="001A1F97" w:rsidRPr="0045271E">
        <w:rPr>
          <w:b/>
          <w:szCs w:val="20"/>
          <w:lang w:val="en-US"/>
        </w:rPr>
        <w:t>]</w:t>
      </w:r>
      <w:r w:rsidR="001A1F97">
        <w:rPr>
          <w:szCs w:val="20"/>
          <w:lang w:val="en-US"/>
        </w:rPr>
        <w:tab/>
        <w:t xml:space="preserve">The Full Bench also notes that s50(4) of the SS Act provides </w:t>
      </w:r>
      <w:r w:rsidR="0045271E" w:rsidRPr="0045271E">
        <w:rPr>
          <w:i/>
          <w:szCs w:val="20"/>
          <w:lang w:val="en-US"/>
        </w:rPr>
        <w:t>“</w:t>
      </w:r>
      <w:r w:rsidR="001A1F97" w:rsidRPr="0045271E">
        <w:rPr>
          <w:i/>
          <w:szCs w:val="20"/>
          <w:lang w:val="en-US"/>
        </w:rPr>
        <w:t>Notwithstanding anything contained in subsection (1), (2) or (3), disputes in relation to the decision to terminate employment are to be dealt with by the appropriate industrial tribunal in accordance with the legislation under which that tribunal is established.”</w:t>
      </w:r>
      <w:r w:rsidR="0045271E">
        <w:rPr>
          <w:szCs w:val="20"/>
          <w:lang w:val="en-US"/>
        </w:rPr>
        <w:t xml:space="preserve">  The appropriate industrial</w:t>
      </w:r>
      <w:r w:rsidR="001A1F97">
        <w:rPr>
          <w:szCs w:val="20"/>
          <w:lang w:val="en-US"/>
        </w:rPr>
        <w:t xml:space="preserve"> tribunal </w:t>
      </w:r>
      <w:r w:rsidR="00A94813">
        <w:rPr>
          <w:szCs w:val="20"/>
          <w:lang w:val="en-US"/>
        </w:rPr>
        <w:t>referenced in s50(4</w:t>
      </w:r>
      <w:r w:rsidR="0045271E">
        <w:rPr>
          <w:szCs w:val="20"/>
          <w:lang w:val="en-US"/>
        </w:rPr>
        <w:t xml:space="preserve">) </w:t>
      </w:r>
      <w:r w:rsidR="001A1F97">
        <w:rPr>
          <w:szCs w:val="20"/>
          <w:lang w:val="en-US"/>
        </w:rPr>
        <w:t xml:space="preserve">is the Tasmanian Industrial Commission and the </w:t>
      </w:r>
      <w:r w:rsidR="0045271E">
        <w:rPr>
          <w:szCs w:val="20"/>
          <w:lang w:val="en-US"/>
        </w:rPr>
        <w:t xml:space="preserve">appropriate </w:t>
      </w:r>
      <w:r w:rsidR="00686A6C">
        <w:rPr>
          <w:szCs w:val="20"/>
          <w:lang w:val="en-US"/>
        </w:rPr>
        <w:t>legislation</w:t>
      </w:r>
      <w:r w:rsidR="0045271E">
        <w:rPr>
          <w:szCs w:val="20"/>
          <w:lang w:val="en-US"/>
        </w:rPr>
        <w:t xml:space="preserve"> dealing with unfair terminations is s29(1A)</w:t>
      </w:r>
      <w:r w:rsidR="00686A6C">
        <w:rPr>
          <w:szCs w:val="20"/>
          <w:lang w:val="en-US"/>
        </w:rPr>
        <w:t xml:space="preserve"> of the Act</w:t>
      </w:r>
      <w:r w:rsidR="0045271E">
        <w:rPr>
          <w:szCs w:val="20"/>
          <w:lang w:val="en-US"/>
        </w:rPr>
        <w:t>.  This is the section of the Act that was used by the Appellant to progress his unfair termination application</w:t>
      </w:r>
      <w:r w:rsidR="00686A6C">
        <w:rPr>
          <w:szCs w:val="20"/>
          <w:lang w:val="en-US"/>
        </w:rPr>
        <w:t xml:space="preserve"> before President Abey</w:t>
      </w:r>
      <w:r w:rsidR="0045271E">
        <w:rPr>
          <w:szCs w:val="20"/>
          <w:lang w:val="en-US"/>
        </w:rPr>
        <w:t>.</w:t>
      </w:r>
    </w:p>
    <w:p w:rsidR="0045271E" w:rsidRDefault="0045271E" w:rsidP="00171A02">
      <w:pPr>
        <w:spacing w:after="0"/>
        <w:jc w:val="both"/>
        <w:rPr>
          <w:szCs w:val="20"/>
          <w:lang w:val="en-US"/>
        </w:rPr>
      </w:pPr>
    </w:p>
    <w:p w:rsidR="001A1F97" w:rsidRPr="001A1F97" w:rsidRDefault="006576E7" w:rsidP="00171A02">
      <w:pPr>
        <w:spacing w:after="0"/>
        <w:jc w:val="both"/>
        <w:rPr>
          <w:szCs w:val="20"/>
          <w:lang w:val="en-US"/>
        </w:rPr>
      </w:pPr>
      <w:r>
        <w:rPr>
          <w:b/>
          <w:szCs w:val="20"/>
          <w:lang w:val="en-US"/>
        </w:rPr>
        <w:t>[14</w:t>
      </w:r>
      <w:r w:rsidR="0045271E" w:rsidRPr="0045271E">
        <w:rPr>
          <w:b/>
          <w:szCs w:val="20"/>
          <w:lang w:val="en-US"/>
        </w:rPr>
        <w:t>]</w:t>
      </w:r>
      <w:r w:rsidR="0045271E">
        <w:rPr>
          <w:szCs w:val="20"/>
          <w:lang w:val="en-US"/>
        </w:rPr>
        <w:tab/>
        <w:t xml:space="preserve">It follows that we are of the view that the Appellant’s submissions, as they relate to the inference of some error </w:t>
      </w:r>
      <w:r w:rsidR="00686A6C">
        <w:rPr>
          <w:szCs w:val="20"/>
          <w:lang w:val="en-US"/>
        </w:rPr>
        <w:t>arising</w:t>
      </w:r>
      <w:r w:rsidR="0045271E">
        <w:rPr>
          <w:szCs w:val="20"/>
          <w:lang w:val="en-US"/>
        </w:rPr>
        <w:t xml:space="preserve"> due to </w:t>
      </w:r>
      <w:r w:rsidR="00686A6C">
        <w:rPr>
          <w:szCs w:val="20"/>
          <w:lang w:val="en-US"/>
        </w:rPr>
        <w:t xml:space="preserve">the non-progression of </w:t>
      </w:r>
      <w:r w:rsidR="0045271E">
        <w:rPr>
          <w:szCs w:val="20"/>
          <w:lang w:val="en-US"/>
        </w:rPr>
        <w:t xml:space="preserve">his s50(1)(b) State </w:t>
      </w:r>
      <w:r w:rsidR="0045271E">
        <w:rPr>
          <w:szCs w:val="20"/>
          <w:lang w:val="en-US"/>
        </w:rPr>
        <w:lastRenderedPageBreak/>
        <w:t>Service review, are without merit.  There is no jurisdiction vested in the Tasmanian Industrial Commission to hear and determine State Service reviews under s50(1)(b) which relate to terminations of employment.</w:t>
      </w:r>
    </w:p>
    <w:p w:rsidR="005C0D39" w:rsidRDefault="005C0D39" w:rsidP="00063057">
      <w:pPr>
        <w:spacing w:after="0"/>
        <w:jc w:val="both"/>
        <w:rPr>
          <w:szCs w:val="20"/>
          <w:lang w:val="en-US"/>
        </w:rPr>
      </w:pPr>
    </w:p>
    <w:p w:rsidR="0045271E" w:rsidRDefault="006576E7" w:rsidP="0045271E">
      <w:pPr>
        <w:spacing w:after="0"/>
        <w:jc w:val="both"/>
        <w:rPr>
          <w:szCs w:val="20"/>
          <w:lang w:val="en-US"/>
        </w:rPr>
      </w:pPr>
      <w:r>
        <w:rPr>
          <w:b/>
          <w:szCs w:val="20"/>
          <w:lang w:val="en-US"/>
        </w:rPr>
        <w:t>[15</w:t>
      </w:r>
      <w:r w:rsidR="00B67EF3" w:rsidRPr="00200F27">
        <w:rPr>
          <w:b/>
          <w:szCs w:val="20"/>
          <w:lang w:val="en-US"/>
        </w:rPr>
        <w:t>]</w:t>
      </w:r>
      <w:r w:rsidR="0045271E">
        <w:rPr>
          <w:szCs w:val="20"/>
          <w:lang w:val="en-US"/>
        </w:rPr>
        <w:tab/>
      </w:r>
      <w:r w:rsidR="00247C00">
        <w:rPr>
          <w:szCs w:val="20"/>
          <w:lang w:val="en-US"/>
        </w:rPr>
        <w:t>Relevantly t</w:t>
      </w:r>
      <w:r w:rsidR="0045271E">
        <w:rPr>
          <w:szCs w:val="20"/>
          <w:lang w:val="en-US"/>
        </w:rPr>
        <w:t xml:space="preserve">he Full Court of the Supreme Court of Tasmania </w:t>
      </w:r>
      <w:r w:rsidR="00247C00">
        <w:rPr>
          <w:szCs w:val="20"/>
          <w:lang w:val="en-US"/>
        </w:rPr>
        <w:t xml:space="preserve">in </w:t>
      </w:r>
      <w:r w:rsidR="00247C00">
        <w:rPr>
          <w:i/>
          <w:szCs w:val="20"/>
          <w:lang w:val="en-US"/>
        </w:rPr>
        <w:t xml:space="preserve">Bennett </w:t>
      </w:r>
      <w:r w:rsidR="00247C00" w:rsidRPr="00247C00">
        <w:rPr>
          <w:szCs w:val="20"/>
          <w:lang w:val="en-US"/>
        </w:rPr>
        <w:t xml:space="preserve">held </w:t>
      </w:r>
      <w:r w:rsidR="0045271E">
        <w:rPr>
          <w:szCs w:val="20"/>
          <w:lang w:val="en-US"/>
        </w:rPr>
        <w:t>at paragraphs 16 to 18:</w:t>
      </w:r>
    </w:p>
    <w:p w:rsidR="0045271E" w:rsidRDefault="0045271E" w:rsidP="0045271E">
      <w:pPr>
        <w:spacing w:after="0"/>
        <w:jc w:val="both"/>
        <w:rPr>
          <w:szCs w:val="20"/>
          <w:lang w:val="en-US"/>
        </w:rPr>
      </w:pPr>
    </w:p>
    <w:p w:rsidR="0045271E" w:rsidRDefault="0045271E" w:rsidP="0045271E">
      <w:pPr>
        <w:spacing w:after="0"/>
        <w:ind w:left="993"/>
        <w:jc w:val="both"/>
        <w:rPr>
          <w:szCs w:val="20"/>
          <w:lang w:val="en-US"/>
        </w:rPr>
      </w:pPr>
      <w:r>
        <w:rPr>
          <w:szCs w:val="20"/>
          <w:lang w:val="en-US"/>
        </w:rPr>
        <w:t>16.</w:t>
      </w:r>
      <w:r>
        <w:rPr>
          <w:szCs w:val="20"/>
          <w:lang w:val="en-US"/>
        </w:rPr>
        <w:tab/>
        <w:t>The only right of appeal relied upon by the appellant is that given by s70(1)(b).  It permits an appeal to the Full Bench against “an order made by a Commissioner under section 31(1) after a hearing relating to an industrial dispute in respect of … any termination of employment … by … the party who applied for the hearing …”.  The question that arises is whether the order of dismissal that was made by the Commissioner was an order under s31(1).  It is in the following terms:</w:t>
      </w:r>
    </w:p>
    <w:p w:rsidR="0045271E" w:rsidRDefault="0045271E" w:rsidP="0045271E">
      <w:pPr>
        <w:spacing w:after="0"/>
        <w:ind w:left="993"/>
        <w:jc w:val="both"/>
        <w:rPr>
          <w:szCs w:val="20"/>
          <w:lang w:val="en-US"/>
        </w:rPr>
      </w:pPr>
    </w:p>
    <w:p w:rsidR="0045271E" w:rsidRDefault="0045271E" w:rsidP="0045271E">
      <w:pPr>
        <w:spacing w:after="0"/>
        <w:ind w:left="1560"/>
        <w:jc w:val="both"/>
        <w:rPr>
          <w:szCs w:val="20"/>
          <w:lang w:val="en-US"/>
        </w:rPr>
      </w:pPr>
      <w:r>
        <w:rPr>
          <w:szCs w:val="20"/>
          <w:lang w:val="en-US"/>
        </w:rPr>
        <w:t>“(1) Subject to this section, where the Commissioner presiding at a hearing under section 29 is of the opinion, after affording the parties at the hearing a reasonable opportunity to make any relevant submissions and considering the views expressed at the hearing, that anything should be required to be done, or that any action should be required to be taken, for the purpose of preventing or settling the industrial dispute in respect of which the hearing was convened, that Commissioner may, by order in writing, direct that that thing is to be done or that action is to be taken.”</w:t>
      </w:r>
    </w:p>
    <w:p w:rsidR="0045271E" w:rsidRDefault="0045271E" w:rsidP="0045271E">
      <w:pPr>
        <w:spacing w:after="0"/>
        <w:ind w:left="993"/>
        <w:jc w:val="both"/>
        <w:rPr>
          <w:szCs w:val="20"/>
          <w:lang w:val="en-US"/>
        </w:rPr>
      </w:pPr>
    </w:p>
    <w:p w:rsidR="0045271E" w:rsidRDefault="00686A6C" w:rsidP="0045271E">
      <w:pPr>
        <w:spacing w:after="0"/>
        <w:ind w:left="993"/>
        <w:jc w:val="both"/>
        <w:rPr>
          <w:szCs w:val="20"/>
          <w:lang w:val="en-US"/>
        </w:rPr>
      </w:pPr>
      <w:r>
        <w:rPr>
          <w:szCs w:val="20"/>
          <w:lang w:val="en-US"/>
        </w:rPr>
        <w:t>17.</w:t>
      </w:r>
      <w:r>
        <w:rPr>
          <w:szCs w:val="20"/>
          <w:lang w:val="en-US"/>
        </w:rPr>
        <w:tab/>
        <w:t>That provision authoris</w:t>
      </w:r>
      <w:r w:rsidR="0045271E">
        <w:rPr>
          <w:szCs w:val="20"/>
          <w:lang w:val="en-US"/>
        </w:rPr>
        <w:t>es, for the purpose of preventing or settling an industrial dispute in respect of which a hearing is convened, the making of an order directing that an</w:t>
      </w:r>
      <w:r>
        <w:rPr>
          <w:szCs w:val="20"/>
          <w:lang w:val="en-US"/>
        </w:rPr>
        <w:t>ything required to be done, be d</w:t>
      </w:r>
      <w:r w:rsidR="0045271E">
        <w:rPr>
          <w:szCs w:val="20"/>
          <w:lang w:val="en-US"/>
        </w:rPr>
        <w:t>one, or that any action required to be taken, be taken.  No order of that nature was made by the Commissioner.  The language used in s31(1) cannot be extended to include an order of dismissal.  To extend it in that way would be to abuse the language used.</w:t>
      </w:r>
    </w:p>
    <w:p w:rsidR="0045271E" w:rsidRDefault="0045271E" w:rsidP="0045271E">
      <w:pPr>
        <w:spacing w:after="0"/>
        <w:ind w:left="993"/>
        <w:jc w:val="both"/>
        <w:rPr>
          <w:szCs w:val="20"/>
          <w:lang w:val="en-US"/>
        </w:rPr>
      </w:pPr>
    </w:p>
    <w:p w:rsidR="0045271E" w:rsidRPr="00031DB8" w:rsidRDefault="0045271E" w:rsidP="0045271E">
      <w:pPr>
        <w:spacing w:after="0"/>
        <w:ind w:left="993"/>
        <w:jc w:val="both"/>
        <w:rPr>
          <w:szCs w:val="20"/>
          <w:lang w:val="en-US"/>
        </w:rPr>
      </w:pPr>
      <w:r>
        <w:rPr>
          <w:szCs w:val="20"/>
          <w:lang w:val="en-US"/>
        </w:rPr>
        <w:t>18.</w:t>
      </w:r>
      <w:r>
        <w:rPr>
          <w:szCs w:val="20"/>
          <w:lang w:val="en-US"/>
        </w:rPr>
        <w:tab/>
        <w:t>By virtue of s30(6), the appellant bore the onus of proving to the Commissioner that his employment was unfairly terminated.  If he failed to persuade the Commissioner of tha</w:t>
      </w:r>
      <w:r w:rsidR="00686A6C">
        <w:rPr>
          <w:szCs w:val="20"/>
          <w:lang w:val="en-US"/>
        </w:rPr>
        <w:t>t, the Commissioner was authoris</w:t>
      </w:r>
      <w:r>
        <w:rPr>
          <w:szCs w:val="20"/>
          <w:lang w:val="en-US"/>
        </w:rPr>
        <w:t>ed by s21(2)(c)(iv) to dismiss the matter.  That is what occurred here.  There is nothing in s70(1)(b) authorising an appeal from a dismissal.</w:t>
      </w:r>
    </w:p>
    <w:p w:rsidR="00200F27" w:rsidRDefault="00200F27" w:rsidP="00B67EF3">
      <w:pPr>
        <w:spacing w:after="0"/>
        <w:jc w:val="both"/>
        <w:rPr>
          <w:szCs w:val="20"/>
          <w:lang w:val="en-US"/>
        </w:rPr>
      </w:pPr>
    </w:p>
    <w:p w:rsidR="00934808" w:rsidRDefault="006576E7" w:rsidP="00934808">
      <w:pPr>
        <w:spacing w:after="0"/>
        <w:jc w:val="both"/>
        <w:rPr>
          <w:szCs w:val="20"/>
          <w:lang w:val="en-US"/>
        </w:rPr>
      </w:pPr>
      <w:r>
        <w:rPr>
          <w:b/>
          <w:szCs w:val="20"/>
          <w:lang w:val="en-US"/>
        </w:rPr>
        <w:t>[16</w:t>
      </w:r>
      <w:r w:rsidR="00934808" w:rsidRPr="0017458F">
        <w:rPr>
          <w:b/>
          <w:szCs w:val="20"/>
          <w:lang w:val="en-US"/>
        </w:rPr>
        <w:t>]</w:t>
      </w:r>
      <w:r w:rsidR="00934808">
        <w:rPr>
          <w:szCs w:val="20"/>
          <w:lang w:val="en-US"/>
        </w:rPr>
        <w:tab/>
        <w:t xml:space="preserve">Having regard to the authority in </w:t>
      </w:r>
      <w:r w:rsidR="00934808" w:rsidRPr="00934808">
        <w:rPr>
          <w:i/>
          <w:szCs w:val="20"/>
          <w:lang w:val="en-US"/>
        </w:rPr>
        <w:t>Bennett</w:t>
      </w:r>
      <w:r w:rsidR="00934808">
        <w:rPr>
          <w:szCs w:val="20"/>
          <w:lang w:val="en-US"/>
        </w:rPr>
        <w:t>, we are satisfied that no order was issued by the President in his decision in T14368 of 2015 and therefore no appeal lies.</w:t>
      </w:r>
    </w:p>
    <w:p w:rsidR="00934808" w:rsidRDefault="00934808" w:rsidP="00934808">
      <w:pPr>
        <w:spacing w:after="0"/>
        <w:jc w:val="both"/>
        <w:rPr>
          <w:szCs w:val="20"/>
          <w:lang w:val="en-US"/>
        </w:rPr>
      </w:pPr>
    </w:p>
    <w:p w:rsidR="00247C00" w:rsidRPr="00247C00" w:rsidRDefault="00247C00" w:rsidP="00247C00">
      <w:pPr>
        <w:spacing w:after="0"/>
        <w:jc w:val="both"/>
        <w:rPr>
          <w:b/>
          <w:szCs w:val="20"/>
          <w:lang w:val="en-US"/>
        </w:rPr>
      </w:pPr>
      <w:r w:rsidRPr="00247C00">
        <w:rPr>
          <w:b/>
          <w:szCs w:val="20"/>
          <w:lang w:val="en-US"/>
        </w:rPr>
        <w:t>Observation</w:t>
      </w:r>
    </w:p>
    <w:p w:rsidR="00247C00" w:rsidRDefault="00247C00" w:rsidP="00247C00">
      <w:pPr>
        <w:spacing w:after="0"/>
        <w:jc w:val="both"/>
        <w:rPr>
          <w:szCs w:val="20"/>
          <w:lang w:val="en-US"/>
        </w:rPr>
      </w:pPr>
    </w:p>
    <w:p w:rsidR="00A8648D" w:rsidRDefault="00934808" w:rsidP="00247C00">
      <w:pPr>
        <w:spacing w:after="0"/>
        <w:jc w:val="both"/>
        <w:rPr>
          <w:szCs w:val="20"/>
          <w:lang w:val="en-US"/>
        </w:rPr>
      </w:pPr>
      <w:r>
        <w:rPr>
          <w:b/>
          <w:szCs w:val="20"/>
          <w:lang w:val="en-US"/>
        </w:rPr>
        <w:t>[1</w:t>
      </w:r>
      <w:r w:rsidR="006576E7">
        <w:rPr>
          <w:b/>
          <w:szCs w:val="20"/>
          <w:lang w:val="en-US"/>
        </w:rPr>
        <w:t>7</w:t>
      </w:r>
      <w:r w:rsidR="00A8648D" w:rsidRPr="00934808">
        <w:rPr>
          <w:b/>
          <w:szCs w:val="20"/>
          <w:lang w:val="en-US"/>
        </w:rPr>
        <w:t>]</w:t>
      </w:r>
      <w:r w:rsidR="00A8648D">
        <w:rPr>
          <w:szCs w:val="20"/>
          <w:lang w:val="en-US"/>
        </w:rPr>
        <w:tab/>
      </w:r>
      <w:r w:rsidR="00324FA7">
        <w:rPr>
          <w:szCs w:val="20"/>
          <w:lang w:val="en-US"/>
        </w:rPr>
        <w:t xml:space="preserve">In </w:t>
      </w:r>
      <w:r w:rsidR="00324FA7">
        <w:rPr>
          <w:i/>
          <w:szCs w:val="20"/>
          <w:lang w:val="en-US"/>
        </w:rPr>
        <w:t xml:space="preserve">Bennett, </w:t>
      </w:r>
      <w:r w:rsidR="00E5222A" w:rsidRPr="00E5222A">
        <w:rPr>
          <w:szCs w:val="20"/>
          <w:lang w:val="en-US"/>
        </w:rPr>
        <w:t>Evans J agreed with the</w:t>
      </w:r>
      <w:r w:rsidR="00A8648D" w:rsidRPr="00E5222A">
        <w:rPr>
          <w:szCs w:val="20"/>
          <w:lang w:val="en-US"/>
        </w:rPr>
        <w:t xml:space="preserve"> </w:t>
      </w:r>
      <w:r w:rsidR="00E5222A" w:rsidRPr="00E5222A">
        <w:rPr>
          <w:szCs w:val="20"/>
          <w:lang w:val="en-US"/>
        </w:rPr>
        <w:t xml:space="preserve">reasons of the Chief Justice </w:t>
      </w:r>
      <w:r w:rsidR="00E5222A">
        <w:rPr>
          <w:szCs w:val="20"/>
          <w:lang w:val="en-US"/>
        </w:rPr>
        <w:t>and supplemented them, at paragraph 22, as follows:</w:t>
      </w:r>
    </w:p>
    <w:p w:rsidR="00E5222A" w:rsidRDefault="00E5222A" w:rsidP="00247C00">
      <w:pPr>
        <w:spacing w:after="0"/>
        <w:jc w:val="both"/>
        <w:rPr>
          <w:szCs w:val="20"/>
          <w:lang w:val="en-US"/>
        </w:rPr>
      </w:pPr>
    </w:p>
    <w:p w:rsidR="00E5222A" w:rsidRPr="00755E3F" w:rsidRDefault="00E5222A" w:rsidP="00755E3F">
      <w:pPr>
        <w:spacing w:after="0"/>
        <w:ind w:left="1134"/>
        <w:jc w:val="both"/>
        <w:rPr>
          <w:szCs w:val="20"/>
          <w:lang w:val="en-US"/>
        </w:rPr>
      </w:pPr>
      <w:r>
        <w:rPr>
          <w:szCs w:val="20"/>
          <w:lang w:val="en-US"/>
        </w:rPr>
        <w:t>22.</w:t>
      </w:r>
      <w:r>
        <w:rPr>
          <w:szCs w:val="20"/>
          <w:lang w:val="en-US"/>
        </w:rPr>
        <w:tab/>
        <w:t xml:space="preserve">I add that the effect given to the words “an order made by a Commissioner under section 31(1)” in the </w:t>
      </w:r>
      <w:r>
        <w:rPr>
          <w:i/>
          <w:szCs w:val="20"/>
          <w:lang w:val="en-US"/>
        </w:rPr>
        <w:t>Industrial Relations Act</w:t>
      </w:r>
      <w:r>
        <w:rPr>
          <w:szCs w:val="20"/>
          <w:lang w:val="en-US"/>
        </w:rPr>
        <w:t xml:space="preserve"> 1984 (“the Act”), s70(1)(b), by the decision that is upheld by this appeal is not novel and accords with some past decisions of the Full Bench of the Tasmanian Industrial Commission.  Those words are crucial to the jurisdiction of the Full Bench to hear the appeal in question.  They were introduced into s70 by the </w:t>
      </w:r>
      <w:r>
        <w:rPr>
          <w:i/>
          <w:szCs w:val="20"/>
          <w:lang w:val="en-US"/>
        </w:rPr>
        <w:t xml:space="preserve">Industrial Relations Amendment (Enterprise Agreements and Workplace Freedom) Act </w:t>
      </w:r>
      <w:r>
        <w:rPr>
          <w:szCs w:val="20"/>
          <w:lang w:val="en-US"/>
        </w:rPr>
        <w:t>1992 which came into effect on 1 March 1993.  I</w:t>
      </w:r>
      <w:r w:rsidR="00686A6C">
        <w:rPr>
          <w:szCs w:val="20"/>
          <w:lang w:val="en-US"/>
        </w:rPr>
        <w:t>n</w:t>
      </w:r>
      <w:r>
        <w:rPr>
          <w:szCs w:val="20"/>
          <w:lang w:val="en-US"/>
        </w:rPr>
        <w:t xml:space="preserve"> </w:t>
      </w:r>
      <w:r>
        <w:rPr>
          <w:i/>
          <w:szCs w:val="20"/>
          <w:lang w:val="en-US"/>
        </w:rPr>
        <w:t>Tasmanian Chamber of Commerce and Industry Ltd</w:t>
      </w:r>
      <w:r>
        <w:rPr>
          <w:szCs w:val="20"/>
          <w:lang w:val="en-US"/>
        </w:rPr>
        <w:t xml:space="preserve"> (T4774 of 1993), the Full Bench dealt with a number of threshold points raised on an appeal from proceedings </w:t>
      </w:r>
      <w:r>
        <w:rPr>
          <w:szCs w:val="20"/>
          <w:lang w:val="en-US"/>
        </w:rPr>
        <w:lastRenderedPageBreak/>
        <w:t xml:space="preserve">that involved a dispute between Harriett Gunn and Fahan School in relation to Ms Gunn’s employment.  Deputy President Robinson, who had heard those proceedings, found that Ms Gunn had been unfairly </w:t>
      </w:r>
      <w:r w:rsidR="004A50FB">
        <w:rPr>
          <w:szCs w:val="20"/>
          <w:lang w:val="en-US"/>
        </w:rPr>
        <w:t>dismissed</w:t>
      </w:r>
      <w:r>
        <w:rPr>
          <w:szCs w:val="20"/>
          <w:lang w:val="en-US"/>
        </w:rPr>
        <w:t xml:space="preserve"> and ordered Fahan School to pay her a sum of money.  In reasons for decision dated 24 March 1994, the Full Bench said that as the appeal provisions dealing with s31(1) orders were relatively new, it was necessary to provide some guidance on them for the future.  The effect of the Full Bench’s decision was to </w:t>
      </w:r>
      <w:r w:rsidR="00686A6C">
        <w:rPr>
          <w:szCs w:val="20"/>
          <w:lang w:val="en-US"/>
        </w:rPr>
        <w:t>recognis</w:t>
      </w:r>
      <w:r>
        <w:rPr>
          <w:szCs w:val="20"/>
          <w:lang w:val="en-US"/>
        </w:rPr>
        <w:t xml:space="preserve">e that for presently relevant purposes, the right of appeal was confined to orders of a Commissioner </w:t>
      </w:r>
      <w:r w:rsidR="00755E3F">
        <w:rPr>
          <w:szCs w:val="20"/>
          <w:lang w:val="en-US"/>
        </w:rPr>
        <w:t xml:space="preserve">under s31(1), and note that there was no provision for an appeal against a decision of a Commissioner </w:t>
      </w:r>
      <w:r>
        <w:rPr>
          <w:szCs w:val="20"/>
          <w:lang w:val="en-US"/>
        </w:rPr>
        <w:t xml:space="preserve">in relation to an interlocutory matter, such as the adjournment of a hearing, and </w:t>
      </w:r>
      <w:r w:rsidR="00755E3F">
        <w:rPr>
          <w:szCs w:val="20"/>
          <w:lang w:val="en-US"/>
        </w:rPr>
        <w:t xml:space="preserve">there was no provision for an appeal against a finding that a person had been unfairly dismissed.  The Full Bench did, however, conclude that where an order based on a finding that a person had been unfairly dismissed had been made pursuant to s31(1), an appeal would lie against that order.  The obverse of this decision is that a finding that a person had not been unfairly dismissed could not be the subject of an appeal as no order pursuant to s31(1) could be made arising from that finding.  The outcome of </w:t>
      </w:r>
      <w:r w:rsidR="00755E3F">
        <w:rPr>
          <w:i/>
          <w:szCs w:val="20"/>
          <w:lang w:val="en-US"/>
        </w:rPr>
        <w:t>Australian Mines and Metals Association (Inc) for Tasmanian Electro Metallurgical Company Pty Ltd v Paul John Rundle</w:t>
      </w:r>
      <w:r w:rsidR="00755E3F">
        <w:rPr>
          <w:szCs w:val="20"/>
          <w:lang w:val="en-US"/>
        </w:rPr>
        <w:t xml:space="preserve"> (T8454 of 1999), a decision dated 18 August 1999, was to the same effect.  In that case, an endeavor was made to appeal the decision on an application for an extension of time within which to bring proceedings seeking an order under s31(1).  The Full Bench held that until an order under s31(1) had in fact been made, it had no jurisdiction to hear an appeal.</w:t>
      </w:r>
    </w:p>
    <w:p w:rsidR="00A8648D" w:rsidRDefault="00A8648D" w:rsidP="00247C00">
      <w:pPr>
        <w:spacing w:after="0"/>
        <w:jc w:val="both"/>
        <w:rPr>
          <w:szCs w:val="20"/>
          <w:lang w:val="en-US"/>
        </w:rPr>
      </w:pPr>
    </w:p>
    <w:p w:rsidR="00343894" w:rsidRDefault="00934808" w:rsidP="00247C00">
      <w:pPr>
        <w:spacing w:after="0"/>
        <w:jc w:val="both"/>
        <w:rPr>
          <w:szCs w:val="20"/>
          <w:lang w:val="en-US"/>
        </w:rPr>
      </w:pPr>
      <w:r>
        <w:rPr>
          <w:b/>
          <w:szCs w:val="20"/>
          <w:lang w:val="en-US"/>
        </w:rPr>
        <w:t>[1</w:t>
      </w:r>
      <w:r w:rsidR="006576E7">
        <w:rPr>
          <w:b/>
          <w:szCs w:val="20"/>
          <w:lang w:val="en-US"/>
        </w:rPr>
        <w:t>8</w:t>
      </w:r>
      <w:r w:rsidR="00A8648D" w:rsidRPr="00934808">
        <w:rPr>
          <w:b/>
          <w:szCs w:val="20"/>
          <w:lang w:val="en-US"/>
        </w:rPr>
        <w:t>]</w:t>
      </w:r>
      <w:r w:rsidR="00A8648D">
        <w:rPr>
          <w:szCs w:val="20"/>
          <w:lang w:val="en-US"/>
        </w:rPr>
        <w:tab/>
      </w:r>
      <w:r w:rsidR="00343894">
        <w:rPr>
          <w:szCs w:val="20"/>
          <w:lang w:val="en-US"/>
        </w:rPr>
        <w:t xml:space="preserve">The comments of Evans J in </w:t>
      </w:r>
      <w:r w:rsidR="00343894">
        <w:rPr>
          <w:i/>
          <w:szCs w:val="20"/>
          <w:lang w:val="en-US"/>
        </w:rPr>
        <w:t xml:space="preserve">Bennett </w:t>
      </w:r>
      <w:r w:rsidR="00343894">
        <w:rPr>
          <w:szCs w:val="20"/>
          <w:lang w:val="en-US"/>
        </w:rPr>
        <w:t xml:space="preserve">have given rise to our consideration of the Second Reading speech to the </w:t>
      </w:r>
      <w:r w:rsidR="00343894" w:rsidRPr="00343894">
        <w:rPr>
          <w:i/>
          <w:szCs w:val="20"/>
          <w:lang w:val="en-US"/>
        </w:rPr>
        <w:t>Industrial Relations Amendment (Enterprise Agreements and Workplace Freedom) Act</w:t>
      </w:r>
      <w:r w:rsidR="00343894">
        <w:rPr>
          <w:szCs w:val="20"/>
          <w:lang w:val="en-US"/>
        </w:rPr>
        <w:t xml:space="preserve"> 1992.  Relevantly, the Second Reading speech provides at paragraph 46:</w:t>
      </w:r>
      <w:r w:rsidR="004A66A8">
        <w:rPr>
          <w:rStyle w:val="FootnoteReference"/>
          <w:szCs w:val="20"/>
          <w:lang w:val="en-US"/>
        </w:rPr>
        <w:footnoteReference w:id="6"/>
      </w:r>
    </w:p>
    <w:p w:rsidR="00343894" w:rsidRDefault="00343894" w:rsidP="00247C00">
      <w:pPr>
        <w:spacing w:after="0"/>
        <w:jc w:val="both"/>
        <w:rPr>
          <w:szCs w:val="20"/>
          <w:lang w:val="en-US"/>
        </w:rPr>
      </w:pPr>
    </w:p>
    <w:p w:rsidR="00A8648D" w:rsidRDefault="004A66A8" w:rsidP="004A66A8">
      <w:pPr>
        <w:spacing w:after="0"/>
        <w:ind w:left="1134"/>
        <w:jc w:val="both"/>
        <w:rPr>
          <w:szCs w:val="20"/>
          <w:lang w:val="en-US"/>
        </w:rPr>
      </w:pPr>
      <w:r>
        <w:rPr>
          <w:szCs w:val="20"/>
          <w:lang w:val="en-US"/>
        </w:rPr>
        <w:t xml:space="preserve">46. </w:t>
      </w:r>
      <w:r w:rsidR="00343894">
        <w:rPr>
          <w:szCs w:val="20"/>
          <w:lang w:val="en-US"/>
        </w:rPr>
        <w:t>Section 70 Rights of Appeal</w:t>
      </w:r>
    </w:p>
    <w:p w:rsidR="00343894" w:rsidRDefault="00343894" w:rsidP="004A66A8">
      <w:pPr>
        <w:spacing w:after="0"/>
        <w:ind w:left="1134"/>
        <w:jc w:val="both"/>
        <w:rPr>
          <w:szCs w:val="20"/>
          <w:lang w:val="en-US"/>
        </w:rPr>
      </w:pPr>
    </w:p>
    <w:p w:rsidR="00343894" w:rsidRDefault="00343894" w:rsidP="004A66A8">
      <w:pPr>
        <w:spacing w:after="0"/>
        <w:ind w:left="1701"/>
        <w:jc w:val="both"/>
        <w:rPr>
          <w:szCs w:val="20"/>
          <w:lang w:val="en-US"/>
        </w:rPr>
      </w:pPr>
      <w:r>
        <w:rPr>
          <w:szCs w:val="20"/>
          <w:lang w:val="en-US"/>
        </w:rPr>
        <w:t>This section has been completely re-written.  In general terms, appeal rights have been expanded to cover virtually any decision of a Commissioner sitting alone or by the Registrar.  Rights of appeal have been extended to include any organization, party or person who could reasonably claim to be affected by any particular decision.</w:t>
      </w:r>
    </w:p>
    <w:p w:rsidR="00343894" w:rsidRDefault="00343894" w:rsidP="004A66A8">
      <w:pPr>
        <w:spacing w:after="0"/>
        <w:ind w:left="1701"/>
        <w:jc w:val="both"/>
        <w:rPr>
          <w:szCs w:val="20"/>
          <w:lang w:val="en-US"/>
        </w:rPr>
      </w:pPr>
    </w:p>
    <w:p w:rsidR="00343894" w:rsidRDefault="00343894" w:rsidP="004A66A8">
      <w:pPr>
        <w:spacing w:after="0"/>
        <w:ind w:left="1701"/>
        <w:jc w:val="both"/>
        <w:rPr>
          <w:szCs w:val="20"/>
          <w:lang w:val="en-US"/>
        </w:rPr>
      </w:pPr>
      <w:r>
        <w:rPr>
          <w:szCs w:val="20"/>
          <w:lang w:val="en-US"/>
        </w:rPr>
        <w:t xml:space="preserve">Of special note, additional appeal provisions are </w:t>
      </w:r>
      <w:r w:rsidR="00F10A3A">
        <w:rPr>
          <w:szCs w:val="20"/>
          <w:lang w:val="en-US"/>
        </w:rPr>
        <w:t xml:space="preserve">now </w:t>
      </w:r>
      <w:r>
        <w:rPr>
          <w:szCs w:val="20"/>
          <w:lang w:val="en-US"/>
        </w:rPr>
        <w:t>available in respect of:</w:t>
      </w:r>
    </w:p>
    <w:p w:rsidR="00343894" w:rsidRDefault="00343894" w:rsidP="004A66A8">
      <w:pPr>
        <w:spacing w:after="0"/>
        <w:ind w:left="1701"/>
        <w:jc w:val="both"/>
        <w:rPr>
          <w:szCs w:val="20"/>
          <w:lang w:val="en-US"/>
        </w:rPr>
      </w:pPr>
    </w:p>
    <w:p w:rsidR="00343894" w:rsidRDefault="00686A6C" w:rsidP="004A66A8">
      <w:pPr>
        <w:spacing w:after="0"/>
        <w:ind w:left="1701"/>
        <w:jc w:val="both"/>
        <w:rPr>
          <w:szCs w:val="20"/>
          <w:lang w:val="en-US"/>
        </w:rPr>
      </w:pPr>
      <w:r>
        <w:rPr>
          <w:szCs w:val="20"/>
          <w:lang w:val="en-US"/>
        </w:rPr>
        <w:t>1)</w:t>
      </w:r>
      <w:r>
        <w:rPr>
          <w:szCs w:val="20"/>
          <w:lang w:val="en-US"/>
        </w:rPr>
        <w:tab/>
        <w:t xml:space="preserve">(1)(b) </w:t>
      </w:r>
      <w:r w:rsidR="00343894">
        <w:rPr>
          <w:szCs w:val="20"/>
          <w:lang w:val="en-US"/>
        </w:rPr>
        <w:t>A decision to order o</w:t>
      </w:r>
      <w:r w:rsidR="00A94813">
        <w:rPr>
          <w:szCs w:val="20"/>
          <w:lang w:val="en-US"/>
        </w:rPr>
        <w:t>r</w:t>
      </w:r>
      <w:r w:rsidR="00343894">
        <w:rPr>
          <w:szCs w:val="20"/>
          <w:lang w:val="en-US"/>
        </w:rPr>
        <w:t xml:space="preserve"> not order compensation in circumstances of unfair dismissal, retrenchment or redundancy.</w:t>
      </w:r>
    </w:p>
    <w:p w:rsidR="00343894" w:rsidRDefault="00343894" w:rsidP="004A66A8">
      <w:pPr>
        <w:spacing w:after="0"/>
        <w:ind w:left="1701"/>
        <w:jc w:val="both"/>
        <w:rPr>
          <w:szCs w:val="20"/>
          <w:lang w:val="en-US"/>
        </w:rPr>
      </w:pPr>
    </w:p>
    <w:p w:rsidR="00343894" w:rsidRDefault="00343894" w:rsidP="004A66A8">
      <w:pPr>
        <w:spacing w:after="0"/>
        <w:ind w:left="1701"/>
        <w:jc w:val="both"/>
        <w:rPr>
          <w:szCs w:val="20"/>
          <w:lang w:val="en-US"/>
        </w:rPr>
      </w:pPr>
      <w:r>
        <w:rPr>
          <w:szCs w:val="20"/>
          <w:lang w:val="en-US"/>
        </w:rPr>
        <w:t>2)</w:t>
      </w:r>
      <w:r>
        <w:rPr>
          <w:szCs w:val="20"/>
          <w:lang w:val="en-US"/>
        </w:rPr>
        <w:tab/>
        <w:t>(1)(c)</w:t>
      </w:r>
      <w:r w:rsidR="00686A6C">
        <w:rPr>
          <w:szCs w:val="20"/>
          <w:lang w:val="en-US"/>
        </w:rPr>
        <w:t xml:space="preserve"> and (d) </w:t>
      </w:r>
      <w:r>
        <w:rPr>
          <w:szCs w:val="20"/>
          <w:lang w:val="en-US"/>
        </w:rPr>
        <w:t xml:space="preserve">An order to reinstate or re-employ, </w:t>
      </w:r>
      <w:r w:rsidRPr="00343894">
        <w:rPr>
          <w:szCs w:val="20"/>
          <w:u w:val="single"/>
          <w:lang w:val="en-US"/>
        </w:rPr>
        <w:t>or not</w:t>
      </w:r>
      <w:r>
        <w:rPr>
          <w:szCs w:val="20"/>
          <w:lang w:val="en-US"/>
        </w:rPr>
        <w:t>, as the case may be… (our emphasis).</w:t>
      </w:r>
    </w:p>
    <w:p w:rsidR="00A8648D" w:rsidRDefault="00A8648D" w:rsidP="00247C00">
      <w:pPr>
        <w:spacing w:after="0"/>
        <w:jc w:val="both"/>
        <w:rPr>
          <w:szCs w:val="20"/>
          <w:lang w:val="en-US"/>
        </w:rPr>
      </w:pPr>
    </w:p>
    <w:p w:rsidR="00F10A3A" w:rsidRPr="006500BF" w:rsidRDefault="006576E7" w:rsidP="006500BF">
      <w:pPr>
        <w:pStyle w:val="NumberedPara"/>
        <w:numPr>
          <w:ilvl w:val="0"/>
          <w:numId w:val="0"/>
        </w:numPr>
        <w:rPr>
          <w:rFonts w:ascii="Verdana" w:hAnsi="Verdana"/>
          <w:sz w:val="20"/>
        </w:rPr>
      </w:pPr>
      <w:r>
        <w:rPr>
          <w:rFonts w:ascii="Verdana" w:hAnsi="Verdana"/>
          <w:b/>
          <w:sz w:val="20"/>
        </w:rPr>
        <w:t>[19</w:t>
      </w:r>
      <w:r w:rsidR="006500BF" w:rsidRPr="006500BF">
        <w:rPr>
          <w:rFonts w:ascii="Verdana" w:hAnsi="Verdana"/>
          <w:b/>
          <w:sz w:val="20"/>
        </w:rPr>
        <w:t>]</w:t>
      </w:r>
      <w:r w:rsidR="006500BF">
        <w:rPr>
          <w:rFonts w:ascii="Verdana" w:hAnsi="Verdana"/>
          <w:sz w:val="20"/>
        </w:rPr>
        <w:t xml:space="preserve"> </w:t>
      </w:r>
      <w:r w:rsidR="00F10A3A" w:rsidRPr="006500BF">
        <w:rPr>
          <w:rFonts w:ascii="Verdana" w:hAnsi="Verdana"/>
          <w:sz w:val="20"/>
        </w:rPr>
        <w:t xml:space="preserve">In </w:t>
      </w:r>
      <w:r w:rsidR="00F10A3A" w:rsidRPr="006500BF">
        <w:rPr>
          <w:rFonts w:ascii="Verdana" w:hAnsi="Verdana"/>
          <w:i/>
          <w:sz w:val="20"/>
        </w:rPr>
        <w:t xml:space="preserve">Bennett, </w:t>
      </w:r>
      <w:r w:rsidR="00F10A3A" w:rsidRPr="006500BF">
        <w:rPr>
          <w:rFonts w:ascii="Verdana" w:hAnsi="Verdana"/>
          <w:sz w:val="20"/>
        </w:rPr>
        <w:t xml:space="preserve">the Full Court has, consistent with authority, searched for </w:t>
      </w:r>
      <w:r w:rsidR="00851C85">
        <w:rPr>
          <w:rFonts w:ascii="Verdana" w:hAnsi="Verdana"/>
          <w:sz w:val="20"/>
        </w:rPr>
        <w:t xml:space="preserve">the </w:t>
      </w:r>
      <w:r w:rsidR="00F10A3A" w:rsidRPr="006500BF">
        <w:rPr>
          <w:rFonts w:ascii="Verdana" w:hAnsi="Verdana"/>
          <w:sz w:val="20"/>
        </w:rPr>
        <w:t xml:space="preserve">meaning of the </w:t>
      </w:r>
      <w:r w:rsidR="00B4311D" w:rsidRPr="006500BF">
        <w:rPr>
          <w:rFonts w:ascii="Verdana" w:hAnsi="Verdana"/>
          <w:sz w:val="20"/>
        </w:rPr>
        <w:t xml:space="preserve">Statute, </w:t>
      </w:r>
      <w:r w:rsidR="00851C85">
        <w:rPr>
          <w:rFonts w:ascii="Verdana" w:hAnsi="Verdana"/>
          <w:sz w:val="20"/>
        </w:rPr>
        <w:t>having particular regard to the ordinary meaning of the words in the legislation</w:t>
      </w:r>
      <w:r w:rsidR="00F10A3A" w:rsidRPr="006500BF">
        <w:rPr>
          <w:rFonts w:ascii="Verdana" w:hAnsi="Verdana"/>
          <w:sz w:val="20"/>
        </w:rPr>
        <w:t>.</w:t>
      </w:r>
      <w:r w:rsidR="00B4311D" w:rsidRPr="006500BF">
        <w:rPr>
          <w:rFonts w:ascii="Verdana" w:hAnsi="Verdana"/>
          <w:sz w:val="20"/>
        </w:rPr>
        <w:t xml:space="preserve"> </w:t>
      </w:r>
      <w:r w:rsidR="00C16895">
        <w:rPr>
          <w:rFonts w:ascii="Verdana" w:hAnsi="Verdana"/>
          <w:sz w:val="20"/>
        </w:rPr>
        <w:t xml:space="preserve"> </w:t>
      </w:r>
      <w:r w:rsidR="00F10A3A" w:rsidRPr="006500BF">
        <w:rPr>
          <w:rFonts w:ascii="Verdana" w:hAnsi="Verdana"/>
          <w:sz w:val="20"/>
        </w:rPr>
        <w:t>Having done so, the Full Court has determined the meaning of the provision.</w:t>
      </w:r>
    </w:p>
    <w:p w:rsidR="00C911A6" w:rsidRPr="006500BF" w:rsidRDefault="00C911A6" w:rsidP="00247C00">
      <w:pPr>
        <w:spacing w:after="0"/>
        <w:jc w:val="both"/>
        <w:rPr>
          <w:szCs w:val="20"/>
          <w:lang w:val="en-US"/>
        </w:rPr>
      </w:pPr>
    </w:p>
    <w:p w:rsidR="00F10A3A" w:rsidRPr="006500BF" w:rsidRDefault="006576E7" w:rsidP="00247C00">
      <w:pPr>
        <w:spacing w:after="0"/>
        <w:jc w:val="both"/>
        <w:rPr>
          <w:szCs w:val="20"/>
          <w:lang w:val="en-US"/>
        </w:rPr>
      </w:pPr>
      <w:r>
        <w:rPr>
          <w:b/>
          <w:szCs w:val="20"/>
          <w:lang w:val="en-US"/>
        </w:rPr>
        <w:lastRenderedPageBreak/>
        <w:t>[20</w:t>
      </w:r>
      <w:r w:rsidRPr="006576E7">
        <w:rPr>
          <w:b/>
          <w:szCs w:val="20"/>
          <w:lang w:val="en-US"/>
        </w:rPr>
        <w:t>]</w:t>
      </w:r>
      <w:r>
        <w:rPr>
          <w:szCs w:val="20"/>
          <w:lang w:val="en-US"/>
        </w:rPr>
        <w:tab/>
      </w:r>
      <w:r w:rsidR="00DD4CF6" w:rsidRPr="006500BF">
        <w:rPr>
          <w:szCs w:val="20"/>
          <w:lang w:val="en-US"/>
        </w:rPr>
        <w:t xml:space="preserve">The Second Reading Speech has the status of secondary material. As such it cannot </w:t>
      </w:r>
      <w:r w:rsidR="00683295">
        <w:rPr>
          <w:szCs w:val="20"/>
          <w:lang w:val="en-US"/>
        </w:rPr>
        <w:t>displace</w:t>
      </w:r>
      <w:r w:rsidR="00DD4CF6" w:rsidRPr="006500BF">
        <w:rPr>
          <w:szCs w:val="20"/>
          <w:lang w:val="en-US"/>
        </w:rPr>
        <w:t xml:space="preserve"> the clear meaning of the text of </w:t>
      </w:r>
      <w:r>
        <w:rPr>
          <w:szCs w:val="20"/>
          <w:lang w:val="en-US"/>
        </w:rPr>
        <w:t>a</w:t>
      </w:r>
      <w:r w:rsidR="00DD4CF6" w:rsidRPr="006500BF">
        <w:rPr>
          <w:szCs w:val="20"/>
          <w:lang w:val="en-US"/>
        </w:rPr>
        <w:t xml:space="preserve"> provision (see</w:t>
      </w:r>
      <w:r w:rsidR="00683295">
        <w:rPr>
          <w:i/>
          <w:szCs w:val="20"/>
          <w:lang w:val="en-US"/>
        </w:rPr>
        <w:t xml:space="preserve"> </w:t>
      </w:r>
      <w:r w:rsidR="00683295" w:rsidRPr="00683295">
        <w:rPr>
          <w:i/>
          <w:szCs w:val="20"/>
          <w:lang w:val="en-US"/>
        </w:rPr>
        <w:t>Northern Territory v Collins [2008] HCA 49</w:t>
      </w:r>
      <w:r w:rsidR="00683295">
        <w:rPr>
          <w:i/>
          <w:szCs w:val="20"/>
          <w:lang w:val="en-US"/>
        </w:rPr>
        <w:t>, at [99], per Crennan J</w:t>
      </w:r>
      <w:r w:rsidR="00DD4CF6" w:rsidRPr="006500BF">
        <w:rPr>
          <w:szCs w:val="20"/>
          <w:lang w:val="en-US"/>
        </w:rPr>
        <w:t>)</w:t>
      </w:r>
      <w:r w:rsidR="00A94813">
        <w:rPr>
          <w:szCs w:val="20"/>
          <w:lang w:val="en-US"/>
        </w:rPr>
        <w:t>.</w:t>
      </w:r>
    </w:p>
    <w:p w:rsidR="00F10A3A" w:rsidRPr="006500BF" w:rsidRDefault="00F10A3A" w:rsidP="00F10A3A">
      <w:pPr>
        <w:tabs>
          <w:tab w:val="left" w:pos="1845"/>
        </w:tabs>
        <w:spacing w:after="0"/>
        <w:jc w:val="both"/>
        <w:rPr>
          <w:szCs w:val="20"/>
          <w:lang w:val="en-US"/>
        </w:rPr>
      </w:pPr>
    </w:p>
    <w:p w:rsidR="00851C85" w:rsidRDefault="00934808" w:rsidP="00324FA7">
      <w:pPr>
        <w:spacing w:after="0" w:line="276" w:lineRule="auto"/>
        <w:jc w:val="both"/>
        <w:rPr>
          <w:szCs w:val="20"/>
          <w:lang w:val="en-US"/>
        </w:rPr>
      </w:pPr>
      <w:r>
        <w:rPr>
          <w:b/>
          <w:szCs w:val="20"/>
          <w:lang w:val="en-US"/>
        </w:rPr>
        <w:t>[</w:t>
      </w:r>
      <w:r w:rsidR="006576E7">
        <w:rPr>
          <w:b/>
          <w:szCs w:val="20"/>
          <w:lang w:val="en-US"/>
        </w:rPr>
        <w:t>21</w:t>
      </w:r>
      <w:r w:rsidRPr="00934808">
        <w:rPr>
          <w:b/>
          <w:szCs w:val="20"/>
          <w:lang w:val="en-US"/>
        </w:rPr>
        <w:t>]</w:t>
      </w:r>
      <w:r>
        <w:rPr>
          <w:szCs w:val="20"/>
          <w:lang w:val="en-US"/>
        </w:rPr>
        <w:tab/>
      </w:r>
      <w:r w:rsidR="00DD4CF6">
        <w:rPr>
          <w:szCs w:val="20"/>
          <w:lang w:val="en-US"/>
        </w:rPr>
        <w:t xml:space="preserve">However, we note that </w:t>
      </w:r>
      <w:r w:rsidR="00324FA7">
        <w:rPr>
          <w:szCs w:val="20"/>
          <w:lang w:val="en-US"/>
        </w:rPr>
        <w:t xml:space="preserve">the Second Reading speech </w:t>
      </w:r>
      <w:r w:rsidR="00683295">
        <w:rPr>
          <w:szCs w:val="20"/>
          <w:lang w:val="en-US"/>
        </w:rPr>
        <w:t>may not have been before</w:t>
      </w:r>
      <w:r w:rsidR="00324FA7">
        <w:rPr>
          <w:szCs w:val="20"/>
          <w:lang w:val="en-US"/>
        </w:rPr>
        <w:t xml:space="preserve"> the Full Court</w:t>
      </w:r>
      <w:r w:rsidR="00DD4CF6">
        <w:rPr>
          <w:szCs w:val="20"/>
          <w:lang w:val="en-US"/>
        </w:rPr>
        <w:t xml:space="preserve"> </w:t>
      </w:r>
      <w:r w:rsidR="00DD4CF6" w:rsidRPr="00A94813">
        <w:rPr>
          <w:szCs w:val="20"/>
          <w:lang w:val="en-US"/>
        </w:rPr>
        <w:t>in</w:t>
      </w:r>
      <w:r w:rsidR="00DD4CF6" w:rsidRPr="00DD4CF6">
        <w:rPr>
          <w:i/>
          <w:szCs w:val="20"/>
          <w:lang w:val="en-US"/>
        </w:rPr>
        <w:t xml:space="preserve"> Bennett</w:t>
      </w:r>
      <w:r w:rsidR="00686A6C">
        <w:rPr>
          <w:szCs w:val="20"/>
          <w:lang w:val="en-US"/>
        </w:rPr>
        <w:t xml:space="preserve">.  </w:t>
      </w:r>
      <w:r w:rsidR="00851C85">
        <w:rPr>
          <w:szCs w:val="20"/>
          <w:lang w:val="en-US"/>
        </w:rPr>
        <w:t>Nor</w:t>
      </w:r>
      <w:r w:rsidR="00DD4CF6">
        <w:rPr>
          <w:szCs w:val="20"/>
          <w:lang w:val="en-US"/>
        </w:rPr>
        <w:t xml:space="preserve"> does </w:t>
      </w:r>
      <w:r w:rsidR="00851C85">
        <w:rPr>
          <w:szCs w:val="20"/>
          <w:lang w:val="en-US"/>
        </w:rPr>
        <w:t xml:space="preserve">it appear </w:t>
      </w:r>
      <w:r w:rsidR="00686A6C">
        <w:rPr>
          <w:szCs w:val="20"/>
          <w:lang w:val="en-US"/>
        </w:rPr>
        <w:t xml:space="preserve">to have been contemplated by the Full Bench of this Commission in </w:t>
      </w:r>
      <w:r w:rsidR="00686A6C">
        <w:rPr>
          <w:i/>
          <w:szCs w:val="20"/>
          <w:lang w:val="en-US"/>
        </w:rPr>
        <w:t>Australian Mines and Metals Association (Inc) for Tasmanian Electro Metallurgical Company Pty Ltd v Paul John Rundle</w:t>
      </w:r>
      <w:r w:rsidR="00686A6C">
        <w:rPr>
          <w:szCs w:val="20"/>
          <w:lang w:val="en-US"/>
        </w:rPr>
        <w:t xml:space="preserve"> (T8454 of 1999)</w:t>
      </w:r>
      <w:r w:rsidR="00324FA7">
        <w:rPr>
          <w:szCs w:val="20"/>
          <w:lang w:val="en-US"/>
        </w:rPr>
        <w:t>.</w:t>
      </w:r>
    </w:p>
    <w:p w:rsidR="00851C85" w:rsidRDefault="00851C85" w:rsidP="00324FA7">
      <w:pPr>
        <w:spacing w:after="0" w:line="276" w:lineRule="auto"/>
        <w:jc w:val="both"/>
        <w:rPr>
          <w:szCs w:val="20"/>
          <w:lang w:val="en-US"/>
        </w:rPr>
      </w:pPr>
    </w:p>
    <w:p w:rsidR="004878C8" w:rsidRDefault="006576E7" w:rsidP="00324FA7">
      <w:pPr>
        <w:spacing w:after="0" w:line="276" w:lineRule="auto"/>
        <w:jc w:val="both"/>
        <w:rPr>
          <w:szCs w:val="20"/>
          <w:lang w:val="en-US"/>
        </w:rPr>
      </w:pPr>
      <w:r>
        <w:rPr>
          <w:b/>
          <w:szCs w:val="20"/>
          <w:lang w:val="en-US"/>
        </w:rPr>
        <w:t>[22</w:t>
      </w:r>
      <w:r w:rsidRPr="006576E7">
        <w:rPr>
          <w:b/>
          <w:szCs w:val="20"/>
          <w:lang w:val="en-US"/>
        </w:rPr>
        <w:t>]</w:t>
      </w:r>
      <w:r>
        <w:rPr>
          <w:szCs w:val="20"/>
          <w:lang w:val="en-US"/>
        </w:rPr>
        <w:tab/>
      </w:r>
      <w:r w:rsidR="00851C85">
        <w:rPr>
          <w:szCs w:val="20"/>
          <w:lang w:val="en-US"/>
        </w:rPr>
        <w:t xml:space="preserve">Against that background, </w:t>
      </w:r>
      <w:r w:rsidR="00683295">
        <w:rPr>
          <w:szCs w:val="20"/>
          <w:lang w:val="en-US"/>
        </w:rPr>
        <w:t xml:space="preserve">it is appropriate for us to note a difference between </w:t>
      </w:r>
      <w:r w:rsidR="006500BF">
        <w:rPr>
          <w:szCs w:val="20"/>
          <w:lang w:val="en-US"/>
        </w:rPr>
        <w:t>the stated</w:t>
      </w:r>
      <w:r w:rsidR="00B4311D">
        <w:rPr>
          <w:szCs w:val="20"/>
          <w:lang w:val="en-US"/>
        </w:rPr>
        <w:t xml:space="preserve"> i</w:t>
      </w:r>
      <w:r w:rsidR="004878C8">
        <w:rPr>
          <w:szCs w:val="20"/>
          <w:lang w:val="en-US"/>
        </w:rPr>
        <w:t>ntent of the legislation as</w:t>
      </w:r>
      <w:r w:rsidR="00A94813">
        <w:rPr>
          <w:szCs w:val="20"/>
          <w:lang w:val="en-US"/>
        </w:rPr>
        <w:t xml:space="preserve"> set out in the Second Reading s</w:t>
      </w:r>
      <w:r w:rsidR="004878C8">
        <w:rPr>
          <w:szCs w:val="20"/>
          <w:lang w:val="en-US"/>
        </w:rPr>
        <w:t xml:space="preserve">peech and </w:t>
      </w:r>
      <w:r w:rsidR="006500BF">
        <w:rPr>
          <w:szCs w:val="20"/>
          <w:lang w:val="en-US"/>
        </w:rPr>
        <w:t>the legislation</w:t>
      </w:r>
      <w:r w:rsidR="00683295">
        <w:rPr>
          <w:szCs w:val="20"/>
          <w:lang w:val="en-US"/>
        </w:rPr>
        <w:t xml:space="preserve"> as passed and construed in </w:t>
      </w:r>
      <w:r w:rsidR="00683295" w:rsidRPr="00683295">
        <w:rPr>
          <w:i/>
          <w:szCs w:val="20"/>
          <w:lang w:val="en-US"/>
        </w:rPr>
        <w:t>Bennett</w:t>
      </w:r>
      <w:r w:rsidR="006500BF">
        <w:rPr>
          <w:szCs w:val="20"/>
          <w:lang w:val="en-US"/>
        </w:rPr>
        <w:t xml:space="preserve">. </w:t>
      </w:r>
      <w:r w:rsidR="00C16895">
        <w:rPr>
          <w:szCs w:val="20"/>
          <w:lang w:val="en-US"/>
        </w:rPr>
        <w:t xml:space="preserve"> </w:t>
      </w:r>
      <w:r w:rsidR="006500BF">
        <w:rPr>
          <w:szCs w:val="20"/>
          <w:lang w:val="en-US"/>
        </w:rPr>
        <w:t>Quite simply, the expressed intention</w:t>
      </w:r>
      <w:r w:rsidR="004878C8">
        <w:rPr>
          <w:szCs w:val="20"/>
          <w:lang w:val="en-US"/>
        </w:rPr>
        <w:t xml:space="preserve"> to have appeal rights </w:t>
      </w:r>
      <w:r w:rsidR="006500BF">
        <w:rPr>
          <w:szCs w:val="20"/>
          <w:lang w:val="en-US"/>
        </w:rPr>
        <w:t>expanded to cover</w:t>
      </w:r>
      <w:r w:rsidR="004878C8">
        <w:rPr>
          <w:szCs w:val="20"/>
          <w:lang w:val="en-US"/>
        </w:rPr>
        <w:t xml:space="preserve"> virtually </w:t>
      </w:r>
      <w:r w:rsidR="006500BF">
        <w:rPr>
          <w:szCs w:val="20"/>
          <w:lang w:val="en-US"/>
        </w:rPr>
        <w:t>any decision</w:t>
      </w:r>
      <w:r w:rsidR="00B4311D">
        <w:rPr>
          <w:szCs w:val="20"/>
          <w:lang w:val="en-US"/>
        </w:rPr>
        <w:t xml:space="preserve"> </w:t>
      </w:r>
      <w:r w:rsidR="005131D4">
        <w:rPr>
          <w:szCs w:val="20"/>
          <w:lang w:val="en-US"/>
        </w:rPr>
        <w:t>was</w:t>
      </w:r>
      <w:r w:rsidR="004878C8">
        <w:rPr>
          <w:szCs w:val="20"/>
          <w:lang w:val="en-US"/>
        </w:rPr>
        <w:t xml:space="preserve"> not achieved in the Bill that was enacted. </w:t>
      </w:r>
    </w:p>
    <w:p w:rsidR="00324FA7" w:rsidRDefault="00324FA7" w:rsidP="00247C00">
      <w:pPr>
        <w:spacing w:after="0"/>
        <w:jc w:val="both"/>
        <w:rPr>
          <w:szCs w:val="20"/>
          <w:lang w:val="en-US"/>
        </w:rPr>
      </w:pPr>
    </w:p>
    <w:p w:rsidR="006576E7" w:rsidRDefault="006576E7" w:rsidP="00247C00">
      <w:pPr>
        <w:spacing w:after="0"/>
        <w:jc w:val="both"/>
        <w:rPr>
          <w:szCs w:val="20"/>
          <w:lang w:val="en-US"/>
        </w:rPr>
      </w:pPr>
    </w:p>
    <w:p w:rsidR="00247C00" w:rsidRDefault="00247C00" w:rsidP="00247C00">
      <w:pPr>
        <w:spacing w:after="0"/>
        <w:jc w:val="both"/>
        <w:rPr>
          <w:b/>
          <w:szCs w:val="20"/>
          <w:lang w:val="en-US"/>
        </w:rPr>
      </w:pPr>
      <w:r>
        <w:rPr>
          <w:b/>
          <w:szCs w:val="20"/>
          <w:lang w:val="en-US"/>
        </w:rPr>
        <w:t>Conclusion</w:t>
      </w:r>
    </w:p>
    <w:p w:rsidR="00247C00" w:rsidRPr="006576E7" w:rsidRDefault="00247C00" w:rsidP="00247C00">
      <w:pPr>
        <w:spacing w:after="0"/>
        <w:jc w:val="both"/>
        <w:rPr>
          <w:szCs w:val="20"/>
          <w:lang w:val="en-US"/>
        </w:rPr>
      </w:pPr>
    </w:p>
    <w:p w:rsidR="00DC2D3A" w:rsidRDefault="006576E7" w:rsidP="00247C00">
      <w:pPr>
        <w:spacing w:after="0"/>
        <w:jc w:val="both"/>
        <w:rPr>
          <w:szCs w:val="20"/>
          <w:lang w:val="en-US"/>
        </w:rPr>
      </w:pPr>
      <w:r>
        <w:rPr>
          <w:b/>
          <w:szCs w:val="20"/>
          <w:lang w:val="en-US"/>
        </w:rPr>
        <w:t>[23</w:t>
      </w:r>
      <w:r w:rsidR="00934808" w:rsidRPr="00934808">
        <w:rPr>
          <w:b/>
          <w:szCs w:val="20"/>
          <w:lang w:val="en-US"/>
        </w:rPr>
        <w:t>]</w:t>
      </w:r>
      <w:r w:rsidR="00934808">
        <w:rPr>
          <w:szCs w:val="20"/>
          <w:lang w:val="en-US"/>
        </w:rPr>
        <w:tab/>
        <w:t>W</w:t>
      </w:r>
      <w:r w:rsidR="00247C00">
        <w:rPr>
          <w:szCs w:val="20"/>
          <w:lang w:val="en-US"/>
        </w:rPr>
        <w:t xml:space="preserve">e dismiss the </w:t>
      </w:r>
      <w:r w:rsidR="00247C00" w:rsidRPr="005C55CD">
        <w:rPr>
          <w:szCs w:val="20"/>
          <w:lang w:val="en-US"/>
        </w:rPr>
        <w:t xml:space="preserve">appeal </w:t>
      </w:r>
      <w:r w:rsidR="00934808">
        <w:rPr>
          <w:szCs w:val="20"/>
          <w:lang w:val="en-US"/>
        </w:rPr>
        <w:t>as</w:t>
      </w:r>
      <w:r w:rsidR="00247C00" w:rsidRPr="005C55CD">
        <w:rPr>
          <w:szCs w:val="20"/>
          <w:lang w:val="en-US"/>
        </w:rPr>
        <w:t xml:space="preserve"> no appeal lies</w:t>
      </w:r>
      <w:r w:rsidR="00934808">
        <w:rPr>
          <w:szCs w:val="20"/>
          <w:lang w:val="en-US"/>
        </w:rPr>
        <w:t xml:space="preserve"> against the decision of the President</w:t>
      </w:r>
      <w:r w:rsidR="00247C00">
        <w:rPr>
          <w:szCs w:val="20"/>
          <w:lang w:val="en-US"/>
        </w:rPr>
        <w:t>.</w:t>
      </w:r>
    </w:p>
    <w:p w:rsidR="005B7135" w:rsidRDefault="005B7135" w:rsidP="00DC2D3A">
      <w:pPr>
        <w:spacing w:after="0"/>
        <w:jc w:val="both"/>
        <w:rPr>
          <w:szCs w:val="20"/>
          <w:lang w:val="en-US"/>
        </w:rPr>
      </w:pPr>
    </w:p>
    <w:p w:rsidR="00A37B6E" w:rsidRPr="00247C00" w:rsidRDefault="00A37B6E" w:rsidP="00247C00">
      <w:pPr>
        <w:spacing w:after="0"/>
        <w:ind w:right="804"/>
        <w:jc w:val="both"/>
        <w:rPr>
          <w:szCs w:val="20"/>
          <w:lang w:val="en-US"/>
        </w:rPr>
      </w:pPr>
    </w:p>
    <w:p w:rsidR="000550F7" w:rsidRPr="00942626" w:rsidRDefault="000550F7" w:rsidP="008058DD">
      <w:pPr>
        <w:tabs>
          <w:tab w:val="left" w:pos="7230"/>
        </w:tabs>
        <w:spacing w:after="0"/>
        <w:jc w:val="both"/>
        <w:rPr>
          <w:szCs w:val="20"/>
          <w:lang w:val="en-US"/>
        </w:rPr>
      </w:pPr>
    </w:p>
    <w:p w:rsidR="000550F7" w:rsidRPr="00942626" w:rsidRDefault="000550F7" w:rsidP="008058DD">
      <w:pPr>
        <w:tabs>
          <w:tab w:val="left" w:pos="7230"/>
        </w:tabs>
        <w:spacing w:after="0"/>
        <w:jc w:val="both"/>
        <w:rPr>
          <w:szCs w:val="20"/>
          <w:lang w:val="en-US"/>
        </w:rPr>
      </w:pPr>
    </w:p>
    <w:p w:rsidR="00DD492C" w:rsidRDefault="00DD492C" w:rsidP="008058DD">
      <w:pPr>
        <w:spacing w:after="0" w:line="276" w:lineRule="auto"/>
        <w:jc w:val="both"/>
        <w:rPr>
          <w:szCs w:val="20"/>
          <w:lang w:val="en-US"/>
        </w:rPr>
      </w:pPr>
    </w:p>
    <w:p w:rsidR="00324FA7" w:rsidRDefault="00324FA7" w:rsidP="008058DD">
      <w:pPr>
        <w:spacing w:after="0" w:line="276" w:lineRule="auto"/>
        <w:jc w:val="both"/>
        <w:rPr>
          <w:szCs w:val="20"/>
          <w:lang w:val="en-US"/>
        </w:rPr>
      </w:pPr>
    </w:p>
    <w:p w:rsidR="00B9374C" w:rsidRDefault="00B9374C" w:rsidP="008058DD">
      <w:pPr>
        <w:spacing w:after="0" w:line="276" w:lineRule="auto"/>
        <w:jc w:val="both"/>
        <w:rPr>
          <w:szCs w:val="20"/>
          <w:lang w:val="en-US"/>
        </w:rPr>
      </w:pPr>
    </w:p>
    <w:p w:rsidR="00EF2C14" w:rsidRDefault="00EF2C14" w:rsidP="008058DD">
      <w:pPr>
        <w:spacing w:after="0" w:line="276" w:lineRule="auto"/>
        <w:jc w:val="both"/>
        <w:rPr>
          <w:szCs w:val="20"/>
          <w:lang w:val="en-US"/>
        </w:rPr>
      </w:pPr>
    </w:p>
    <w:p w:rsidR="00DD492C" w:rsidRDefault="00DD492C" w:rsidP="008058DD">
      <w:pPr>
        <w:spacing w:after="0" w:line="276" w:lineRule="auto"/>
        <w:jc w:val="both"/>
        <w:rPr>
          <w:szCs w:val="20"/>
          <w:lang w:val="en-US"/>
        </w:rPr>
      </w:pPr>
    </w:p>
    <w:p w:rsidR="009220CC" w:rsidRDefault="009220CC" w:rsidP="008058DD">
      <w:pPr>
        <w:spacing w:after="0" w:line="276" w:lineRule="auto"/>
        <w:jc w:val="both"/>
        <w:rPr>
          <w:szCs w:val="20"/>
          <w:lang w:val="en-US"/>
        </w:rPr>
      </w:pPr>
    </w:p>
    <w:p w:rsidR="009220CC" w:rsidRDefault="008058DD" w:rsidP="008058DD">
      <w:pPr>
        <w:spacing w:after="0"/>
        <w:jc w:val="both"/>
        <w:rPr>
          <w:szCs w:val="20"/>
          <w:lang w:val="en-US"/>
        </w:rPr>
      </w:pPr>
      <w:r>
        <w:rPr>
          <w:szCs w:val="20"/>
          <w:lang w:val="en-US"/>
        </w:rPr>
        <w:t xml:space="preserve">N </w:t>
      </w:r>
      <w:r w:rsidR="00247C00">
        <w:rPr>
          <w:szCs w:val="20"/>
          <w:lang w:val="en-US"/>
        </w:rPr>
        <w:t xml:space="preserve">M </w:t>
      </w:r>
      <w:r>
        <w:rPr>
          <w:szCs w:val="20"/>
          <w:lang w:val="en-US"/>
        </w:rPr>
        <w:t>Wells</w:t>
      </w:r>
    </w:p>
    <w:p w:rsidR="008058DD" w:rsidRDefault="00B9374C" w:rsidP="008058DD">
      <w:pPr>
        <w:spacing w:after="0"/>
        <w:jc w:val="both"/>
        <w:rPr>
          <w:b/>
          <w:szCs w:val="20"/>
          <w:lang w:val="en-US"/>
        </w:rPr>
      </w:pPr>
      <w:r>
        <w:rPr>
          <w:b/>
          <w:szCs w:val="20"/>
          <w:lang w:val="en-US"/>
        </w:rPr>
        <w:t>Acting</w:t>
      </w:r>
      <w:r w:rsidR="008058DD">
        <w:rPr>
          <w:b/>
          <w:szCs w:val="20"/>
          <w:lang w:val="en-US"/>
        </w:rPr>
        <w:t xml:space="preserve"> </w:t>
      </w:r>
      <w:r w:rsidR="009220CC" w:rsidRPr="009220CC">
        <w:rPr>
          <w:b/>
          <w:szCs w:val="20"/>
          <w:lang w:val="en-US"/>
        </w:rPr>
        <w:t>President</w:t>
      </w:r>
    </w:p>
    <w:p w:rsidR="00744580" w:rsidRPr="00324FA7" w:rsidRDefault="00744580" w:rsidP="008058DD">
      <w:pPr>
        <w:spacing w:after="0"/>
        <w:jc w:val="both"/>
        <w:rPr>
          <w:szCs w:val="20"/>
          <w:lang w:val="en-US"/>
        </w:rPr>
      </w:pPr>
    </w:p>
    <w:p w:rsidR="00744580" w:rsidRPr="00324FA7" w:rsidRDefault="00744580" w:rsidP="008058DD">
      <w:pPr>
        <w:spacing w:after="0"/>
        <w:jc w:val="both"/>
        <w:rPr>
          <w:szCs w:val="20"/>
          <w:lang w:val="en-US"/>
        </w:rPr>
      </w:pPr>
    </w:p>
    <w:p w:rsidR="008058DD" w:rsidRPr="00247C00" w:rsidRDefault="008058DD" w:rsidP="008058DD">
      <w:pPr>
        <w:spacing w:after="0"/>
        <w:jc w:val="both"/>
        <w:rPr>
          <w:b/>
          <w:i/>
          <w:szCs w:val="20"/>
          <w:lang w:val="en-US"/>
        </w:rPr>
      </w:pPr>
      <w:r w:rsidRPr="00247C00">
        <w:rPr>
          <w:b/>
          <w:i/>
          <w:szCs w:val="20"/>
          <w:lang w:val="en-US"/>
        </w:rPr>
        <w:t>Appearances</w:t>
      </w:r>
      <w:r w:rsidR="00A94813">
        <w:rPr>
          <w:b/>
          <w:i/>
          <w:szCs w:val="20"/>
          <w:lang w:val="en-US"/>
        </w:rPr>
        <w:t>:</w:t>
      </w:r>
    </w:p>
    <w:p w:rsidR="008058DD" w:rsidRDefault="00880F99" w:rsidP="008058DD">
      <w:pPr>
        <w:spacing w:after="0"/>
        <w:jc w:val="both"/>
        <w:rPr>
          <w:szCs w:val="20"/>
          <w:lang w:val="en-US"/>
        </w:rPr>
      </w:pPr>
      <w:r w:rsidRPr="00247C00">
        <w:rPr>
          <w:i/>
          <w:szCs w:val="20"/>
          <w:lang w:val="en-US"/>
        </w:rPr>
        <w:t xml:space="preserve">Mr </w:t>
      </w:r>
      <w:r w:rsidR="00247C00" w:rsidRPr="00247C00">
        <w:rPr>
          <w:i/>
          <w:szCs w:val="20"/>
          <w:lang w:val="en-US"/>
        </w:rPr>
        <w:t>A Shepherd,</w:t>
      </w:r>
      <w:r w:rsidR="00247C00">
        <w:rPr>
          <w:szCs w:val="20"/>
          <w:lang w:val="en-US"/>
        </w:rPr>
        <w:t xml:space="preserve"> the A</w:t>
      </w:r>
      <w:r>
        <w:rPr>
          <w:szCs w:val="20"/>
          <w:lang w:val="en-US"/>
        </w:rPr>
        <w:t>ppellant</w:t>
      </w:r>
    </w:p>
    <w:p w:rsidR="00880F99" w:rsidRDefault="00880F99" w:rsidP="008058DD">
      <w:pPr>
        <w:spacing w:after="0"/>
        <w:jc w:val="both"/>
        <w:rPr>
          <w:szCs w:val="20"/>
          <w:lang w:val="en-US"/>
        </w:rPr>
      </w:pPr>
      <w:r w:rsidRPr="00247C00">
        <w:rPr>
          <w:i/>
          <w:szCs w:val="20"/>
          <w:lang w:val="en-US"/>
        </w:rPr>
        <w:t>Ms</w:t>
      </w:r>
      <w:r w:rsidR="00247C00" w:rsidRPr="00247C00">
        <w:rPr>
          <w:i/>
          <w:szCs w:val="20"/>
          <w:lang w:val="en-US"/>
        </w:rPr>
        <w:t xml:space="preserve"> T Banman,</w:t>
      </w:r>
      <w:r>
        <w:rPr>
          <w:szCs w:val="20"/>
          <w:lang w:val="en-US"/>
        </w:rPr>
        <w:t xml:space="preserve"> for the </w:t>
      </w:r>
      <w:r w:rsidR="00247C00">
        <w:rPr>
          <w:szCs w:val="20"/>
          <w:lang w:val="en-US"/>
        </w:rPr>
        <w:t>Responde</w:t>
      </w:r>
      <w:r>
        <w:rPr>
          <w:szCs w:val="20"/>
          <w:lang w:val="en-US"/>
        </w:rPr>
        <w:t>nt</w:t>
      </w:r>
    </w:p>
    <w:p w:rsidR="008058DD" w:rsidRDefault="00247C00" w:rsidP="008058DD">
      <w:pPr>
        <w:spacing w:after="0"/>
        <w:jc w:val="both"/>
        <w:rPr>
          <w:szCs w:val="20"/>
          <w:lang w:val="en-US"/>
        </w:rPr>
      </w:pPr>
      <w:r w:rsidRPr="00247C00">
        <w:rPr>
          <w:i/>
          <w:szCs w:val="20"/>
          <w:lang w:val="en-US"/>
        </w:rPr>
        <w:t>Mr B Charlton,</w:t>
      </w:r>
      <w:r>
        <w:rPr>
          <w:szCs w:val="20"/>
          <w:lang w:val="en-US"/>
        </w:rPr>
        <w:t xml:space="preserve"> for the Respondent</w:t>
      </w:r>
    </w:p>
    <w:p w:rsidR="008058DD" w:rsidRPr="00C77863" w:rsidRDefault="008058DD" w:rsidP="008058DD">
      <w:pPr>
        <w:spacing w:after="0"/>
        <w:jc w:val="both"/>
        <w:rPr>
          <w:szCs w:val="20"/>
          <w:lang w:val="en-US"/>
        </w:rPr>
      </w:pPr>
    </w:p>
    <w:p w:rsidR="008058DD" w:rsidRPr="00247C00" w:rsidRDefault="00A94813" w:rsidP="008058DD">
      <w:pPr>
        <w:spacing w:after="0"/>
        <w:jc w:val="both"/>
        <w:rPr>
          <w:b/>
          <w:bCs/>
          <w:i/>
        </w:rPr>
      </w:pPr>
      <w:r>
        <w:rPr>
          <w:b/>
          <w:bCs/>
          <w:i/>
        </w:rPr>
        <w:t>Date and place of hearing:</w:t>
      </w:r>
    </w:p>
    <w:p w:rsidR="008058DD" w:rsidRPr="00247C00" w:rsidRDefault="008058DD" w:rsidP="008058DD">
      <w:pPr>
        <w:spacing w:after="0"/>
        <w:jc w:val="both"/>
        <w:rPr>
          <w:rFonts w:cs="Arial"/>
          <w:lang w:val="en-US"/>
        </w:rPr>
      </w:pPr>
      <w:r>
        <w:rPr>
          <w:rFonts w:cs="Arial"/>
          <w:lang w:val="en-US"/>
        </w:rPr>
        <w:t>201</w:t>
      </w:r>
      <w:r w:rsidR="00247C00">
        <w:rPr>
          <w:rFonts w:cs="Arial"/>
          <w:lang w:val="en-US"/>
        </w:rPr>
        <w:t>6</w:t>
      </w:r>
    </w:p>
    <w:p w:rsidR="00247C00" w:rsidRDefault="00247C00" w:rsidP="008058DD">
      <w:pPr>
        <w:spacing w:after="0"/>
        <w:jc w:val="both"/>
        <w:rPr>
          <w:szCs w:val="20"/>
          <w:lang w:val="en-US"/>
        </w:rPr>
      </w:pPr>
      <w:r>
        <w:rPr>
          <w:szCs w:val="20"/>
          <w:lang w:val="en-US"/>
        </w:rPr>
        <w:t>11 May</w:t>
      </w:r>
    </w:p>
    <w:p w:rsidR="008058DD" w:rsidRPr="00C77863" w:rsidRDefault="00247C00" w:rsidP="008058DD">
      <w:pPr>
        <w:spacing w:after="0"/>
        <w:jc w:val="both"/>
        <w:rPr>
          <w:szCs w:val="20"/>
          <w:lang w:val="en-US"/>
        </w:rPr>
      </w:pPr>
      <w:r>
        <w:rPr>
          <w:szCs w:val="20"/>
          <w:lang w:val="en-US"/>
        </w:rPr>
        <w:t>Fair Work Commission, Hobart</w:t>
      </w:r>
    </w:p>
    <w:p w:rsidR="008058DD" w:rsidRDefault="008058DD" w:rsidP="008058DD">
      <w:pPr>
        <w:spacing w:after="0"/>
        <w:jc w:val="both"/>
        <w:rPr>
          <w:szCs w:val="20"/>
          <w:lang w:val="en-US"/>
        </w:rPr>
      </w:pPr>
    </w:p>
    <w:p w:rsidR="00A94813" w:rsidRPr="00247C00" w:rsidRDefault="00A94813" w:rsidP="00A94813">
      <w:pPr>
        <w:spacing w:after="0"/>
        <w:jc w:val="both"/>
        <w:rPr>
          <w:b/>
          <w:bCs/>
          <w:i/>
        </w:rPr>
      </w:pPr>
      <w:r>
        <w:rPr>
          <w:b/>
          <w:bCs/>
          <w:i/>
        </w:rPr>
        <w:t>Further written submissions received:</w:t>
      </w:r>
    </w:p>
    <w:p w:rsidR="00A94813" w:rsidRDefault="00A94813" w:rsidP="00A94813">
      <w:pPr>
        <w:spacing w:after="0"/>
        <w:jc w:val="both"/>
        <w:rPr>
          <w:rFonts w:cs="Arial"/>
          <w:lang w:val="en-US"/>
        </w:rPr>
      </w:pPr>
      <w:r>
        <w:rPr>
          <w:rFonts w:cs="Arial"/>
          <w:lang w:val="en-US"/>
        </w:rPr>
        <w:t>2016</w:t>
      </w:r>
    </w:p>
    <w:p w:rsidR="00A94813" w:rsidRPr="00247C00" w:rsidRDefault="00A94813" w:rsidP="00A94813">
      <w:pPr>
        <w:spacing w:after="0"/>
        <w:jc w:val="both"/>
        <w:rPr>
          <w:rFonts w:cs="Arial"/>
          <w:lang w:val="en-US"/>
        </w:rPr>
      </w:pPr>
      <w:r>
        <w:rPr>
          <w:rFonts w:cs="Arial"/>
          <w:lang w:val="en-US"/>
        </w:rPr>
        <w:t>20 May</w:t>
      </w:r>
    </w:p>
    <w:p w:rsidR="00E748B1" w:rsidRDefault="00E748B1" w:rsidP="008058DD">
      <w:pPr>
        <w:spacing w:after="0"/>
        <w:jc w:val="both"/>
        <w:rPr>
          <w:szCs w:val="20"/>
          <w:lang w:val="en-US"/>
        </w:rPr>
      </w:pPr>
    </w:p>
    <w:sectPr w:rsidR="00E748B1" w:rsidSect="003D0287">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6CA" w:rsidRDefault="00F806CA" w:rsidP="000550F7">
      <w:pPr>
        <w:spacing w:after="0"/>
      </w:pPr>
      <w:r>
        <w:separator/>
      </w:r>
    </w:p>
  </w:endnote>
  <w:endnote w:type="continuationSeparator" w:id="0">
    <w:p w:rsidR="00F806CA" w:rsidRDefault="00F806CA" w:rsidP="000550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6CA" w:rsidRDefault="00F806CA" w:rsidP="000550F7">
      <w:pPr>
        <w:spacing w:after="0"/>
      </w:pPr>
      <w:r>
        <w:separator/>
      </w:r>
    </w:p>
  </w:footnote>
  <w:footnote w:type="continuationSeparator" w:id="0">
    <w:p w:rsidR="00F806CA" w:rsidRDefault="00F806CA" w:rsidP="000550F7">
      <w:pPr>
        <w:spacing w:after="0"/>
      </w:pPr>
      <w:r>
        <w:continuationSeparator/>
      </w:r>
    </w:p>
  </w:footnote>
  <w:footnote w:id="1">
    <w:p w:rsidR="00C911A6" w:rsidRDefault="00C911A6" w:rsidP="00C911A6">
      <w:pPr>
        <w:pStyle w:val="FootnoteText"/>
        <w:spacing w:after="0"/>
      </w:pPr>
      <w:r>
        <w:rPr>
          <w:rStyle w:val="FootnoteReference"/>
        </w:rPr>
        <w:footnoteRef/>
      </w:r>
      <w:r w:rsidRPr="00C911A6">
        <w:rPr>
          <w:sz w:val="16"/>
          <w:szCs w:val="16"/>
        </w:rPr>
        <w:t xml:space="preserve"> Exhibit A2 – Further written submissions of the Appellant; Exhibit R2 – Further written submissions of the Respondent</w:t>
      </w:r>
    </w:p>
  </w:footnote>
  <w:footnote w:id="2">
    <w:p w:rsidR="00E04B22" w:rsidRDefault="00E04B22" w:rsidP="00C911A6">
      <w:pPr>
        <w:pStyle w:val="FootnoteText"/>
        <w:spacing w:after="0"/>
      </w:pPr>
      <w:r>
        <w:rPr>
          <w:rStyle w:val="FootnoteReference"/>
        </w:rPr>
        <w:footnoteRef/>
      </w:r>
      <w:r w:rsidRPr="00E04B22">
        <w:rPr>
          <w:sz w:val="16"/>
          <w:szCs w:val="16"/>
        </w:rPr>
        <w:t xml:space="preserve"> Exhibit R1 – Written submissions of the Respondent</w:t>
      </w:r>
    </w:p>
  </w:footnote>
  <w:footnote w:id="3">
    <w:p w:rsidR="00FE0382" w:rsidRDefault="00FE0382" w:rsidP="00F54ACE">
      <w:pPr>
        <w:pStyle w:val="FootnoteText"/>
        <w:spacing w:after="0"/>
      </w:pPr>
      <w:r>
        <w:rPr>
          <w:rStyle w:val="FootnoteReference"/>
        </w:rPr>
        <w:footnoteRef/>
      </w:r>
      <w:r w:rsidRPr="00FE0382">
        <w:rPr>
          <w:sz w:val="16"/>
          <w:szCs w:val="16"/>
        </w:rPr>
        <w:t xml:space="preserve"> </w:t>
      </w:r>
      <w:r w:rsidRPr="00FE0382">
        <w:rPr>
          <w:i/>
          <w:sz w:val="16"/>
          <w:szCs w:val="16"/>
        </w:rPr>
        <w:t>Industrial Relations Act 1984</w:t>
      </w:r>
      <w:r w:rsidR="004A50FB">
        <w:rPr>
          <w:i/>
          <w:sz w:val="16"/>
          <w:szCs w:val="16"/>
        </w:rPr>
        <w:t xml:space="preserve">, </w:t>
      </w:r>
      <w:r w:rsidR="004A50FB">
        <w:rPr>
          <w:sz w:val="16"/>
          <w:szCs w:val="16"/>
        </w:rPr>
        <w:t>s31(1)</w:t>
      </w:r>
    </w:p>
  </w:footnote>
  <w:footnote w:id="4">
    <w:p w:rsidR="00F54ACE" w:rsidRDefault="00F54ACE" w:rsidP="00F54ACE">
      <w:pPr>
        <w:pStyle w:val="FootnoteText"/>
        <w:spacing w:after="0"/>
      </w:pPr>
      <w:r>
        <w:rPr>
          <w:rStyle w:val="FootnoteReference"/>
        </w:rPr>
        <w:footnoteRef/>
      </w:r>
      <w:r w:rsidR="004A50FB">
        <w:rPr>
          <w:sz w:val="16"/>
          <w:szCs w:val="16"/>
        </w:rPr>
        <w:t xml:space="preserve"> Paragraphs [143] -</w:t>
      </w:r>
      <w:r w:rsidRPr="00F54ACE">
        <w:rPr>
          <w:sz w:val="16"/>
          <w:szCs w:val="16"/>
        </w:rPr>
        <w:t xml:space="preserve"> [144] of Abey P’s decision T14368 of 2015</w:t>
      </w:r>
    </w:p>
  </w:footnote>
  <w:footnote w:id="5">
    <w:p w:rsidR="00E04B22" w:rsidRDefault="00E04B22">
      <w:pPr>
        <w:pStyle w:val="FootnoteText"/>
      </w:pPr>
      <w:r>
        <w:rPr>
          <w:rStyle w:val="FootnoteReference"/>
        </w:rPr>
        <w:footnoteRef/>
      </w:r>
      <w:r w:rsidRPr="00E04B22">
        <w:rPr>
          <w:sz w:val="16"/>
          <w:szCs w:val="16"/>
        </w:rPr>
        <w:t xml:space="preserve"> Exhibit A1 –</w:t>
      </w:r>
      <w:r>
        <w:rPr>
          <w:sz w:val="16"/>
          <w:szCs w:val="16"/>
        </w:rPr>
        <w:t xml:space="preserve"> Written s</w:t>
      </w:r>
      <w:r w:rsidRPr="00E04B22">
        <w:rPr>
          <w:sz w:val="16"/>
          <w:szCs w:val="16"/>
        </w:rPr>
        <w:t>ubmissions of Appellant</w:t>
      </w:r>
    </w:p>
  </w:footnote>
  <w:footnote w:id="6">
    <w:p w:rsidR="004A66A8" w:rsidRPr="00686A6C" w:rsidRDefault="004A66A8">
      <w:pPr>
        <w:pStyle w:val="FootnoteText"/>
      </w:pPr>
      <w:r>
        <w:rPr>
          <w:rStyle w:val="FootnoteReference"/>
        </w:rPr>
        <w:footnoteRef/>
      </w:r>
      <w:r w:rsidRPr="00686A6C">
        <w:rPr>
          <w:sz w:val="16"/>
          <w:szCs w:val="16"/>
        </w:rPr>
        <w:t xml:space="preserve"> </w:t>
      </w:r>
      <w:r w:rsidRPr="00686A6C">
        <w:rPr>
          <w:i/>
          <w:sz w:val="16"/>
          <w:szCs w:val="16"/>
        </w:rPr>
        <w:t xml:space="preserve">Industrial Relations Amendment (Enterprise Agreements and Workplace Freedom) Act </w:t>
      </w:r>
      <w:r w:rsidRPr="00686A6C">
        <w:rPr>
          <w:sz w:val="16"/>
          <w:szCs w:val="16"/>
        </w:rPr>
        <w:t>1992, Bill number 1992\123, Second Reading speech, paragraph 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692247"/>
      <w:docPartObj>
        <w:docPartGallery w:val="Page Numbers (Top of Page)"/>
        <w:docPartUnique/>
      </w:docPartObj>
    </w:sdtPr>
    <w:sdtEndPr>
      <w:rPr>
        <w:noProof/>
      </w:rPr>
    </w:sdtEndPr>
    <w:sdtContent>
      <w:p w:rsidR="0088012A" w:rsidRDefault="00424600">
        <w:pPr>
          <w:pStyle w:val="Header"/>
          <w:jc w:val="right"/>
        </w:pPr>
        <w:r>
          <w:fldChar w:fldCharType="begin"/>
        </w:r>
        <w:r>
          <w:instrText xml:space="preserve"> PAGE   \* MERGEFORMAT </w:instrText>
        </w:r>
        <w:r>
          <w:fldChar w:fldCharType="separate"/>
        </w:r>
        <w:r w:rsidR="00276CC1">
          <w:rPr>
            <w:noProof/>
          </w:rPr>
          <w:t>2</w:t>
        </w:r>
        <w:r>
          <w:rPr>
            <w:noProof/>
          </w:rPr>
          <w:fldChar w:fldCharType="end"/>
        </w:r>
      </w:p>
    </w:sdtContent>
  </w:sdt>
  <w:p w:rsidR="0088012A" w:rsidRDefault="008801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12A" w:rsidRDefault="0088012A">
    <w:pPr>
      <w:pStyle w:val="Header"/>
      <w:jc w:val="center"/>
    </w:pPr>
  </w:p>
  <w:p w:rsidR="0088012A" w:rsidRDefault="008801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039"/>
    <w:multiLevelType w:val="singleLevel"/>
    <w:tmpl w:val="97D07DBC"/>
    <w:lvl w:ilvl="0">
      <w:start w:val="1"/>
      <w:numFmt w:val="decimal"/>
      <w:pStyle w:val="NumberedPara"/>
      <w:lvlText w:val="[%1]"/>
      <w:lvlJc w:val="left"/>
      <w:pPr>
        <w:tabs>
          <w:tab w:val="num" w:pos="737"/>
        </w:tabs>
        <w:ind w:left="0" w:firstLine="0"/>
      </w:pPr>
      <w:rPr>
        <w:rFonts w:hint="default"/>
        <w:b/>
        <w:i w:val="0"/>
        <w:sz w:val="24"/>
      </w:rPr>
    </w:lvl>
  </w:abstractNum>
  <w:abstractNum w:abstractNumId="1">
    <w:nsid w:val="076F6B94"/>
    <w:multiLevelType w:val="hybridMultilevel"/>
    <w:tmpl w:val="135E6D38"/>
    <w:lvl w:ilvl="0" w:tplc="E3724FE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3112E6"/>
    <w:multiLevelType w:val="hybridMultilevel"/>
    <w:tmpl w:val="665A24DA"/>
    <w:lvl w:ilvl="0" w:tplc="87DA4F6C">
      <w:start w:val="1"/>
      <w:numFmt w:val="lowerLetter"/>
      <w:lvlText w:val="(%1)"/>
      <w:lvlJc w:val="left"/>
      <w:pPr>
        <w:ind w:left="2115" w:hanging="360"/>
      </w:pPr>
      <w:rPr>
        <w:rFonts w:hint="default"/>
      </w:rPr>
    </w:lvl>
    <w:lvl w:ilvl="1" w:tplc="0C090019" w:tentative="1">
      <w:start w:val="1"/>
      <w:numFmt w:val="lowerLetter"/>
      <w:lvlText w:val="%2."/>
      <w:lvlJc w:val="left"/>
      <w:pPr>
        <w:ind w:left="2835" w:hanging="360"/>
      </w:pPr>
    </w:lvl>
    <w:lvl w:ilvl="2" w:tplc="0C09001B" w:tentative="1">
      <w:start w:val="1"/>
      <w:numFmt w:val="lowerRoman"/>
      <w:lvlText w:val="%3."/>
      <w:lvlJc w:val="right"/>
      <w:pPr>
        <w:ind w:left="3555" w:hanging="180"/>
      </w:pPr>
    </w:lvl>
    <w:lvl w:ilvl="3" w:tplc="0C09000F" w:tentative="1">
      <w:start w:val="1"/>
      <w:numFmt w:val="decimal"/>
      <w:lvlText w:val="%4."/>
      <w:lvlJc w:val="left"/>
      <w:pPr>
        <w:ind w:left="4275" w:hanging="360"/>
      </w:pPr>
    </w:lvl>
    <w:lvl w:ilvl="4" w:tplc="0C090019" w:tentative="1">
      <w:start w:val="1"/>
      <w:numFmt w:val="lowerLetter"/>
      <w:lvlText w:val="%5."/>
      <w:lvlJc w:val="left"/>
      <w:pPr>
        <w:ind w:left="4995" w:hanging="360"/>
      </w:pPr>
    </w:lvl>
    <w:lvl w:ilvl="5" w:tplc="0C09001B" w:tentative="1">
      <w:start w:val="1"/>
      <w:numFmt w:val="lowerRoman"/>
      <w:lvlText w:val="%6."/>
      <w:lvlJc w:val="right"/>
      <w:pPr>
        <w:ind w:left="5715" w:hanging="180"/>
      </w:pPr>
    </w:lvl>
    <w:lvl w:ilvl="6" w:tplc="0C09000F" w:tentative="1">
      <w:start w:val="1"/>
      <w:numFmt w:val="decimal"/>
      <w:lvlText w:val="%7."/>
      <w:lvlJc w:val="left"/>
      <w:pPr>
        <w:ind w:left="6435" w:hanging="360"/>
      </w:pPr>
    </w:lvl>
    <w:lvl w:ilvl="7" w:tplc="0C090019" w:tentative="1">
      <w:start w:val="1"/>
      <w:numFmt w:val="lowerLetter"/>
      <w:lvlText w:val="%8."/>
      <w:lvlJc w:val="left"/>
      <w:pPr>
        <w:ind w:left="7155" w:hanging="360"/>
      </w:pPr>
    </w:lvl>
    <w:lvl w:ilvl="8" w:tplc="0C09001B" w:tentative="1">
      <w:start w:val="1"/>
      <w:numFmt w:val="lowerRoman"/>
      <w:lvlText w:val="%9."/>
      <w:lvlJc w:val="right"/>
      <w:pPr>
        <w:ind w:left="7875" w:hanging="180"/>
      </w:pPr>
    </w:lvl>
  </w:abstractNum>
  <w:abstractNum w:abstractNumId="3">
    <w:nsid w:val="0CB12122"/>
    <w:multiLevelType w:val="hybridMultilevel"/>
    <w:tmpl w:val="B096037C"/>
    <w:lvl w:ilvl="0" w:tplc="C72A2628">
      <w:start w:val="1"/>
      <w:numFmt w:val="decimal"/>
      <w:lvlRestart w:val="0"/>
      <w:lvlText w:val="[%1]"/>
      <w:lvlJc w:val="left"/>
      <w:pPr>
        <w:tabs>
          <w:tab w:val="num" w:pos="720"/>
        </w:tabs>
        <w:ind w:left="0" w:firstLine="0"/>
      </w:pPr>
      <w:rPr>
        <w:rFonts w:ascii="Verdana" w:hAnsi="Verdana"/>
        <w:b/>
        <w:i w:val="0"/>
        <w:sz w:val="20"/>
      </w:rPr>
    </w:lvl>
    <w:lvl w:ilvl="1" w:tplc="1178A3B4">
      <w:start w:val="1"/>
      <w:numFmt w:val="decimal"/>
      <w:lvlText w:val="(%2)"/>
      <w:lvlJc w:val="left"/>
      <w:pPr>
        <w:tabs>
          <w:tab w:val="num" w:pos="1875"/>
        </w:tabs>
        <w:ind w:left="1875" w:hanging="795"/>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0F014BA3"/>
    <w:multiLevelType w:val="hybridMultilevel"/>
    <w:tmpl w:val="3560F6D0"/>
    <w:lvl w:ilvl="0" w:tplc="8C505098">
      <w:start w:val="1"/>
      <w:numFmt w:val="lowerRoman"/>
      <w:lvlText w:val="(%1)"/>
      <w:lvlJc w:val="left"/>
      <w:pPr>
        <w:ind w:left="1440" w:hanging="72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11372DDF"/>
    <w:multiLevelType w:val="multilevel"/>
    <w:tmpl w:val="69D4605E"/>
    <w:lvl w:ilvl="0">
      <w:start w:val="1"/>
      <w:numFmt w:val="decimal"/>
      <w:lvlText w:val="%1."/>
      <w:lvlJc w:val="left"/>
      <w:pPr>
        <w:ind w:left="927" w:hanging="360"/>
      </w:pPr>
      <w:rPr>
        <w:rFonts w:hint="default"/>
        <w:i/>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447" w:hanging="144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5247" w:hanging="2160"/>
      </w:pPr>
      <w:rPr>
        <w:rFonts w:hint="default"/>
      </w:rPr>
    </w:lvl>
    <w:lvl w:ilvl="8">
      <w:start w:val="1"/>
      <w:numFmt w:val="decimal"/>
      <w:isLgl/>
      <w:lvlText w:val="%1.%2.%3.%4.%5.%6.%7.%8.%9"/>
      <w:lvlJc w:val="left"/>
      <w:pPr>
        <w:ind w:left="5607" w:hanging="2160"/>
      </w:pPr>
      <w:rPr>
        <w:rFonts w:hint="default"/>
      </w:rPr>
    </w:lvl>
  </w:abstractNum>
  <w:abstractNum w:abstractNumId="6">
    <w:nsid w:val="1341523B"/>
    <w:multiLevelType w:val="hybridMultilevel"/>
    <w:tmpl w:val="3CE23480"/>
    <w:lvl w:ilvl="0" w:tplc="9BE895AE">
      <w:start w:val="1"/>
      <w:numFmt w:val="decimal"/>
      <w:lvlRestart w:val="0"/>
      <w:lvlText w:val="[%1]"/>
      <w:lvlJc w:val="left"/>
      <w:pPr>
        <w:tabs>
          <w:tab w:val="num" w:pos="5824"/>
        </w:tabs>
        <w:ind w:left="5104" w:firstLine="0"/>
      </w:pPr>
      <w:rPr>
        <w:rFonts w:ascii="Verdana" w:hAnsi="Verdana"/>
        <w:b/>
        <w:i w:val="0"/>
        <w:sz w:val="20"/>
      </w:rPr>
    </w:lvl>
    <w:lvl w:ilvl="1" w:tplc="0C090019">
      <w:start w:val="1"/>
      <w:numFmt w:val="lowerLetter"/>
      <w:lvlText w:val="%2."/>
      <w:lvlJc w:val="left"/>
      <w:pPr>
        <w:tabs>
          <w:tab w:val="num" w:pos="1440"/>
        </w:tabs>
        <w:ind w:left="1440" w:hanging="360"/>
      </w:pPr>
    </w:lvl>
    <w:lvl w:ilvl="2" w:tplc="0AF26842">
      <w:start w:val="2"/>
      <w:numFmt w:val="decimal"/>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14DB4172"/>
    <w:multiLevelType w:val="hybridMultilevel"/>
    <w:tmpl w:val="D05E62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3F76F77"/>
    <w:multiLevelType w:val="hybridMultilevel"/>
    <w:tmpl w:val="977273B4"/>
    <w:lvl w:ilvl="0" w:tplc="1A78CFBA">
      <w:start w:val="1"/>
      <w:numFmt w:val="lowerLetter"/>
      <w:lvlText w:val="(%1)"/>
      <w:lvlJc w:val="left"/>
      <w:pPr>
        <w:ind w:left="942" w:hanging="375"/>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9">
    <w:nsid w:val="2837730F"/>
    <w:multiLevelType w:val="multilevel"/>
    <w:tmpl w:val="69D4605E"/>
    <w:lvl w:ilvl="0">
      <w:start w:val="1"/>
      <w:numFmt w:val="decimal"/>
      <w:lvlText w:val="%1."/>
      <w:lvlJc w:val="left"/>
      <w:pPr>
        <w:ind w:left="927" w:hanging="360"/>
      </w:pPr>
      <w:rPr>
        <w:rFonts w:hint="default"/>
        <w:i/>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447" w:hanging="144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5247" w:hanging="2160"/>
      </w:pPr>
      <w:rPr>
        <w:rFonts w:hint="default"/>
      </w:rPr>
    </w:lvl>
    <w:lvl w:ilvl="8">
      <w:start w:val="1"/>
      <w:numFmt w:val="decimal"/>
      <w:isLgl/>
      <w:lvlText w:val="%1.%2.%3.%4.%5.%6.%7.%8.%9"/>
      <w:lvlJc w:val="left"/>
      <w:pPr>
        <w:ind w:left="5607" w:hanging="2160"/>
      </w:pPr>
      <w:rPr>
        <w:rFonts w:hint="default"/>
      </w:rPr>
    </w:lvl>
  </w:abstractNum>
  <w:abstractNum w:abstractNumId="10">
    <w:nsid w:val="2D8C1B1E"/>
    <w:multiLevelType w:val="hybridMultilevel"/>
    <w:tmpl w:val="FD065C06"/>
    <w:lvl w:ilvl="0" w:tplc="DAC8A640">
      <w:start w:val="1"/>
      <w:numFmt w:val="lowerLetter"/>
      <w:lvlText w:val="(%1)"/>
      <w:lvlJc w:val="left"/>
      <w:pPr>
        <w:ind w:left="1080" w:hanging="360"/>
      </w:pPr>
      <w:rPr>
        <w:rFonts w:ascii="Verdana" w:eastAsia="Calibri" w:hAnsi="Verdana"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2FCC7355"/>
    <w:multiLevelType w:val="hybridMultilevel"/>
    <w:tmpl w:val="C95A06F4"/>
    <w:lvl w:ilvl="0" w:tplc="210878A4">
      <w:start w:val="1"/>
      <w:numFmt w:val="lowerRoman"/>
      <w:lvlText w:val="(%1)"/>
      <w:lvlJc w:val="left"/>
      <w:pPr>
        <w:ind w:left="1593" w:hanging="720"/>
      </w:pPr>
      <w:rPr>
        <w:rFonts w:hint="default"/>
        <w:i/>
      </w:rPr>
    </w:lvl>
    <w:lvl w:ilvl="1" w:tplc="0C090019" w:tentative="1">
      <w:start w:val="1"/>
      <w:numFmt w:val="lowerLetter"/>
      <w:lvlText w:val="%2."/>
      <w:lvlJc w:val="left"/>
      <w:pPr>
        <w:ind w:left="1953" w:hanging="360"/>
      </w:pPr>
    </w:lvl>
    <w:lvl w:ilvl="2" w:tplc="0C09001B" w:tentative="1">
      <w:start w:val="1"/>
      <w:numFmt w:val="lowerRoman"/>
      <w:lvlText w:val="%3."/>
      <w:lvlJc w:val="right"/>
      <w:pPr>
        <w:ind w:left="2673" w:hanging="180"/>
      </w:pPr>
    </w:lvl>
    <w:lvl w:ilvl="3" w:tplc="0C09000F" w:tentative="1">
      <w:start w:val="1"/>
      <w:numFmt w:val="decimal"/>
      <w:lvlText w:val="%4."/>
      <w:lvlJc w:val="left"/>
      <w:pPr>
        <w:ind w:left="3393" w:hanging="360"/>
      </w:pPr>
    </w:lvl>
    <w:lvl w:ilvl="4" w:tplc="0C090019" w:tentative="1">
      <w:start w:val="1"/>
      <w:numFmt w:val="lowerLetter"/>
      <w:lvlText w:val="%5."/>
      <w:lvlJc w:val="left"/>
      <w:pPr>
        <w:ind w:left="4113" w:hanging="360"/>
      </w:pPr>
    </w:lvl>
    <w:lvl w:ilvl="5" w:tplc="0C09001B" w:tentative="1">
      <w:start w:val="1"/>
      <w:numFmt w:val="lowerRoman"/>
      <w:lvlText w:val="%6."/>
      <w:lvlJc w:val="right"/>
      <w:pPr>
        <w:ind w:left="4833" w:hanging="180"/>
      </w:pPr>
    </w:lvl>
    <w:lvl w:ilvl="6" w:tplc="0C09000F" w:tentative="1">
      <w:start w:val="1"/>
      <w:numFmt w:val="decimal"/>
      <w:lvlText w:val="%7."/>
      <w:lvlJc w:val="left"/>
      <w:pPr>
        <w:ind w:left="5553" w:hanging="360"/>
      </w:pPr>
    </w:lvl>
    <w:lvl w:ilvl="7" w:tplc="0C090019" w:tentative="1">
      <w:start w:val="1"/>
      <w:numFmt w:val="lowerLetter"/>
      <w:lvlText w:val="%8."/>
      <w:lvlJc w:val="left"/>
      <w:pPr>
        <w:ind w:left="6273" w:hanging="360"/>
      </w:pPr>
    </w:lvl>
    <w:lvl w:ilvl="8" w:tplc="0C09001B" w:tentative="1">
      <w:start w:val="1"/>
      <w:numFmt w:val="lowerRoman"/>
      <w:lvlText w:val="%9."/>
      <w:lvlJc w:val="right"/>
      <w:pPr>
        <w:ind w:left="6993" w:hanging="180"/>
      </w:pPr>
    </w:lvl>
  </w:abstractNum>
  <w:abstractNum w:abstractNumId="12">
    <w:nsid w:val="3546017E"/>
    <w:multiLevelType w:val="hybridMultilevel"/>
    <w:tmpl w:val="B6821960"/>
    <w:lvl w:ilvl="0" w:tplc="42AE706E">
      <w:start w:val="1"/>
      <w:numFmt w:val="lowerLetter"/>
      <w:lvlText w:val="%1)"/>
      <w:lvlJc w:val="left"/>
      <w:pPr>
        <w:ind w:left="2367" w:hanging="360"/>
      </w:pPr>
      <w:rPr>
        <w:rFonts w:hint="default"/>
      </w:rPr>
    </w:lvl>
    <w:lvl w:ilvl="1" w:tplc="0C090019" w:tentative="1">
      <w:start w:val="1"/>
      <w:numFmt w:val="lowerLetter"/>
      <w:lvlText w:val="%2."/>
      <w:lvlJc w:val="left"/>
      <w:pPr>
        <w:ind w:left="3087" w:hanging="360"/>
      </w:pPr>
    </w:lvl>
    <w:lvl w:ilvl="2" w:tplc="0C09001B">
      <w:start w:val="1"/>
      <w:numFmt w:val="lowerRoman"/>
      <w:lvlText w:val="%3."/>
      <w:lvlJc w:val="right"/>
      <w:pPr>
        <w:ind w:left="3807" w:hanging="180"/>
      </w:pPr>
    </w:lvl>
    <w:lvl w:ilvl="3" w:tplc="0C09000F" w:tentative="1">
      <w:start w:val="1"/>
      <w:numFmt w:val="decimal"/>
      <w:lvlText w:val="%4."/>
      <w:lvlJc w:val="left"/>
      <w:pPr>
        <w:ind w:left="4527" w:hanging="360"/>
      </w:pPr>
    </w:lvl>
    <w:lvl w:ilvl="4" w:tplc="0C090019" w:tentative="1">
      <w:start w:val="1"/>
      <w:numFmt w:val="lowerLetter"/>
      <w:lvlText w:val="%5."/>
      <w:lvlJc w:val="left"/>
      <w:pPr>
        <w:ind w:left="5247" w:hanging="360"/>
      </w:pPr>
    </w:lvl>
    <w:lvl w:ilvl="5" w:tplc="0C09001B" w:tentative="1">
      <w:start w:val="1"/>
      <w:numFmt w:val="lowerRoman"/>
      <w:lvlText w:val="%6."/>
      <w:lvlJc w:val="right"/>
      <w:pPr>
        <w:ind w:left="5967" w:hanging="180"/>
      </w:pPr>
    </w:lvl>
    <w:lvl w:ilvl="6" w:tplc="0C09000F" w:tentative="1">
      <w:start w:val="1"/>
      <w:numFmt w:val="decimal"/>
      <w:lvlText w:val="%7."/>
      <w:lvlJc w:val="left"/>
      <w:pPr>
        <w:ind w:left="6687" w:hanging="360"/>
      </w:pPr>
    </w:lvl>
    <w:lvl w:ilvl="7" w:tplc="0C090019" w:tentative="1">
      <w:start w:val="1"/>
      <w:numFmt w:val="lowerLetter"/>
      <w:lvlText w:val="%8."/>
      <w:lvlJc w:val="left"/>
      <w:pPr>
        <w:ind w:left="7407" w:hanging="360"/>
      </w:pPr>
    </w:lvl>
    <w:lvl w:ilvl="8" w:tplc="0C09001B" w:tentative="1">
      <w:start w:val="1"/>
      <w:numFmt w:val="lowerRoman"/>
      <w:lvlText w:val="%9."/>
      <w:lvlJc w:val="right"/>
      <w:pPr>
        <w:ind w:left="8127" w:hanging="180"/>
      </w:pPr>
    </w:lvl>
  </w:abstractNum>
  <w:abstractNum w:abstractNumId="13">
    <w:nsid w:val="37197953"/>
    <w:multiLevelType w:val="hybridMultilevel"/>
    <w:tmpl w:val="1ECCF398"/>
    <w:lvl w:ilvl="0" w:tplc="0C09000F">
      <w:start w:val="1"/>
      <w:numFmt w:val="decimal"/>
      <w:lvlText w:val="%1."/>
      <w:lvlJc w:val="left"/>
      <w:pPr>
        <w:ind w:left="3555" w:hanging="360"/>
      </w:pPr>
      <w:rPr>
        <w:rFonts w:hint="default"/>
      </w:rPr>
    </w:lvl>
    <w:lvl w:ilvl="1" w:tplc="0C09001B">
      <w:start w:val="1"/>
      <w:numFmt w:val="lowerRoman"/>
      <w:lvlText w:val="%2."/>
      <w:lvlJc w:val="right"/>
      <w:pPr>
        <w:ind w:left="4275" w:hanging="360"/>
      </w:pPr>
    </w:lvl>
    <w:lvl w:ilvl="2" w:tplc="0C09001B" w:tentative="1">
      <w:start w:val="1"/>
      <w:numFmt w:val="lowerRoman"/>
      <w:lvlText w:val="%3."/>
      <w:lvlJc w:val="right"/>
      <w:pPr>
        <w:ind w:left="4995" w:hanging="180"/>
      </w:pPr>
    </w:lvl>
    <w:lvl w:ilvl="3" w:tplc="0C09000F" w:tentative="1">
      <w:start w:val="1"/>
      <w:numFmt w:val="decimal"/>
      <w:lvlText w:val="%4."/>
      <w:lvlJc w:val="left"/>
      <w:pPr>
        <w:ind w:left="5715" w:hanging="360"/>
      </w:pPr>
    </w:lvl>
    <w:lvl w:ilvl="4" w:tplc="0C090019" w:tentative="1">
      <w:start w:val="1"/>
      <w:numFmt w:val="lowerLetter"/>
      <w:lvlText w:val="%5."/>
      <w:lvlJc w:val="left"/>
      <w:pPr>
        <w:ind w:left="6435" w:hanging="360"/>
      </w:pPr>
    </w:lvl>
    <w:lvl w:ilvl="5" w:tplc="0C09001B" w:tentative="1">
      <w:start w:val="1"/>
      <w:numFmt w:val="lowerRoman"/>
      <w:lvlText w:val="%6."/>
      <w:lvlJc w:val="right"/>
      <w:pPr>
        <w:ind w:left="7155" w:hanging="180"/>
      </w:pPr>
    </w:lvl>
    <w:lvl w:ilvl="6" w:tplc="0C09000F" w:tentative="1">
      <w:start w:val="1"/>
      <w:numFmt w:val="decimal"/>
      <w:lvlText w:val="%7."/>
      <w:lvlJc w:val="left"/>
      <w:pPr>
        <w:ind w:left="7875" w:hanging="360"/>
      </w:pPr>
    </w:lvl>
    <w:lvl w:ilvl="7" w:tplc="0C090019" w:tentative="1">
      <w:start w:val="1"/>
      <w:numFmt w:val="lowerLetter"/>
      <w:lvlText w:val="%8."/>
      <w:lvlJc w:val="left"/>
      <w:pPr>
        <w:ind w:left="8595" w:hanging="360"/>
      </w:pPr>
    </w:lvl>
    <w:lvl w:ilvl="8" w:tplc="0C09001B" w:tentative="1">
      <w:start w:val="1"/>
      <w:numFmt w:val="lowerRoman"/>
      <w:lvlText w:val="%9."/>
      <w:lvlJc w:val="right"/>
      <w:pPr>
        <w:ind w:left="9315" w:hanging="180"/>
      </w:pPr>
    </w:lvl>
  </w:abstractNum>
  <w:abstractNum w:abstractNumId="14">
    <w:nsid w:val="3CC221E0"/>
    <w:multiLevelType w:val="multilevel"/>
    <w:tmpl w:val="69D4605E"/>
    <w:lvl w:ilvl="0">
      <w:start w:val="1"/>
      <w:numFmt w:val="decimal"/>
      <w:lvlText w:val="%1."/>
      <w:lvlJc w:val="left"/>
      <w:pPr>
        <w:ind w:left="927" w:hanging="360"/>
      </w:pPr>
      <w:rPr>
        <w:rFonts w:hint="default"/>
        <w:i/>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447" w:hanging="144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5247" w:hanging="2160"/>
      </w:pPr>
      <w:rPr>
        <w:rFonts w:hint="default"/>
      </w:rPr>
    </w:lvl>
    <w:lvl w:ilvl="8">
      <w:start w:val="1"/>
      <w:numFmt w:val="decimal"/>
      <w:isLgl/>
      <w:lvlText w:val="%1.%2.%3.%4.%5.%6.%7.%8.%9"/>
      <w:lvlJc w:val="left"/>
      <w:pPr>
        <w:ind w:left="5607" w:hanging="2160"/>
      </w:pPr>
      <w:rPr>
        <w:rFonts w:hint="default"/>
      </w:rPr>
    </w:lvl>
  </w:abstractNum>
  <w:abstractNum w:abstractNumId="15">
    <w:nsid w:val="3CDC0107"/>
    <w:multiLevelType w:val="hybridMultilevel"/>
    <w:tmpl w:val="A6E892F0"/>
    <w:lvl w:ilvl="0" w:tplc="2A2C50A8">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nsid w:val="3E296970"/>
    <w:multiLevelType w:val="hybridMultilevel"/>
    <w:tmpl w:val="DBF27E02"/>
    <w:lvl w:ilvl="0" w:tplc="68E69CDA">
      <w:start w:val="1"/>
      <w:numFmt w:val="lowerRoman"/>
      <w:lvlText w:val="(%1)"/>
      <w:lvlJc w:val="left"/>
      <w:pPr>
        <w:ind w:left="3130" w:hanging="720"/>
      </w:pPr>
      <w:rPr>
        <w:rFonts w:hint="default"/>
      </w:rPr>
    </w:lvl>
    <w:lvl w:ilvl="1" w:tplc="0C090019" w:tentative="1">
      <w:start w:val="1"/>
      <w:numFmt w:val="lowerLetter"/>
      <w:lvlText w:val="%2."/>
      <w:lvlJc w:val="left"/>
      <w:pPr>
        <w:ind w:left="3490" w:hanging="360"/>
      </w:pPr>
    </w:lvl>
    <w:lvl w:ilvl="2" w:tplc="0C09001B" w:tentative="1">
      <w:start w:val="1"/>
      <w:numFmt w:val="lowerRoman"/>
      <w:lvlText w:val="%3."/>
      <w:lvlJc w:val="right"/>
      <w:pPr>
        <w:ind w:left="4210" w:hanging="180"/>
      </w:pPr>
    </w:lvl>
    <w:lvl w:ilvl="3" w:tplc="0C09000F" w:tentative="1">
      <w:start w:val="1"/>
      <w:numFmt w:val="decimal"/>
      <w:lvlText w:val="%4."/>
      <w:lvlJc w:val="left"/>
      <w:pPr>
        <w:ind w:left="4930" w:hanging="360"/>
      </w:pPr>
    </w:lvl>
    <w:lvl w:ilvl="4" w:tplc="0C090019" w:tentative="1">
      <w:start w:val="1"/>
      <w:numFmt w:val="lowerLetter"/>
      <w:lvlText w:val="%5."/>
      <w:lvlJc w:val="left"/>
      <w:pPr>
        <w:ind w:left="5650" w:hanging="360"/>
      </w:pPr>
    </w:lvl>
    <w:lvl w:ilvl="5" w:tplc="0C09001B" w:tentative="1">
      <w:start w:val="1"/>
      <w:numFmt w:val="lowerRoman"/>
      <w:lvlText w:val="%6."/>
      <w:lvlJc w:val="right"/>
      <w:pPr>
        <w:ind w:left="6370" w:hanging="180"/>
      </w:pPr>
    </w:lvl>
    <w:lvl w:ilvl="6" w:tplc="0C09000F" w:tentative="1">
      <w:start w:val="1"/>
      <w:numFmt w:val="decimal"/>
      <w:lvlText w:val="%7."/>
      <w:lvlJc w:val="left"/>
      <w:pPr>
        <w:ind w:left="7090" w:hanging="360"/>
      </w:pPr>
    </w:lvl>
    <w:lvl w:ilvl="7" w:tplc="0C090019" w:tentative="1">
      <w:start w:val="1"/>
      <w:numFmt w:val="lowerLetter"/>
      <w:lvlText w:val="%8."/>
      <w:lvlJc w:val="left"/>
      <w:pPr>
        <w:ind w:left="7810" w:hanging="360"/>
      </w:pPr>
    </w:lvl>
    <w:lvl w:ilvl="8" w:tplc="0C09001B" w:tentative="1">
      <w:start w:val="1"/>
      <w:numFmt w:val="lowerRoman"/>
      <w:lvlText w:val="%9."/>
      <w:lvlJc w:val="right"/>
      <w:pPr>
        <w:ind w:left="8530" w:hanging="180"/>
      </w:pPr>
    </w:lvl>
  </w:abstractNum>
  <w:abstractNum w:abstractNumId="17">
    <w:nsid w:val="4B857DAF"/>
    <w:multiLevelType w:val="hybridMultilevel"/>
    <w:tmpl w:val="8B5CD76A"/>
    <w:lvl w:ilvl="0" w:tplc="4D2AD36C">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8">
    <w:nsid w:val="4C6F0D0F"/>
    <w:multiLevelType w:val="hybridMultilevel"/>
    <w:tmpl w:val="20D6FFEA"/>
    <w:lvl w:ilvl="0" w:tplc="80D017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4E512F07"/>
    <w:multiLevelType w:val="hybridMultilevel"/>
    <w:tmpl w:val="15DAA0B4"/>
    <w:lvl w:ilvl="0" w:tplc="62C0C29A">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0">
    <w:nsid w:val="565A0ADB"/>
    <w:multiLevelType w:val="hybridMultilevel"/>
    <w:tmpl w:val="3560F6D0"/>
    <w:lvl w:ilvl="0" w:tplc="8C505098">
      <w:start w:val="1"/>
      <w:numFmt w:val="lowerRoman"/>
      <w:lvlText w:val="(%1)"/>
      <w:lvlJc w:val="left"/>
      <w:pPr>
        <w:ind w:left="1440" w:hanging="72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573142BD"/>
    <w:multiLevelType w:val="hybridMultilevel"/>
    <w:tmpl w:val="4F5629F0"/>
    <w:lvl w:ilvl="0" w:tplc="97DC7A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DD7195F"/>
    <w:multiLevelType w:val="hybridMultilevel"/>
    <w:tmpl w:val="9D068A2E"/>
    <w:lvl w:ilvl="0" w:tplc="DA8E37C2">
      <w:start w:val="1"/>
      <w:numFmt w:val="lowerRoman"/>
      <w:lvlText w:val="(%1)"/>
      <w:lvlJc w:val="left"/>
      <w:pPr>
        <w:ind w:left="1800" w:hanging="108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6E4C17F7"/>
    <w:multiLevelType w:val="hybridMultilevel"/>
    <w:tmpl w:val="780E20F8"/>
    <w:lvl w:ilvl="0" w:tplc="5F548546">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nsid w:val="6EBA1479"/>
    <w:multiLevelType w:val="hybridMultilevel"/>
    <w:tmpl w:val="3FA04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1A50918"/>
    <w:multiLevelType w:val="hybridMultilevel"/>
    <w:tmpl w:val="35E28CEE"/>
    <w:lvl w:ilvl="0" w:tplc="EEE6AFA0">
      <w:start w:val="1"/>
      <w:numFmt w:val="lowerRoman"/>
      <w:lvlText w:val="(%1)"/>
      <w:lvlJc w:val="left"/>
      <w:pPr>
        <w:ind w:left="1080" w:hanging="72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774A224D"/>
    <w:multiLevelType w:val="hybridMultilevel"/>
    <w:tmpl w:val="BD005584"/>
    <w:lvl w:ilvl="0" w:tplc="663EC43C">
      <w:start w:val="1"/>
      <w:numFmt w:val="lowerLetter"/>
      <w:lvlText w:val="(%1)"/>
      <w:lvlJc w:val="left"/>
      <w:pPr>
        <w:ind w:left="1287" w:hanging="360"/>
      </w:pPr>
      <w:rPr>
        <w:rFonts w:hint="default"/>
        <w:i/>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7">
    <w:nsid w:val="78F47EA0"/>
    <w:multiLevelType w:val="hybridMultilevel"/>
    <w:tmpl w:val="56800826"/>
    <w:lvl w:ilvl="0" w:tplc="6B0660E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792C6C34"/>
    <w:multiLevelType w:val="hybridMultilevel"/>
    <w:tmpl w:val="C09A53F0"/>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9">
    <w:nsid w:val="79BA313C"/>
    <w:multiLevelType w:val="hybridMultilevel"/>
    <w:tmpl w:val="EEEEA506"/>
    <w:lvl w:ilvl="0" w:tplc="87B235C0">
      <w:start w:val="1"/>
      <w:numFmt w:val="lowerRoman"/>
      <w:lvlText w:val="(%1)"/>
      <w:lvlJc w:val="left"/>
      <w:pPr>
        <w:ind w:left="1440" w:hanging="72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7E736783"/>
    <w:multiLevelType w:val="hybridMultilevel"/>
    <w:tmpl w:val="F1DC117E"/>
    <w:lvl w:ilvl="0" w:tplc="FFF88230">
      <w:start w:val="1"/>
      <w:numFmt w:val="decimal"/>
      <w:lvlText w:val="(%1)"/>
      <w:lvlJc w:val="left"/>
      <w:pPr>
        <w:ind w:left="2154" w:hanging="720"/>
      </w:pPr>
      <w:rPr>
        <w:rFonts w:hint="default"/>
      </w:rPr>
    </w:lvl>
    <w:lvl w:ilvl="1" w:tplc="0C090019" w:tentative="1">
      <w:start w:val="1"/>
      <w:numFmt w:val="lowerLetter"/>
      <w:lvlText w:val="%2."/>
      <w:lvlJc w:val="left"/>
      <w:pPr>
        <w:ind w:left="2514" w:hanging="360"/>
      </w:pPr>
    </w:lvl>
    <w:lvl w:ilvl="2" w:tplc="0C09001B" w:tentative="1">
      <w:start w:val="1"/>
      <w:numFmt w:val="lowerRoman"/>
      <w:lvlText w:val="%3."/>
      <w:lvlJc w:val="right"/>
      <w:pPr>
        <w:ind w:left="3234" w:hanging="180"/>
      </w:pPr>
    </w:lvl>
    <w:lvl w:ilvl="3" w:tplc="0C09000F" w:tentative="1">
      <w:start w:val="1"/>
      <w:numFmt w:val="decimal"/>
      <w:lvlText w:val="%4."/>
      <w:lvlJc w:val="left"/>
      <w:pPr>
        <w:ind w:left="3954" w:hanging="360"/>
      </w:pPr>
    </w:lvl>
    <w:lvl w:ilvl="4" w:tplc="0C090019" w:tentative="1">
      <w:start w:val="1"/>
      <w:numFmt w:val="lowerLetter"/>
      <w:lvlText w:val="%5."/>
      <w:lvlJc w:val="left"/>
      <w:pPr>
        <w:ind w:left="4674" w:hanging="360"/>
      </w:pPr>
    </w:lvl>
    <w:lvl w:ilvl="5" w:tplc="0C09001B" w:tentative="1">
      <w:start w:val="1"/>
      <w:numFmt w:val="lowerRoman"/>
      <w:lvlText w:val="%6."/>
      <w:lvlJc w:val="right"/>
      <w:pPr>
        <w:ind w:left="5394" w:hanging="180"/>
      </w:pPr>
    </w:lvl>
    <w:lvl w:ilvl="6" w:tplc="0C09000F" w:tentative="1">
      <w:start w:val="1"/>
      <w:numFmt w:val="decimal"/>
      <w:lvlText w:val="%7."/>
      <w:lvlJc w:val="left"/>
      <w:pPr>
        <w:ind w:left="6114" w:hanging="360"/>
      </w:pPr>
    </w:lvl>
    <w:lvl w:ilvl="7" w:tplc="0C090019" w:tentative="1">
      <w:start w:val="1"/>
      <w:numFmt w:val="lowerLetter"/>
      <w:lvlText w:val="%8."/>
      <w:lvlJc w:val="left"/>
      <w:pPr>
        <w:ind w:left="6834" w:hanging="360"/>
      </w:pPr>
    </w:lvl>
    <w:lvl w:ilvl="8" w:tplc="0C09001B" w:tentative="1">
      <w:start w:val="1"/>
      <w:numFmt w:val="lowerRoman"/>
      <w:lvlText w:val="%9."/>
      <w:lvlJc w:val="right"/>
      <w:pPr>
        <w:ind w:left="7554" w:hanging="180"/>
      </w:pPr>
    </w:lvl>
  </w:abstractNum>
  <w:num w:numId="1">
    <w:abstractNumId w:val="13"/>
  </w:num>
  <w:num w:numId="2">
    <w:abstractNumId w:val="20"/>
  </w:num>
  <w:num w:numId="3">
    <w:abstractNumId w:val="22"/>
  </w:num>
  <w:num w:numId="4">
    <w:abstractNumId w:val="11"/>
  </w:num>
  <w:num w:numId="5">
    <w:abstractNumId w:val="29"/>
  </w:num>
  <w:num w:numId="6">
    <w:abstractNumId w:val="24"/>
  </w:num>
  <w:num w:numId="7">
    <w:abstractNumId w:val="6"/>
  </w:num>
  <w:num w:numId="8">
    <w:abstractNumId w:val="25"/>
  </w:num>
  <w:num w:numId="9">
    <w:abstractNumId w:val="8"/>
  </w:num>
  <w:num w:numId="10">
    <w:abstractNumId w:val="19"/>
  </w:num>
  <w:num w:numId="11">
    <w:abstractNumId w:val="17"/>
  </w:num>
  <w:num w:numId="12">
    <w:abstractNumId w:val="4"/>
  </w:num>
  <w:num w:numId="13">
    <w:abstractNumId w:val="7"/>
  </w:num>
  <w:num w:numId="14">
    <w:abstractNumId w:val="3"/>
  </w:num>
  <w:num w:numId="15">
    <w:abstractNumId w:val="9"/>
  </w:num>
  <w:num w:numId="16">
    <w:abstractNumId w:val="26"/>
  </w:num>
  <w:num w:numId="17">
    <w:abstractNumId w:val="12"/>
  </w:num>
  <w:num w:numId="18">
    <w:abstractNumId w:val="1"/>
  </w:num>
  <w:num w:numId="19">
    <w:abstractNumId w:val="21"/>
  </w:num>
  <w:num w:numId="20">
    <w:abstractNumId w:val="27"/>
  </w:num>
  <w:num w:numId="21">
    <w:abstractNumId w:val="15"/>
  </w:num>
  <w:num w:numId="22">
    <w:abstractNumId w:val="10"/>
  </w:num>
  <w:num w:numId="23">
    <w:abstractNumId w:val="23"/>
  </w:num>
  <w:num w:numId="24">
    <w:abstractNumId w:val="14"/>
  </w:num>
  <w:num w:numId="25">
    <w:abstractNumId w:val="5"/>
  </w:num>
  <w:num w:numId="26">
    <w:abstractNumId w:val="2"/>
  </w:num>
  <w:num w:numId="27">
    <w:abstractNumId w:val="16"/>
  </w:num>
  <w:num w:numId="28">
    <w:abstractNumId w:val="28"/>
  </w:num>
  <w:num w:numId="29">
    <w:abstractNumId w:val="18"/>
  </w:num>
  <w:num w:numId="30">
    <w:abstractNumId w:val="3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F45FB38-0943-41B1-88F4-8D797CB3D941}"/>
    <w:docVar w:name="dgnword-eventsink" w:val="113390544"/>
  </w:docVars>
  <w:rsids>
    <w:rsidRoot w:val="00063057"/>
    <w:rsid w:val="00001703"/>
    <w:rsid w:val="00023327"/>
    <w:rsid w:val="00027B7F"/>
    <w:rsid w:val="00031DB8"/>
    <w:rsid w:val="000358E9"/>
    <w:rsid w:val="000413D2"/>
    <w:rsid w:val="000550F7"/>
    <w:rsid w:val="00063057"/>
    <w:rsid w:val="000733F5"/>
    <w:rsid w:val="00081B0F"/>
    <w:rsid w:val="000A7A07"/>
    <w:rsid w:val="000C63E2"/>
    <w:rsid w:val="000D7AAC"/>
    <w:rsid w:val="000F044D"/>
    <w:rsid w:val="000F0C8F"/>
    <w:rsid w:val="000F3D8B"/>
    <w:rsid w:val="00131BFE"/>
    <w:rsid w:val="0013531C"/>
    <w:rsid w:val="001623A3"/>
    <w:rsid w:val="00164AD1"/>
    <w:rsid w:val="00171A02"/>
    <w:rsid w:val="0017458F"/>
    <w:rsid w:val="00183BB3"/>
    <w:rsid w:val="001A1F97"/>
    <w:rsid w:val="001A4AF5"/>
    <w:rsid w:val="001D26C4"/>
    <w:rsid w:val="001D2DF6"/>
    <w:rsid w:val="00200F27"/>
    <w:rsid w:val="00202F3A"/>
    <w:rsid w:val="00204D63"/>
    <w:rsid w:val="00217FB3"/>
    <w:rsid w:val="00226CBD"/>
    <w:rsid w:val="00243204"/>
    <w:rsid w:val="00247C00"/>
    <w:rsid w:val="00255A05"/>
    <w:rsid w:val="00276CC1"/>
    <w:rsid w:val="00286077"/>
    <w:rsid w:val="00294DB9"/>
    <w:rsid w:val="00297343"/>
    <w:rsid w:val="002B2FD4"/>
    <w:rsid w:val="002B6F45"/>
    <w:rsid w:val="002E5E7D"/>
    <w:rsid w:val="002F775C"/>
    <w:rsid w:val="00301D95"/>
    <w:rsid w:val="00312E07"/>
    <w:rsid w:val="0031428A"/>
    <w:rsid w:val="00324FA7"/>
    <w:rsid w:val="00336429"/>
    <w:rsid w:val="0033756C"/>
    <w:rsid w:val="00343894"/>
    <w:rsid w:val="00395753"/>
    <w:rsid w:val="003B310F"/>
    <w:rsid w:val="003C40A0"/>
    <w:rsid w:val="003C7AA8"/>
    <w:rsid w:val="003D0287"/>
    <w:rsid w:val="003F5818"/>
    <w:rsid w:val="0041290B"/>
    <w:rsid w:val="00414243"/>
    <w:rsid w:val="0041497C"/>
    <w:rsid w:val="00424600"/>
    <w:rsid w:val="00430323"/>
    <w:rsid w:val="00443DD1"/>
    <w:rsid w:val="004455F1"/>
    <w:rsid w:val="00447E5D"/>
    <w:rsid w:val="00452633"/>
    <w:rsid w:val="0045271E"/>
    <w:rsid w:val="00462E49"/>
    <w:rsid w:val="00482843"/>
    <w:rsid w:val="004837C9"/>
    <w:rsid w:val="004878C8"/>
    <w:rsid w:val="00495C7A"/>
    <w:rsid w:val="004A48EF"/>
    <w:rsid w:val="004A4FF0"/>
    <w:rsid w:val="004A50FB"/>
    <w:rsid w:val="004A66A8"/>
    <w:rsid w:val="004C3810"/>
    <w:rsid w:val="004C5037"/>
    <w:rsid w:val="004D2CCE"/>
    <w:rsid w:val="004D5664"/>
    <w:rsid w:val="004E3A1F"/>
    <w:rsid w:val="004E41E3"/>
    <w:rsid w:val="004E5DAA"/>
    <w:rsid w:val="004F57F5"/>
    <w:rsid w:val="00511ACF"/>
    <w:rsid w:val="005131D4"/>
    <w:rsid w:val="005665AF"/>
    <w:rsid w:val="005715F4"/>
    <w:rsid w:val="00593B42"/>
    <w:rsid w:val="00595161"/>
    <w:rsid w:val="005A3EDF"/>
    <w:rsid w:val="005B2651"/>
    <w:rsid w:val="005B7135"/>
    <w:rsid w:val="005C0D39"/>
    <w:rsid w:val="005C55CD"/>
    <w:rsid w:val="005D05FB"/>
    <w:rsid w:val="005E4602"/>
    <w:rsid w:val="006155AF"/>
    <w:rsid w:val="006216ED"/>
    <w:rsid w:val="006345CB"/>
    <w:rsid w:val="006500BF"/>
    <w:rsid w:val="006576E7"/>
    <w:rsid w:val="00660CB1"/>
    <w:rsid w:val="00683295"/>
    <w:rsid w:val="00686A6C"/>
    <w:rsid w:val="00687F33"/>
    <w:rsid w:val="006B3D30"/>
    <w:rsid w:val="006C2F0F"/>
    <w:rsid w:val="006F2D92"/>
    <w:rsid w:val="007128C5"/>
    <w:rsid w:val="00744058"/>
    <w:rsid w:val="00744580"/>
    <w:rsid w:val="00755E3F"/>
    <w:rsid w:val="00764187"/>
    <w:rsid w:val="00765852"/>
    <w:rsid w:val="007716DC"/>
    <w:rsid w:val="00776740"/>
    <w:rsid w:val="00781FC2"/>
    <w:rsid w:val="00791885"/>
    <w:rsid w:val="00792045"/>
    <w:rsid w:val="00792D29"/>
    <w:rsid w:val="007C5ADF"/>
    <w:rsid w:val="007E172E"/>
    <w:rsid w:val="007E696D"/>
    <w:rsid w:val="007F4428"/>
    <w:rsid w:val="008058DD"/>
    <w:rsid w:val="0080607A"/>
    <w:rsid w:val="00807702"/>
    <w:rsid w:val="00810AAA"/>
    <w:rsid w:val="008136E1"/>
    <w:rsid w:val="00836A28"/>
    <w:rsid w:val="00841845"/>
    <w:rsid w:val="00851C85"/>
    <w:rsid w:val="00871A40"/>
    <w:rsid w:val="00872C78"/>
    <w:rsid w:val="008736B9"/>
    <w:rsid w:val="0087563E"/>
    <w:rsid w:val="00875FE1"/>
    <w:rsid w:val="0088012A"/>
    <w:rsid w:val="00880F99"/>
    <w:rsid w:val="008B4B2A"/>
    <w:rsid w:val="008B7733"/>
    <w:rsid w:val="008D72B2"/>
    <w:rsid w:val="008F78D8"/>
    <w:rsid w:val="00902EA6"/>
    <w:rsid w:val="009078A5"/>
    <w:rsid w:val="009220CC"/>
    <w:rsid w:val="00923E36"/>
    <w:rsid w:val="009244B6"/>
    <w:rsid w:val="00934808"/>
    <w:rsid w:val="00942626"/>
    <w:rsid w:val="00951908"/>
    <w:rsid w:val="009601DA"/>
    <w:rsid w:val="009A1624"/>
    <w:rsid w:val="009B176D"/>
    <w:rsid w:val="009C5533"/>
    <w:rsid w:val="00A11FFA"/>
    <w:rsid w:val="00A2016D"/>
    <w:rsid w:val="00A3160F"/>
    <w:rsid w:val="00A368E8"/>
    <w:rsid w:val="00A37B6E"/>
    <w:rsid w:val="00A40C8C"/>
    <w:rsid w:val="00A50747"/>
    <w:rsid w:val="00A513FA"/>
    <w:rsid w:val="00A60BFE"/>
    <w:rsid w:val="00A72379"/>
    <w:rsid w:val="00A730E2"/>
    <w:rsid w:val="00A7323B"/>
    <w:rsid w:val="00A808B2"/>
    <w:rsid w:val="00A820FF"/>
    <w:rsid w:val="00A85C84"/>
    <w:rsid w:val="00A8648D"/>
    <w:rsid w:val="00A91647"/>
    <w:rsid w:val="00A94813"/>
    <w:rsid w:val="00A948BB"/>
    <w:rsid w:val="00A96937"/>
    <w:rsid w:val="00A97093"/>
    <w:rsid w:val="00AA4C10"/>
    <w:rsid w:val="00AF0369"/>
    <w:rsid w:val="00AF699D"/>
    <w:rsid w:val="00B012A2"/>
    <w:rsid w:val="00B0220C"/>
    <w:rsid w:val="00B11BFD"/>
    <w:rsid w:val="00B30E52"/>
    <w:rsid w:val="00B36671"/>
    <w:rsid w:val="00B416FE"/>
    <w:rsid w:val="00B42341"/>
    <w:rsid w:val="00B42D1F"/>
    <w:rsid w:val="00B4311D"/>
    <w:rsid w:val="00B55969"/>
    <w:rsid w:val="00B64C6B"/>
    <w:rsid w:val="00B65CA7"/>
    <w:rsid w:val="00B65FC8"/>
    <w:rsid w:val="00B674BA"/>
    <w:rsid w:val="00B67EF3"/>
    <w:rsid w:val="00B70787"/>
    <w:rsid w:val="00B903EB"/>
    <w:rsid w:val="00B9374C"/>
    <w:rsid w:val="00BC0A12"/>
    <w:rsid w:val="00BD2D67"/>
    <w:rsid w:val="00BE4008"/>
    <w:rsid w:val="00BF484C"/>
    <w:rsid w:val="00BF50A2"/>
    <w:rsid w:val="00C05852"/>
    <w:rsid w:val="00C14A51"/>
    <w:rsid w:val="00C16422"/>
    <w:rsid w:val="00C16895"/>
    <w:rsid w:val="00C277DD"/>
    <w:rsid w:val="00C35ADF"/>
    <w:rsid w:val="00C51B67"/>
    <w:rsid w:val="00C553D3"/>
    <w:rsid w:val="00C81CFD"/>
    <w:rsid w:val="00C82C75"/>
    <w:rsid w:val="00C911A6"/>
    <w:rsid w:val="00C964C5"/>
    <w:rsid w:val="00D00A12"/>
    <w:rsid w:val="00D01A71"/>
    <w:rsid w:val="00D232F7"/>
    <w:rsid w:val="00D34793"/>
    <w:rsid w:val="00D50BCB"/>
    <w:rsid w:val="00D6359D"/>
    <w:rsid w:val="00D7733E"/>
    <w:rsid w:val="00D875E9"/>
    <w:rsid w:val="00DB07FC"/>
    <w:rsid w:val="00DC1DCB"/>
    <w:rsid w:val="00DC2D3A"/>
    <w:rsid w:val="00DD492C"/>
    <w:rsid w:val="00DD4CF6"/>
    <w:rsid w:val="00E04B22"/>
    <w:rsid w:val="00E12F0C"/>
    <w:rsid w:val="00E320FF"/>
    <w:rsid w:val="00E46487"/>
    <w:rsid w:val="00E5222A"/>
    <w:rsid w:val="00E57197"/>
    <w:rsid w:val="00E64B8B"/>
    <w:rsid w:val="00E7143B"/>
    <w:rsid w:val="00E7191B"/>
    <w:rsid w:val="00E748B1"/>
    <w:rsid w:val="00E81BF7"/>
    <w:rsid w:val="00E85E27"/>
    <w:rsid w:val="00EB3B16"/>
    <w:rsid w:val="00EB6DBF"/>
    <w:rsid w:val="00ED4779"/>
    <w:rsid w:val="00EE3143"/>
    <w:rsid w:val="00EF2C14"/>
    <w:rsid w:val="00F015A3"/>
    <w:rsid w:val="00F1013A"/>
    <w:rsid w:val="00F10A3A"/>
    <w:rsid w:val="00F42D98"/>
    <w:rsid w:val="00F52BB7"/>
    <w:rsid w:val="00F54ACE"/>
    <w:rsid w:val="00F70011"/>
    <w:rsid w:val="00F7764B"/>
    <w:rsid w:val="00F806CA"/>
    <w:rsid w:val="00F82E38"/>
    <w:rsid w:val="00F95500"/>
    <w:rsid w:val="00F97517"/>
    <w:rsid w:val="00FA4494"/>
    <w:rsid w:val="00FA525E"/>
    <w:rsid w:val="00FB3B6B"/>
    <w:rsid w:val="00FB6327"/>
    <w:rsid w:val="00FD6DF4"/>
    <w:rsid w:val="00FD7529"/>
    <w:rsid w:val="00FD7EAC"/>
    <w:rsid w:val="00FE0382"/>
    <w:rsid w:val="00FE572C"/>
    <w:rsid w:val="00FF42FB"/>
    <w:rsid w:val="00FF74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057"/>
    <w:pPr>
      <w:spacing w:line="240" w:lineRule="auto"/>
    </w:pPr>
    <w:rPr>
      <w:rFonts w:ascii="Verdana" w:eastAsia="Calibri" w:hAnsi="Verdana"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057"/>
    <w:pPr>
      <w:ind w:left="720"/>
    </w:pPr>
  </w:style>
  <w:style w:type="paragraph" w:styleId="HTMLPreformatted">
    <w:name w:val="HTML Preformatted"/>
    <w:basedOn w:val="Normal"/>
    <w:link w:val="HTMLPreformattedChar"/>
    <w:uiPriority w:val="99"/>
    <w:unhideWhenUsed/>
    <w:rsid w:val="0006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szCs w:val="20"/>
      <w:lang w:val="x-none" w:eastAsia="x-none"/>
    </w:rPr>
  </w:style>
  <w:style w:type="character" w:customStyle="1" w:styleId="HTMLPreformattedChar">
    <w:name w:val="HTML Preformatted Char"/>
    <w:basedOn w:val="DefaultParagraphFont"/>
    <w:link w:val="HTMLPreformatted"/>
    <w:uiPriority w:val="99"/>
    <w:rsid w:val="00063057"/>
    <w:rPr>
      <w:rFonts w:ascii="Courier New" w:eastAsia="Times New Roman" w:hAnsi="Courier New" w:cs="Times New Roman"/>
      <w:sz w:val="20"/>
      <w:szCs w:val="20"/>
      <w:lang w:val="x-none" w:eastAsia="x-none"/>
    </w:rPr>
  </w:style>
  <w:style w:type="paragraph" w:styleId="NormalWeb">
    <w:name w:val="Normal (Web)"/>
    <w:basedOn w:val="Normal"/>
    <w:uiPriority w:val="99"/>
    <w:unhideWhenUsed/>
    <w:rsid w:val="00063057"/>
    <w:pPr>
      <w:spacing w:before="100" w:beforeAutospacing="1" w:after="100" w:afterAutospacing="1"/>
    </w:pPr>
    <w:rPr>
      <w:rFonts w:ascii="Times New Roman" w:eastAsia="Times New Roman" w:hAnsi="Times New Roman"/>
      <w:sz w:val="24"/>
      <w:szCs w:val="24"/>
      <w:lang w:eastAsia="en-AU"/>
    </w:rPr>
  </w:style>
  <w:style w:type="paragraph" w:styleId="FootnoteText">
    <w:name w:val="footnote text"/>
    <w:basedOn w:val="Normal"/>
    <w:link w:val="FootnoteTextChar"/>
    <w:uiPriority w:val="99"/>
    <w:semiHidden/>
    <w:unhideWhenUsed/>
    <w:rsid w:val="000550F7"/>
    <w:rPr>
      <w:szCs w:val="20"/>
    </w:rPr>
  </w:style>
  <w:style w:type="character" w:customStyle="1" w:styleId="FootnoteTextChar">
    <w:name w:val="Footnote Text Char"/>
    <w:basedOn w:val="DefaultParagraphFont"/>
    <w:link w:val="FootnoteText"/>
    <w:uiPriority w:val="99"/>
    <w:semiHidden/>
    <w:rsid w:val="000550F7"/>
    <w:rPr>
      <w:rFonts w:ascii="Verdana" w:eastAsia="Calibri" w:hAnsi="Verdana" w:cs="Times New Roman"/>
      <w:sz w:val="20"/>
      <w:szCs w:val="20"/>
    </w:rPr>
  </w:style>
  <w:style w:type="character" w:styleId="FootnoteReference">
    <w:name w:val="footnote reference"/>
    <w:uiPriority w:val="99"/>
    <w:semiHidden/>
    <w:unhideWhenUsed/>
    <w:rsid w:val="000550F7"/>
    <w:rPr>
      <w:vertAlign w:val="superscript"/>
    </w:rPr>
  </w:style>
  <w:style w:type="paragraph" w:styleId="BalloonText">
    <w:name w:val="Balloon Text"/>
    <w:basedOn w:val="Normal"/>
    <w:link w:val="BalloonTextChar"/>
    <w:uiPriority w:val="99"/>
    <w:semiHidden/>
    <w:unhideWhenUsed/>
    <w:rsid w:val="004E5D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DAA"/>
    <w:rPr>
      <w:rFonts w:ascii="Tahoma" w:eastAsia="Calibri" w:hAnsi="Tahoma" w:cs="Tahoma"/>
      <w:sz w:val="16"/>
      <w:szCs w:val="16"/>
    </w:rPr>
  </w:style>
  <w:style w:type="paragraph" w:styleId="Revision">
    <w:name w:val="Revision"/>
    <w:hidden/>
    <w:uiPriority w:val="99"/>
    <w:semiHidden/>
    <w:rsid w:val="005A3EDF"/>
    <w:pPr>
      <w:spacing w:after="0" w:line="240" w:lineRule="auto"/>
    </w:pPr>
    <w:rPr>
      <w:rFonts w:ascii="Verdana" w:eastAsia="Calibri" w:hAnsi="Verdana" w:cs="Times New Roman"/>
      <w:sz w:val="20"/>
    </w:rPr>
  </w:style>
  <w:style w:type="paragraph" w:styleId="Header">
    <w:name w:val="header"/>
    <w:basedOn w:val="Normal"/>
    <w:link w:val="HeaderChar"/>
    <w:uiPriority w:val="99"/>
    <w:unhideWhenUsed/>
    <w:rsid w:val="004837C9"/>
    <w:pPr>
      <w:tabs>
        <w:tab w:val="center" w:pos="4513"/>
        <w:tab w:val="right" w:pos="9026"/>
      </w:tabs>
      <w:spacing w:after="0"/>
    </w:pPr>
  </w:style>
  <w:style w:type="character" w:customStyle="1" w:styleId="HeaderChar">
    <w:name w:val="Header Char"/>
    <w:basedOn w:val="DefaultParagraphFont"/>
    <w:link w:val="Header"/>
    <w:uiPriority w:val="99"/>
    <w:rsid w:val="004837C9"/>
    <w:rPr>
      <w:rFonts w:ascii="Verdana" w:eastAsia="Calibri" w:hAnsi="Verdana" w:cs="Times New Roman"/>
      <w:sz w:val="20"/>
    </w:rPr>
  </w:style>
  <w:style w:type="paragraph" w:styleId="Footer">
    <w:name w:val="footer"/>
    <w:basedOn w:val="Normal"/>
    <w:link w:val="FooterChar"/>
    <w:uiPriority w:val="99"/>
    <w:unhideWhenUsed/>
    <w:rsid w:val="004837C9"/>
    <w:pPr>
      <w:tabs>
        <w:tab w:val="center" w:pos="4513"/>
        <w:tab w:val="right" w:pos="9026"/>
      </w:tabs>
      <w:spacing w:after="0"/>
    </w:pPr>
  </w:style>
  <w:style w:type="character" w:customStyle="1" w:styleId="FooterChar">
    <w:name w:val="Footer Char"/>
    <w:basedOn w:val="DefaultParagraphFont"/>
    <w:link w:val="Footer"/>
    <w:uiPriority w:val="99"/>
    <w:rsid w:val="004837C9"/>
    <w:rPr>
      <w:rFonts w:ascii="Verdana" w:eastAsia="Calibri" w:hAnsi="Verdana" w:cs="Times New Roman"/>
      <w:sz w:val="20"/>
    </w:rPr>
  </w:style>
  <w:style w:type="paragraph" w:styleId="EndnoteText">
    <w:name w:val="endnote text"/>
    <w:basedOn w:val="Normal"/>
    <w:link w:val="EndnoteTextChar"/>
    <w:uiPriority w:val="99"/>
    <w:semiHidden/>
    <w:unhideWhenUsed/>
    <w:rsid w:val="00E81BF7"/>
    <w:pPr>
      <w:spacing w:after="0"/>
    </w:pPr>
    <w:rPr>
      <w:szCs w:val="20"/>
    </w:rPr>
  </w:style>
  <w:style w:type="character" w:customStyle="1" w:styleId="EndnoteTextChar">
    <w:name w:val="Endnote Text Char"/>
    <w:basedOn w:val="DefaultParagraphFont"/>
    <w:link w:val="EndnoteText"/>
    <w:uiPriority w:val="99"/>
    <w:semiHidden/>
    <w:rsid w:val="00E81BF7"/>
    <w:rPr>
      <w:rFonts w:ascii="Verdana" w:eastAsia="Calibri" w:hAnsi="Verdana" w:cs="Times New Roman"/>
      <w:sz w:val="20"/>
      <w:szCs w:val="20"/>
    </w:rPr>
  </w:style>
  <w:style w:type="character" w:styleId="EndnoteReference">
    <w:name w:val="endnote reference"/>
    <w:basedOn w:val="DefaultParagraphFont"/>
    <w:uiPriority w:val="99"/>
    <w:semiHidden/>
    <w:unhideWhenUsed/>
    <w:rsid w:val="00E81BF7"/>
    <w:rPr>
      <w:vertAlign w:val="superscript"/>
    </w:rPr>
  </w:style>
  <w:style w:type="paragraph" w:customStyle="1" w:styleId="NumberedPara">
    <w:name w:val="Numbered Para"/>
    <w:basedOn w:val="Normal"/>
    <w:next w:val="Normal"/>
    <w:link w:val="NumberedParaCharChar"/>
    <w:uiPriority w:val="99"/>
    <w:rsid w:val="006500BF"/>
    <w:pPr>
      <w:numPr>
        <w:numId w:val="31"/>
      </w:numPr>
      <w:tabs>
        <w:tab w:val="left" w:pos="709"/>
      </w:tabs>
      <w:spacing w:after="0"/>
      <w:jc w:val="both"/>
    </w:pPr>
    <w:rPr>
      <w:rFonts w:ascii="Times New Roman" w:eastAsia="Times New Roman" w:hAnsi="Times New Roman"/>
      <w:sz w:val="24"/>
      <w:szCs w:val="20"/>
      <w:lang w:val="en-GB"/>
    </w:rPr>
  </w:style>
  <w:style w:type="character" w:customStyle="1" w:styleId="NumberedParaCharChar">
    <w:name w:val="Numbered Para Char Char"/>
    <w:basedOn w:val="DefaultParagraphFont"/>
    <w:link w:val="NumberedPara"/>
    <w:uiPriority w:val="99"/>
    <w:rsid w:val="006500BF"/>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057"/>
    <w:pPr>
      <w:spacing w:line="240" w:lineRule="auto"/>
    </w:pPr>
    <w:rPr>
      <w:rFonts w:ascii="Verdana" w:eastAsia="Calibri" w:hAnsi="Verdana"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057"/>
    <w:pPr>
      <w:ind w:left="720"/>
    </w:pPr>
  </w:style>
  <w:style w:type="paragraph" w:styleId="HTMLPreformatted">
    <w:name w:val="HTML Preformatted"/>
    <w:basedOn w:val="Normal"/>
    <w:link w:val="HTMLPreformattedChar"/>
    <w:uiPriority w:val="99"/>
    <w:unhideWhenUsed/>
    <w:rsid w:val="000630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szCs w:val="20"/>
      <w:lang w:val="x-none" w:eastAsia="x-none"/>
    </w:rPr>
  </w:style>
  <w:style w:type="character" w:customStyle="1" w:styleId="HTMLPreformattedChar">
    <w:name w:val="HTML Preformatted Char"/>
    <w:basedOn w:val="DefaultParagraphFont"/>
    <w:link w:val="HTMLPreformatted"/>
    <w:uiPriority w:val="99"/>
    <w:rsid w:val="00063057"/>
    <w:rPr>
      <w:rFonts w:ascii="Courier New" w:eastAsia="Times New Roman" w:hAnsi="Courier New" w:cs="Times New Roman"/>
      <w:sz w:val="20"/>
      <w:szCs w:val="20"/>
      <w:lang w:val="x-none" w:eastAsia="x-none"/>
    </w:rPr>
  </w:style>
  <w:style w:type="paragraph" w:styleId="NormalWeb">
    <w:name w:val="Normal (Web)"/>
    <w:basedOn w:val="Normal"/>
    <w:uiPriority w:val="99"/>
    <w:unhideWhenUsed/>
    <w:rsid w:val="00063057"/>
    <w:pPr>
      <w:spacing w:before="100" w:beforeAutospacing="1" w:after="100" w:afterAutospacing="1"/>
    </w:pPr>
    <w:rPr>
      <w:rFonts w:ascii="Times New Roman" w:eastAsia="Times New Roman" w:hAnsi="Times New Roman"/>
      <w:sz w:val="24"/>
      <w:szCs w:val="24"/>
      <w:lang w:eastAsia="en-AU"/>
    </w:rPr>
  </w:style>
  <w:style w:type="paragraph" w:styleId="FootnoteText">
    <w:name w:val="footnote text"/>
    <w:basedOn w:val="Normal"/>
    <w:link w:val="FootnoteTextChar"/>
    <w:uiPriority w:val="99"/>
    <w:semiHidden/>
    <w:unhideWhenUsed/>
    <w:rsid w:val="000550F7"/>
    <w:rPr>
      <w:szCs w:val="20"/>
    </w:rPr>
  </w:style>
  <w:style w:type="character" w:customStyle="1" w:styleId="FootnoteTextChar">
    <w:name w:val="Footnote Text Char"/>
    <w:basedOn w:val="DefaultParagraphFont"/>
    <w:link w:val="FootnoteText"/>
    <w:uiPriority w:val="99"/>
    <w:semiHidden/>
    <w:rsid w:val="000550F7"/>
    <w:rPr>
      <w:rFonts w:ascii="Verdana" w:eastAsia="Calibri" w:hAnsi="Verdana" w:cs="Times New Roman"/>
      <w:sz w:val="20"/>
      <w:szCs w:val="20"/>
    </w:rPr>
  </w:style>
  <w:style w:type="character" w:styleId="FootnoteReference">
    <w:name w:val="footnote reference"/>
    <w:uiPriority w:val="99"/>
    <w:semiHidden/>
    <w:unhideWhenUsed/>
    <w:rsid w:val="000550F7"/>
    <w:rPr>
      <w:vertAlign w:val="superscript"/>
    </w:rPr>
  </w:style>
  <w:style w:type="paragraph" w:styleId="BalloonText">
    <w:name w:val="Balloon Text"/>
    <w:basedOn w:val="Normal"/>
    <w:link w:val="BalloonTextChar"/>
    <w:uiPriority w:val="99"/>
    <w:semiHidden/>
    <w:unhideWhenUsed/>
    <w:rsid w:val="004E5D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DAA"/>
    <w:rPr>
      <w:rFonts w:ascii="Tahoma" w:eastAsia="Calibri" w:hAnsi="Tahoma" w:cs="Tahoma"/>
      <w:sz w:val="16"/>
      <w:szCs w:val="16"/>
    </w:rPr>
  </w:style>
  <w:style w:type="paragraph" w:styleId="Revision">
    <w:name w:val="Revision"/>
    <w:hidden/>
    <w:uiPriority w:val="99"/>
    <w:semiHidden/>
    <w:rsid w:val="005A3EDF"/>
    <w:pPr>
      <w:spacing w:after="0" w:line="240" w:lineRule="auto"/>
    </w:pPr>
    <w:rPr>
      <w:rFonts w:ascii="Verdana" w:eastAsia="Calibri" w:hAnsi="Verdana" w:cs="Times New Roman"/>
      <w:sz w:val="20"/>
    </w:rPr>
  </w:style>
  <w:style w:type="paragraph" w:styleId="Header">
    <w:name w:val="header"/>
    <w:basedOn w:val="Normal"/>
    <w:link w:val="HeaderChar"/>
    <w:uiPriority w:val="99"/>
    <w:unhideWhenUsed/>
    <w:rsid w:val="004837C9"/>
    <w:pPr>
      <w:tabs>
        <w:tab w:val="center" w:pos="4513"/>
        <w:tab w:val="right" w:pos="9026"/>
      </w:tabs>
      <w:spacing w:after="0"/>
    </w:pPr>
  </w:style>
  <w:style w:type="character" w:customStyle="1" w:styleId="HeaderChar">
    <w:name w:val="Header Char"/>
    <w:basedOn w:val="DefaultParagraphFont"/>
    <w:link w:val="Header"/>
    <w:uiPriority w:val="99"/>
    <w:rsid w:val="004837C9"/>
    <w:rPr>
      <w:rFonts w:ascii="Verdana" w:eastAsia="Calibri" w:hAnsi="Verdana" w:cs="Times New Roman"/>
      <w:sz w:val="20"/>
    </w:rPr>
  </w:style>
  <w:style w:type="paragraph" w:styleId="Footer">
    <w:name w:val="footer"/>
    <w:basedOn w:val="Normal"/>
    <w:link w:val="FooterChar"/>
    <w:uiPriority w:val="99"/>
    <w:unhideWhenUsed/>
    <w:rsid w:val="004837C9"/>
    <w:pPr>
      <w:tabs>
        <w:tab w:val="center" w:pos="4513"/>
        <w:tab w:val="right" w:pos="9026"/>
      </w:tabs>
      <w:spacing w:after="0"/>
    </w:pPr>
  </w:style>
  <w:style w:type="character" w:customStyle="1" w:styleId="FooterChar">
    <w:name w:val="Footer Char"/>
    <w:basedOn w:val="DefaultParagraphFont"/>
    <w:link w:val="Footer"/>
    <w:uiPriority w:val="99"/>
    <w:rsid w:val="004837C9"/>
    <w:rPr>
      <w:rFonts w:ascii="Verdana" w:eastAsia="Calibri" w:hAnsi="Verdana" w:cs="Times New Roman"/>
      <w:sz w:val="20"/>
    </w:rPr>
  </w:style>
  <w:style w:type="paragraph" w:styleId="EndnoteText">
    <w:name w:val="endnote text"/>
    <w:basedOn w:val="Normal"/>
    <w:link w:val="EndnoteTextChar"/>
    <w:uiPriority w:val="99"/>
    <w:semiHidden/>
    <w:unhideWhenUsed/>
    <w:rsid w:val="00E81BF7"/>
    <w:pPr>
      <w:spacing w:after="0"/>
    </w:pPr>
    <w:rPr>
      <w:szCs w:val="20"/>
    </w:rPr>
  </w:style>
  <w:style w:type="character" w:customStyle="1" w:styleId="EndnoteTextChar">
    <w:name w:val="Endnote Text Char"/>
    <w:basedOn w:val="DefaultParagraphFont"/>
    <w:link w:val="EndnoteText"/>
    <w:uiPriority w:val="99"/>
    <w:semiHidden/>
    <w:rsid w:val="00E81BF7"/>
    <w:rPr>
      <w:rFonts w:ascii="Verdana" w:eastAsia="Calibri" w:hAnsi="Verdana" w:cs="Times New Roman"/>
      <w:sz w:val="20"/>
      <w:szCs w:val="20"/>
    </w:rPr>
  </w:style>
  <w:style w:type="character" w:styleId="EndnoteReference">
    <w:name w:val="endnote reference"/>
    <w:basedOn w:val="DefaultParagraphFont"/>
    <w:uiPriority w:val="99"/>
    <w:semiHidden/>
    <w:unhideWhenUsed/>
    <w:rsid w:val="00E81BF7"/>
    <w:rPr>
      <w:vertAlign w:val="superscript"/>
    </w:rPr>
  </w:style>
  <w:style w:type="paragraph" w:customStyle="1" w:styleId="NumberedPara">
    <w:name w:val="Numbered Para"/>
    <w:basedOn w:val="Normal"/>
    <w:next w:val="Normal"/>
    <w:link w:val="NumberedParaCharChar"/>
    <w:uiPriority w:val="99"/>
    <w:rsid w:val="006500BF"/>
    <w:pPr>
      <w:numPr>
        <w:numId w:val="31"/>
      </w:numPr>
      <w:tabs>
        <w:tab w:val="left" w:pos="709"/>
      </w:tabs>
      <w:spacing w:after="0"/>
      <w:jc w:val="both"/>
    </w:pPr>
    <w:rPr>
      <w:rFonts w:ascii="Times New Roman" w:eastAsia="Times New Roman" w:hAnsi="Times New Roman"/>
      <w:sz w:val="24"/>
      <w:szCs w:val="20"/>
      <w:lang w:val="en-GB"/>
    </w:rPr>
  </w:style>
  <w:style w:type="character" w:customStyle="1" w:styleId="NumberedParaCharChar">
    <w:name w:val="Numbered Para Char Char"/>
    <w:basedOn w:val="DefaultParagraphFont"/>
    <w:link w:val="NumberedPara"/>
    <w:uiPriority w:val="99"/>
    <w:rsid w:val="006500BF"/>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Drafting_fw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1B2A9-9280-45FC-B564-E3E428AF0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Drafting_fwa.dotm</Template>
  <TotalTime>0</TotalTime>
  <Pages>5</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12815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Leary, Pat</dc:creator>
  <cp:lastModifiedBy>Wells, Nicole</cp:lastModifiedBy>
  <cp:revision>2</cp:revision>
  <cp:lastPrinted>2016-05-25T05:07:00Z</cp:lastPrinted>
  <dcterms:created xsi:type="dcterms:W3CDTF">2016-06-28T05:41:00Z</dcterms:created>
  <dcterms:modified xsi:type="dcterms:W3CDTF">2016-06-28T05:41:00Z</dcterms:modified>
</cp:coreProperties>
</file>