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1A" w:rsidRDefault="00ED111A">
      <w:pPr>
        <w:spacing w:before="4" w:after="0" w:line="140" w:lineRule="exact"/>
        <w:rPr>
          <w:rFonts w:ascii="Verdana" w:hAnsi="Verdana"/>
          <w:sz w:val="14"/>
          <w:szCs w:val="14"/>
        </w:rPr>
      </w:pPr>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ED111A" w:rsidRPr="009D79CE" w:rsidRDefault="00BF22A3" w:rsidP="00AD4BBF">
      <w:pPr>
        <w:spacing w:after="0" w:line="200" w:lineRule="exact"/>
        <w:rPr>
          <w:rFonts w:ascii="Verdana" w:hAnsi="Verdana"/>
          <w:sz w:val="20"/>
          <w:szCs w:val="20"/>
        </w:rPr>
      </w:pPr>
      <w:proofErr w:type="gramStart"/>
      <w:r w:rsidRPr="009D79CE">
        <w:rPr>
          <w:rFonts w:ascii="Verdana" w:hAnsi="Verdana"/>
          <w:sz w:val="20"/>
          <w:szCs w:val="20"/>
        </w:rPr>
        <w:t>s5</w:t>
      </w:r>
      <w:r w:rsidR="00E80F00">
        <w:rPr>
          <w:rFonts w:ascii="Verdana" w:hAnsi="Verdana"/>
          <w:sz w:val="20"/>
          <w:szCs w:val="20"/>
        </w:rPr>
        <w:t>9</w:t>
      </w:r>
      <w:r w:rsidRPr="009D79CE">
        <w:rPr>
          <w:rFonts w:ascii="Verdana" w:hAnsi="Verdana"/>
          <w:sz w:val="20"/>
          <w:szCs w:val="20"/>
        </w:rPr>
        <w:t>(</w:t>
      </w:r>
      <w:proofErr w:type="gramEnd"/>
      <w:r w:rsidRPr="009D79CE">
        <w:rPr>
          <w:rFonts w:ascii="Verdana" w:hAnsi="Verdana"/>
          <w:sz w:val="20"/>
          <w:szCs w:val="20"/>
        </w:rPr>
        <w:t>2) application for approval  of an industrial agreement</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proofErr w:type="gramStart"/>
      <w:r w:rsidRPr="009D79CE">
        <w:rPr>
          <w:rFonts w:ascii="Verdana" w:hAnsi="Verdana"/>
          <w:b/>
          <w:sz w:val="20"/>
          <w:szCs w:val="20"/>
        </w:rPr>
        <w:t>and</w:t>
      </w:r>
      <w:proofErr w:type="gramEnd"/>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United Voice, Tasmanian branch</w:t>
      </w: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(T14474</w:t>
      </w:r>
      <w:r w:rsidR="00BF22A3" w:rsidRPr="009D79CE">
        <w:rPr>
          <w:rFonts w:ascii="Verdana" w:hAnsi="Verdana"/>
          <w:sz w:val="20"/>
          <w:szCs w:val="20"/>
        </w:rPr>
        <w:t xml:space="preserve"> of 201</w:t>
      </w:r>
      <w:r w:rsidRPr="009D79CE">
        <w:rPr>
          <w:rFonts w:ascii="Verdana" w:hAnsi="Verdana"/>
          <w:sz w:val="20"/>
          <w:szCs w:val="20"/>
        </w:rPr>
        <w:t>7</w:t>
      </w:r>
      <w:r w:rsidR="00BF22A3" w:rsidRPr="009D79CE">
        <w:rPr>
          <w:rFonts w:ascii="Verdana" w:hAnsi="Verdana"/>
          <w:sz w:val="20"/>
          <w:szCs w:val="20"/>
        </w:rPr>
        <w:t>)</w:t>
      </w:r>
    </w:p>
    <w:p w:rsidR="00ED111A" w:rsidRPr="009D79CE"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 xml:space="preserve">EDUCATION </w:t>
      </w:r>
      <w:r w:rsidR="009D79CE">
        <w:rPr>
          <w:rFonts w:ascii="Verdana" w:hAnsi="Verdana"/>
          <w:b/>
          <w:sz w:val="20"/>
          <w:szCs w:val="20"/>
        </w:rPr>
        <w:t xml:space="preserve">FACILITY </w:t>
      </w:r>
      <w:r w:rsidRPr="009D79CE">
        <w:rPr>
          <w:rFonts w:ascii="Verdana" w:hAnsi="Verdana"/>
          <w:b/>
          <w:sz w:val="20"/>
          <w:szCs w:val="20"/>
        </w:rPr>
        <w:t xml:space="preserve">ATTENDANT </w:t>
      </w:r>
      <w:r w:rsidR="009D79CE">
        <w:rPr>
          <w:rFonts w:ascii="Verdana" w:hAnsi="Verdana"/>
          <w:b/>
          <w:sz w:val="20"/>
          <w:szCs w:val="20"/>
        </w:rPr>
        <w:t>SALARIES</w:t>
      </w:r>
      <w:r w:rsidRPr="009D79CE">
        <w:rPr>
          <w:rFonts w:ascii="Verdana" w:hAnsi="Verdana"/>
          <w:b/>
          <w:sz w:val="20"/>
          <w:szCs w:val="20"/>
        </w:rPr>
        <w:t xml:space="preserve"> AND </w:t>
      </w:r>
      <w:r w:rsidR="009D79CE">
        <w:rPr>
          <w:rFonts w:ascii="Verdana" w:hAnsi="Verdana"/>
          <w:b/>
          <w:sz w:val="20"/>
          <w:szCs w:val="20"/>
        </w:rPr>
        <w:t>CONDITIONS</w:t>
      </w:r>
      <w:r w:rsidRPr="009D79CE">
        <w:rPr>
          <w:rFonts w:ascii="Verdana" w:hAnsi="Verdana"/>
          <w:b/>
          <w:sz w:val="20"/>
          <w:szCs w:val="20"/>
        </w:rPr>
        <w:t xml:space="preserve"> OF EMPLOYMENT INDUSTRIAL AGREEMENT 2016</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AD4BBF"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hAnsi="Verdana"/>
          <w:sz w:val="20"/>
          <w:szCs w:val="20"/>
        </w:rPr>
        <w:t>PRESIDENT D J BARCLAY</w:t>
      </w:r>
      <w:r w:rsidRPr="009D79CE">
        <w:rPr>
          <w:rFonts w:ascii="Verdana" w:hAnsi="Verdana"/>
          <w:b/>
          <w:sz w:val="20"/>
          <w:szCs w:val="20"/>
        </w:rPr>
        <w:t xml:space="preserve">                                                           </w:t>
      </w:r>
      <w:r w:rsidR="004F5B26">
        <w:rPr>
          <w:rFonts w:ascii="Verdana" w:eastAsia="Times New Roman" w:hAnsi="Verdana" w:cs="Times New Roman"/>
          <w:sz w:val="20"/>
          <w:szCs w:val="20"/>
          <w:lang w:val="en-AU"/>
        </w:rPr>
        <w:t>HOBART, 25</w:t>
      </w:r>
      <w:r w:rsidR="00AD4BBF" w:rsidRPr="009D79CE">
        <w:rPr>
          <w:rFonts w:ascii="Verdana" w:eastAsia="Times New Roman" w:hAnsi="Verdana" w:cs="Times New Roman"/>
          <w:sz w:val="20"/>
          <w:szCs w:val="20"/>
          <w:lang w:val="en-AU"/>
        </w:rPr>
        <w:t xml:space="preserve"> January 2017</w:t>
      </w:r>
    </w:p>
    <w:p w:rsidR="00ED111A" w:rsidRDefault="00ED111A">
      <w:pPr>
        <w:spacing w:after="0" w:line="200" w:lineRule="exact"/>
        <w:rPr>
          <w:rFonts w:ascii="Verdana" w:hAnsi="Verdana"/>
          <w:b/>
          <w:sz w:val="20"/>
          <w:szCs w:val="20"/>
        </w:rPr>
      </w:pPr>
    </w:p>
    <w:p w:rsidR="004F5B26" w:rsidRPr="009D79CE" w:rsidRDefault="004F5B26">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 xml:space="preserve">Industrial </w:t>
      </w:r>
      <w:r w:rsidR="009D79CE" w:rsidRPr="009D79CE">
        <w:rPr>
          <w:rFonts w:ascii="Verdana" w:hAnsi="Verdana"/>
          <w:b/>
          <w:sz w:val="20"/>
          <w:szCs w:val="20"/>
        </w:rPr>
        <w:t>agreement</w:t>
      </w:r>
      <w:r w:rsidRPr="009D79CE">
        <w:rPr>
          <w:rFonts w:ascii="Verdana" w:hAnsi="Verdana"/>
          <w:b/>
          <w:sz w:val="20"/>
          <w:szCs w:val="20"/>
        </w:rPr>
        <w:t xml:space="preserve"> - </w:t>
      </w:r>
      <w:r w:rsidR="009D79CE" w:rsidRPr="009D79CE">
        <w:rPr>
          <w:rFonts w:ascii="Verdana" w:hAnsi="Verdana"/>
          <w:b/>
          <w:sz w:val="20"/>
          <w:szCs w:val="20"/>
        </w:rPr>
        <w:t>application approved</w:t>
      </w:r>
      <w:r w:rsidRPr="009D79CE">
        <w:rPr>
          <w:rFonts w:ascii="Verdana" w:hAnsi="Verdana"/>
          <w:b/>
          <w:sz w:val="20"/>
          <w:szCs w:val="20"/>
        </w:rPr>
        <w:t xml:space="preserve"> - </w:t>
      </w:r>
      <w:r w:rsidR="009D79CE">
        <w:rPr>
          <w:rFonts w:ascii="Verdana" w:hAnsi="Verdana"/>
          <w:b/>
          <w:sz w:val="20"/>
          <w:szCs w:val="20"/>
        </w:rPr>
        <w:t>operative from</w:t>
      </w:r>
      <w:r w:rsidRPr="009D79CE">
        <w:rPr>
          <w:rFonts w:ascii="Verdana" w:hAnsi="Verdana"/>
          <w:b/>
          <w:sz w:val="20"/>
          <w:szCs w:val="20"/>
        </w:rPr>
        <w:t xml:space="preserve"> </w:t>
      </w:r>
      <w:r w:rsidR="009D79CE">
        <w:rPr>
          <w:rFonts w:ascii="Verdana" w:hAnsi="Verdana"/>
          <w:b/>
          <w:sz w:val="20"/>
          <w:szCs w:val="20"/>
        </w:rPr>
        <w:t xml:space="preserve">date </w:t>
      </w:r>
      <w:r w:rsidRPr="009D79CE">
        <w:rPr>
          <w:rFonts w:ascii="Verdana" w:hAnsi="Verdana"/>
          <w:b/>
          <w:sz w:val="20"/>
          <w:szCs w:val="20"/>
        </w:rPr>
        <w:t xml:space="preserve">of registration - forwarded to Registrar </w:t>
      </w:r>
      <w:r w:rsidR="00F3422A" w:rsidRPr="009D79CE">
        <w:rPr>
          <w:rFonts w:ascii="Verdana" w:hAnsi="Verdana"/>
          <w:b/>
          <w:sz w:val="20"/>
          <w:szCs w:val="20"/>
        </w:rPr>
        <w:t>for registration</w:t>
      </w:r>
    </w:p>
    <w:p w:rsidR="00ED111A" w:rsidRPr="009D79CE" w:rsidRDefault="00ED111A">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ED111A" w:rsidRPr="009D79CE" w:rsidRDefault="00ED111A">
      <w:pPr>
        <w:spacing w:after="0" w:line="200" w:lineRule="exact"/>
        <w:rPr>
          <w:rFonts w:ascii="Verdana" w:hAnsi="Verdana"/>
          <w:sz w:val="20"/>
          <w:szCs w:val="20"/>
        </w:rPr>
      </w:pPr>
    </w:p>
    <w:p w:rsidR="00ED111A" w:rsidRPr="009D79CE" w:rsidRDefault="00ED111A"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January</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Pr="009D79CE">
        <w:rPr>
          <w:rFonts w:ascii="Verdana" w:eastAsia="Times New Roman" w:hAnsi="Verdana" w:cs="Times New Roman"/>
          <w:sz w:val="20"/>
          <w:szCs w:val="20"/>
          <w:lang w:val="en-AU"/>
        </w:rPr>
        <w:t>5</w:t>
      </w:r>
      <w:r w:rsidR="00E80F00">
        <w:rPr>
          <w:rFonts w:ascii="Verdana" w:eastAsia="Times New Roman" w:hAnsi="Verdana" w:cs="Times New Roman"/>
          <w:sz w:val="20"/>
          <w:szCs w:val="20"/>
          <w:lang w:val="en-AU"/>
        </w:rPr>
        <w:t>9</w:t>
      </w:r>
      <w:r w:rsidRPr="009D79CE">
        <w:rPr>
          <w:rFonts w:ascii="Verdana" w:eastAsia="Times New Roman" w:hAnsi="Verdana" w:cs="Times New Roman"/>
          <w:sz w:val="20"/>
          <w:szCs w:val="20"/>
          <w:lang w:val="en-AU"/>
        </w:rPr>
        <w:t xml:space="preserve">(2)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an Application to vary</w:t>
      </w:r>
      <w:r w:rsidR="00766461">
        <w:rPr>
          <w:rFonts w:ascii="Verdana" w:eastAsia="Times New Roman" w:hAnsi="Verdana" w:cs="Times New Roman"/>
          <w:sz w:val="20"/>
          <w:szCs w:val="20"/>
          <w:lang w:val="en-AU"/>
        </w:rPr>
        <w:t xml:space="preserve"> the</w:t>
      </w:r>
      <w:r w:rsidR="00E80F00">
        <w:rPr>
          <w:rFonts w:ascii="Verdana" w:eastAsia="Times New Roman" w:hAnsi="Verdana" w:cs="Times New Roman"/>
          <w:sz w:val="20"/>
          <w:szCs w:val="20"/>
          <w:lang w:val="en-AU"/>
        </w:rPr>
        <w:t xml:space="preserve"> Education</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 xml:space="preserve">Facility </w:t>
      </w:r>
      <w:r w:rsidRPr="009D79CE">
        <w:rPr>
          <w:rFonts w:ascii="Verdana" w:eastAsia="Times New Roman" w:hAnsi="Verdana" w:cs="Times New Roman"/>
          <w:sz w:val="20"/>
          <w:szCs w:val="20"/>
          <w:lang w:val="en-AU"/>
        </w:rPr>
        <w:t xml:space="preserve">Attendant </w:t>
      </w:r>
      <w:r w:rsidR="00E80F00">
        <w:rPr>
          <w:rFonts w:ascii="Verdana" w:eastAsia="Times New Roman" w:hAnsi="Verdana" w:cs="Times New Roman"/>
          <w:sz w:val="20"/>
          <w:szCs w:val="20"/>
          <w:lang w:val="en-AU"/>
        </w:rPr>
        <w:t>Salaries and Conditions</w:t>
      </w:r>
      <w:r w:rsidRPr="009D79CE">
        <w:rPr>
          <w:rFonts w:ascii="Verdana" w:eastAsia="Times New Roman" w:hAnsi="Verdana" w:cs="Times New Roman"/>
          <w:sz w:val="20"/>
          <w:szCs w:val="20"/>
          <w:lang w:val="en-AU"/>
        </w:rPr>
        <w:t xml:space="preserve"> of </w:t>
      </w:r>
      <w:r w:rsidR="00E80F00">
        <w:rPr>
          <w:rFonts w:ascii="Verdana" w:eastAsia="Times New Roman" w:hAnsi="Verdana" w:cs="Times New Roman"/>
          <w:sz w:val="20"/>
          <w:szCs w:val="20"/>
          <w:lang w:val="en-AU"/>
        </w:rPr>
        <w:t>Employment</w:t>
      </w:r>
      <w:r w:rsidRPr="009D79CE">
        <w:rPr>
          <w:rFonts w:ascii="Verdana" w:eastAsia="Times New Roman" w:hAnsi="Verdana" w:cs="Times New Roman"/>
          <w:sz w:val="20"/>
          <w:szCs w:val="20"/>
          <w:lang w:val="en-AU"/>
        </w:rPr>
        <w:t xml:space="preserve"> Industrial Agreement </w:t>
      </w:r>
      <w:r w:rsidR="00E80F00">
        <w:rPr>
          <w:rFonts w:ascii="Verdana" w:eastAsia="Times New Roman" w:hAnsi="Verdana" w:cs="Times New Roman"/>
          <w:sz w:val="20"/>
          <w:szCs w:val="20"/>
          <w:lang w:val="en-AU"/>
        </w:rPr>
        <w:t>2016</w:t>
      </w:r>
      <w:r w:rsidRPr="009D79CE">
        <w:rPr>
          <w:rFonts w:ascii="Verdana" w:eastAsia="Times New Roman" w:hAnsi="Verdana" w:cs="Times New Roman"/>
          <w:sz w:val="20"/>
          <w:szCs w:val="20"/>
          <w:lang w:val="en-AU"/>
        </w:rPr>
        <w:t xml:space="preserve"> (the Agreement).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2</w:t>
      </w:r>
      <w:r w:rsidR="00E80F00">
        <w:rPr>
          <w:rFonts w:ascii="Verdana" w:eastAsia="Times New Roman" w:hAnsi="Verdana" w:cs="Times New Roman"/>
          <w:sz w:val="20"/>
          <w:szCs w:val="20"/>
          <w:lang w:val="en-AU"/>
        </w:rPr>
        <w:t>4</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January 2017</w:t>
      </w:r>
      <w:r w:rsidRPr="009D79CE">
        <w:rPr>
          <w:rFonts w:ascii="Verdana" w:eastAsia="Times New Roman" w:hAnsi="Verdana" w:cs="Times New Roman"/>
          <w:sz w:val="20"/>
          <w:szCs w:val="20"/>
          <w:lang w:val="en-AU"/>
        </w:rPr>
        <w:t xml:space="preserve">, Mr M Watson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Pr="009D79CE">
        <w:rPr>
          <w:rFonts w:ascii="Verdana" w:eastAsia="Times New Roman" w:hAnsi="Verdana" w:cs="Times New Roman"/>
          <w:sz w:val="20"/>
          <w:szCs w:val="20"/>
          <w:lang w:val="en-AU"/>
        </w:rPr>
        <w:t xml:space="preserve"> and Mr L Hills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behalf of United Voice, </w:t>
      </w:r>
      <w:r w:rsidR="009D79CE" w:rsidRPr="009D79CE">
        <w:rPr>
          <w:rFonts w:ascii="Verdana" w:eastAsia="Times New Roman" w:hAnsi="Verdana" w:cs="Times New Roman"/>
          <w:sz w:val="20"/>
          <w:szCs w:val="20"/>
          <w:lang w:val="en-AU"/>
        </w:rPr>
        <w:t>Tasmania Branch</w:t>
      </w:r>
      <w:r w:rsidRPr="009D79CE">
        <w:rPr>
          <w:rFonts w:ascii="Verdana" w:eastAsia="Times New Roman" w:hAnsi="Verdana" w:cs="Times New Roman"/>
          <w:sz w:val="20"/>
          <w:szCs w:val="20"/>
          <w:lang w:val="en-AU"/>
        </w:rPr>
        <w:t xml:space="preserve"> (UV).</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F1679"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AF1679">
        <w:rPr>
          <w:rFonts w:ascii="Verdana" w:eastAsia="Times New Roman" w:hAnsi="Verdana" w:cs="Times New Roman"/>
          <w:b/>
          <w:sz w:val="20"/>
          <w:szCs w:val="20"/>
          <w:lang w:val="en-AU"/>
        </w:rPr>
        <w:t>[3</w:t>
      </w:r>
      <w:r w:rsidR="009D79CE" w:rsidRPr="00AF1679">
        <w:rPr>
          <w:rFonts w:ascii="Verdana" w:eastAsia="Times New Roman" w:hAnsi="Verdana" w:cs="Times New Roman"/>
          <w:b/>
          <w:sz w:val="20"/>
          <w:szCs w:val="20"/>
          <w:lang w:val="en-AU"/>
        </w:rPr>
        <w:t>]</w:t>
      </w:r>
      <w:r w:rsidR="009D79CE" w:rsidRPr="00AF1679">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AF1679">
        <w:rPr>
          <w:rFonts w:ascii="Verdana" w:eastAsia="Times New Roman" w:hAnsi="Verdana" w:cs="Times New Roman"/>
          <w:sz w:val="20"/>
          <w:szCs w:val="20"/>
          <w:lang w:val="en-AU"/>
        </w:rPr>
        <w:t xml:space="preserve">The </w:t>
      </w:r>
      <w:r w:rsidR="00E9409C">
        <w:rPr>
          <w:rFonts w:ascii="Verdana" w:eastAsia="Times New Roman" w:hAnsi="Verdana" w:cs="Times New Roman"/>
          <w:sz w:val="20"/>
          <w:szCs w:val="20"/>
          <w:lang w:val="en-AU"/>
        </w:rPr>
        <w:t>a</w:t>
      </w:r>
      <w:r w:rsidR="00AF1679">
        <w:rPr>
          <w:rFonts w:ascii="Verdana" w:eastAsia="Times New Roman" w:hAnsi="Verdana" w:cs="Times New Roman"/>
          <w:sz w:val="20"/>
          <w:szCs w:val="20"/>
          <w:lang w:val="en-AU"/>
        </w:rPr>
        <w:t xml:space="preserve">pplication </w:t>
      </w:r>
      <w:r w:rsidR="00766461">
        <w:rPr>
          <w:rFonts w:ascii="Verdana" w:eastAsia="Times New Roman" w:hAnsi="Verdana" w:cs="Times New Roman"/>
          <w:sz w:val="20"/>
          <w:szCs w:val="20"/>
          <w:lang w:val="en-AU"/>
        </w:rPr>
        <w:t>sought to insert a new clause 16 – Adjustment of Wage Related Allowance. I was told this matter remained outstanding at the time of the approval of the Agreement in December 2016. Both parties submitted that the variation was appropriate and in the public interest and that the clause resulted in uniformity across other relevant agreements.</w:t>
      </w:r>
    </w:p>
    <w:p w:rsidR="00AF1679" w:rsidRDefault="00AF1679"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w:t>
      </w:r>
      <w:r w:rsidR="00556E8B">
        <w:rPr>
          <w:rFonts w:ascii="Verdana" w:eastAsia="Times New Roman" w:hAnsi="Verdana" w:cs="Times New Roman"/>
          <w:b/>
          <w:sz w:val="20"/>
          <w:szCs w:val="20"/>
          <w:lang w:val="en-AU"/>
        </w:rPr>
        <w:t>4</w:t>
      </w:r>
      <w:r w:rsidRPr="00E80F00">
        <w:rPr>
          <w:rFonts w:ascii="Verdana" w:eastAsia="Times New Roman" w:hAnsi="Verdana" w:cs="Times New Roman"/>
          <w:b/>
          <w:sz w:val="20"/>
          <w:szCs w:val="20"/>
          <w:lang w:val="en-AU"/>
        </w:rPr>
        <w:t>]</w:t>
      </w:r>
      <w:r w:rsidR="00766461">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766461">
        <w:rPr>
          <w:rFonts w:ascii="Verdana" w:eastAsia="Times New Roman" w:hAnsi="Verdana" w:cs="Times New Roman"/>
          <w:sz w:val="20"/>
          <w:szCs w:val="20"/>
          <w:lang w:val="en-AU"/>
        </w:rPr>
        <w:t>Additionally</w:t>
      </w:r>
      <w:r w:rsidR="004C7A2B">
        <w:rPr>
          <w:rFonts w:ascii="Verdana" w:eastAsia="Times New Roman" w:hAnsi="Verdana" w:cs="Times New Roman"/>
          <w:sz w:val="20"/>
          <w:szCs w:val="20"/>
          <w:lang w:val="en-AU"/>
        </w:rPr>
        <w:t>,</w:t>
      </w:r>
      <w:r w:rsidR="00766461">
        <w:rPr>
          <w:rFonts w:ascii="Verdana" w:eastAsia="Times New Roman" w:hAnsi="Verdana" w:cs="Times New Roman"/>
          <w:sz w:val="20"/>
          <w:szCs w:val="20"/>
          <w:lang w:val="en-AU"/>
        </w:rPr>
        <w:t xml:space="preserve"> an application was made to amend the Agreement in light of errors in the way wage rises were calculated in clause 7 of the Agreement. Those errors were rectified and I was provided with a correct copy of the Agreement dated 20 January 2017.</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556E8B">
        <w:rPr>
          <w:rFonts w:ascii="Verdana" w:eastAsia="Times New Roman" w:hAnsi="Verdana" w:cs="Times New Roman"/>
          <w:b/>
          <w:sz w:val="20"/>
          <w:szCs w:val="20"/>
          <w:lang w:val="en-AU"/>
        </w:rPr>
        <w:t>[</w:t>
      </w:r>
      <w:r w:rsidR="00766461">
        <w:rPr>
          <w:rFonts w:ascii="Verdana" w:eastAsia="Times New Roman" w:hAnsi="Verdana" w:cs="Times New Roman"/>
          <w:b/>
          <w:sz w:val="20"/>
          <w:szCs w:val="20"/>
          <w:lang w:val="en-AU"/>
        </w:rPr>
        <w:t>5</w:t>
      </w:r>
      <w:r w:rsidRPr="00556E8B">
        <w:rPr>
          <w:rFonts w:ascii="Verdana" w:eastAsia="Times New Roman" w:hAnsi="Verdana" w:cs="Times New Roman"/>
          <w:b/>
          <w:sz w:val="20"/>
          <w:szCs w:val="20"/>
          <w:lang w:val="en-AU"/>
        </w:rPr>
        <w:t>]</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Pr="009D79CE">
        <w:rPr>
          <w:rFonts w:ascii="Verdana" w:eastAsia="Times New Roman" w:hAnsi="Verdana" w:cs="Times New Roman"/>
          <w:sz w:val="20"/>
          <w:szCs w:val="20"/>
          <w:lang w:val="en-AU"/>
        </w:rPr>
        <w:t xml:space="preserve">I </w:t>
      </w:r>
      <w:r w:rsidR="00E80F00">
        <w:rPr>
          <w:rFonts w:ascii="Verdana" w:eastAsia="Times New Roman" w:hAnsi="Verdana" w:cs="Times New Roman"/>
          <w:sz w:val="20"/>
          <w:szCs w:val="20"/>
          <w:lang w:val="en-AU"/>
        </w:rPr>
        <w:t xml:space="preserve">am </w:t>
      </w:r>
      <w:r w:rsidRPr="009D79CE">
        <w:rPr>
          <w:rFonts w:ascii="Verdana" w:eastAsia="Times New Roman" w:hAnsi="Verdana" w:cs="Times New Roman"/>
          <w:sz w:val="20"/>
          <w:szCs w:val="20"/>
          <w:lang w:val="en-AU"/>
        </w:rPr>
        <w:t xml:space="preserve">satisfied that </w:t>
      </w:r>
      <w:r w:rsidR="00E80F00">
        <w:rPr>
          <w:rFonts w:ascii="Verdana" w:eastAsia="Times New Roman" w:hAnsi="Verdana" w:cs="Times New Roman"/>
          <w:sz w:val="20"/>
          <w:szCs w:val="20"/>
          <w:lang w:val="en-AU"/>
        </w:rPr>
        <w:t xml:space="preserve">the </w:t>
      </w:r>
      <w:r w:rsidR="00766461">
        <w:rPr>
          <w:rFonts w:ascii="Verdana" w:eastAsia="Times New Roman" w:hAnsi="Verdana" w:cs="Times New Roman"/>
          <w:sz w:val="20"/>
          <w:szCs w:val="20"/>
          <w:lang w:val="en-AU"/>
        </w:rPr>
        <w:t>variation</w:t>
      </w:r>
      <w:r>
        <w:rPr>
          <w:rFonts w:ascii="Verdana" w:eastAsia="Times New Roman" w:hAnsi="Verdana" w:cs="Times New Roman"/>
          <w:sz w:val="20"/>
          <w:szCs w:val="20"/>
          <w:lang w:val="en-AU"/>
        </w:rPr>
        <w:t>s</w:t>
      </w:r>
      <w:r w:rsidR="00766461">
        <w:rPr>
          <w:rFonts w:ascii="Verdana" w:eastAsia="Times New Roman" w:hAnsi="Verdana" w:cs="Times New Roman"/>
          <w:sz w:val="20"/>
          <w:szCs w:val="20"/>
          <w:lang w:val="en-AU"/>
        </w:rPr>
        <w:t xml:space="preserve"> to the A</w:t>
      </w:r>
      <w:r>
        <w:rPr>
          <w:rFonts w:ascii="Verdana" w:eastAsia="Times New Roman" w:hAnsi="Verdana" w:cs="Times New Roman"/>
          <w:sz w:val="20"/>
          <w:szCs w:val="20"/>
          <w:lang w:val="en-AU"/>
        </w:rPr>
        <w:t>greement are</w:t>
      </w:r>
      <w:r w:rsidR="00E80F0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 xml:space="preserve">consistent with the </w:t>
      </w:r>
      <w:r w:rsidR="00E80F00">
        <w:rPr>
          <w:rFonts w:ascii="Verdana" w:eastAsia="Times New Roman" w:hAnsi="Verdana" w:cs="Times New Roman"/>
          <w:sz w:val="20"/>
          <w:szCs w:val="20"/>
          <w:lang w:val="en-AU"/>
        </w:rPr>
        <w:t>public</w:t>
      </w:r>
      <w:r w:rsidRPr="009D79CE">
        <w:rPr>
          <w:rFonts w:ascii="Verdana" w:eastAsia="Times New Roman" w:hAnsi="Verdana" w:cs="Times New Roman"/>
          <w:sz w:val="20"/>
          <w:szCs w:val="20"/>
          <w:lang w:val="en-AU"/>
        </w:rPr>
        <w:t xml:space="preserve"> in</w:t>
      </w:r>
      <w:r w:rsidR="00766461">
        <w:rPr>
          <w:rFonts w:ascii="Verdana" w:eastAsia="Times New Roman" w:hAnsi="Verdana" w:cs="Times New Roman"/>
          <w:sz w:val="20"/>
          <w:szCs w:val="20"/>
          <w:lang w:val="en-AU"/>
        </w:rPr>
        <w:t xml:space="preserve">terest requirements of the Act and </w:t>
      </w:r>
      <w:r>
        <w:rPr>
          <w:rFonts w:ascii="Verdana" w:eastAsia="Times New Roman" w:hAnsi="Verdana" w:cs="Times New Roman"/>
          <w:sz w:val="20"/>
          <w:szCs w:val="20"/>
          <w:lang w:val="en-AU"/>
        </w:rPr>
        <w:t>do</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 xml:space="preserve">not </w:t>
      </w:r>
      <w:r w:rsidRPr="009D79CE">
        <w:rPr>
          <w:rFonts w:ascii="Verdana" w:eastAsia="Times New Roman" w:hAnsi="Verdana" w:cs="Times New Roman"/>
          <w:sz w:val="20"/>
          <w:szCs w:val="20"/>
          <w:lang w:val="en-AU"/>
        </w:rPr>
        <w:t xml:space="preserve">disadvantage the employees </w:t>
      </w:r>
      <w:r w:rsidR="00766461">
        <w:rPr>
          <w:rFonts w:ascii="Verdana" w:eastAsia="Times New Roman" w:hAnsi="Verdana" w:cs="Times New Roman"/>
          <w:sz w:val="20"/>
          <w:szCs w:val="20"/>
          <w:lang w:val="en-AU"/>
        </w:rPr>
        <w:t>concerned</w:t>
      </w:r>
      <w:r w:rsidRPr="009D79CE">
        <w:rPr>
          <w:rFonts w:ascii="Verdana" w:eastAsia="Times New Roman" w:hAnsi="Verdana" w:cs="Times New Roman"/>
          <w:sz w:val="20"/>
          <w:szCs w:val="20"/>
          <w:lang w:val="en-AU"/>
        </w:rPr>
        <w:t>.</w:t>
      </w:r>
    </w:p>
    <w:p w:rsidR="00766461" w:rsidRDefault="00766461"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6461" w:rsidRPr="00766461" w:rsidRDefault="00766461"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[6]</w:t>
      </w:r>
      <w:r>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Pr>
          <w:rFonts w:ascii="Verdana" w:eastAsia="Times New Roman" w:hAnsi="Verdana" w:cs="Times New Roman"/>
          <w:sz w:val="20"/>
          <w:szCs w:val="20"/>
          <w:lang w:val="en-AU"/>
        </w:rPr>
        <w:t xml:space="preserve">Pursuant to </w:t>
      </w:r>
      <w:proofErr w:type="gramStart"/>
      <w:r>
        <w:rPr>
          <w:rFonts w:ascii="Verdana" w:eastAsia="Times New Roman" w:hAnsi="Verdana" w:cs="Times New Roman"/>
          <w:sz w:val="20"/>
          <w:szCs w:val="20"/>
          <w:lang w:val="en-AU"/>
        </w:rPr>
        <w:t>s59(</w:t>
      </w:r>
      <w:proofErr w:type="gramEnd"/>
      <w:r>
        <w:rPr>
          <w:rFonts w:ascii="Verdana" w:eastAsia="Times New Roman" w:hAnsi="Verdana" w:cs="Times New Roman"/>
          <w:sz w:val="20"/>
          <w:szCs w:val="20"/>
          <w:lang w:val="en-AU"/>
        </w:rPr>
        <w:t>2</w:t>
      </w:r>
      <w:r w:rsidRPr="00766461">
        <w:rPr>
          <w:rFonts w:ascii="Verdana" w:eastAsia="Times New Roman" w:hAnsi="Verdana" w:cs="Times New Roman"/>
          <w:sz w:val="20"/>
          <w:szCs w:val="20"/>
          <w:lang w:val="en-AU"/>
        </w:rPr>
        <w:t xml:space="preserve">) the </w:t>
      </w:r>
      <w:r w:rsidR="00BF22A3">
        <w:rPr>
          <w:rFonts w:ascii="Verdana" w:eastAsia="Times New Roman" w:hAnsi="Verdana" w:cs="Times New Roman"/>
          <w:sz w:val="20"/>
          <w:szCs w:val="20"/>
          <w:lang w:val="en-AU"/>
        </w:rPr>
        <w:t>variations to the Agreement are</w:t>
      </w:r>
      <w:r w:rsidRPr="00766461">
        <w:rPr>
          <w:rFonts w:ascii="Verdana" w:eastAsia="Times New Roman" w:hAnsi="Verdana" w:cs="Times New Roman"/>
          <w:sz w:val="20"/>
          <w:szCs w:val="20"/>
          <w:lang w:val="en-AU"/>
        </w:rPr>
        <w:t xml:space="preserve"> approved with an operative </w:t>
      </w:r>
      <w:r w:rsidR="00E952DC">
        <w:rPr>
          <w:rFonts w:ascii="Verdana" w:eastAsia="Times New Roman" w:hAnsi="Verdana" w:cs="Times New Roman"/>
          <w:sz w:val="20"/>
          <w:szCs w:val="20"/>
          <w:lang w:val="en-AU"/>
        </w:rPr>
        <w:t>date from</w:t>
      </w:r>
      <w:r w:rsidRPr="00766461">
        <w:rPr>
          <w:rFonts w:ascii="Verdana" w:eastAsia="Times New Roman" w:hAnsi="Verdana" w:cs="Times New Roman"/>
          <w:sz w:val="20"/>
          <w:szCs w:val="20"/>
          <w:lang w:val="en-AU"/>
        </w:rPr>
        <w:t xml:space="preserve"> the first full pay period</w:t>
      </w:r>
      <w:bookmarkStart w:id="0" w:name="_GoBack"/>
      <w:bookmarkEnd w:id="0"/>
      <w:r w:rsidRPr="00766461">
        <w:rPr>
          <w:rFonts w:ascii="Verdana" w:eastAsia="Times New Roman" w:hAnsi="Verdana" w:cs="Times New Roman"/>
          <w:sz w:val="20"/>
          <w:szCs w:val="20"/>
          <w:lang w:val="en-AU"/>
        </w:rPr>
        <w:t xml:space="preserve"> after 1 December 2016 and shall re</w:t>
      </w:r>
      <w:r w:rsidR="00BF22A3">
        <w:rPr>
          <w:rFonts w:ascii="Verdana" w:eastAsia="Times New Roman" w:hAnsi="Verdana" w:cs="Times New Roman"/>
          <w:sz w:val="20"/>
          <w:szCs w:val="20"/>
          <w:lang w:val="en-AU"/>
        </w:rPr>
        <w:t xml:space="preserve">main in force until 30 November 2018. </w:t>
      </w:r>
    </w:p>
    <w:p w:rsidR="004F5B26" w:rsidRDefault="004F5B26">
      <w:pPr>
        <w:rPr>
          <w:rFonts w:ascii="Verdana" w:eastAsia="Times New Roman" w:hAnsi="Verdana" w:cs="Times New Roman"/>
          <w:sz w:val="20"/>
          <w:szCs w:val="20"/>
          <w:lang w:val="en-AU"/>
        </w:rPr>
      </w:pPr>
      <w:r>
        <w:rPr>
          <w:rFonts w:ascii="Verdana" w:eastAsia="Times New Roman" w:hAnsi="Verdana" w:cs="Times New Roman"/>
          <w:sz w:val="20"/>
          <w:szCs w:val="20"/>
          <w:lang w:val="en-AU"/>
        </w:rPr>
        <w:br w:type="page"/>
      </w:r>
    </w:p>
    <w:p w:rsidR="00F3422A" w:rsidRDefault="00F3422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422A" w:rsidRPr="00556E8B" w:rsidRDefault="00F3422A"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556E8B">
        <w:rPr>
          <w:rFonts w:ascii="Verdana" w:eastAsia="Times New Roman" w:hAnsi="Verdana" w:cs="Times New Roman"/>
          <w:b/>
          <w:sz w:val="20"/>
          <w:szCs w:val="20"/>
          <w:lang w:val="en-AU"/>
        </w:rPr>
        <w:t>[</w:t>
      </w:r>
      <w:r w:rsidR="00BF22A3">
        <w:rPr>
          <w:rFonts w:ascii="Verdana" w:eastAsia="Times New Roman" w:hAnsi="Verdana" w:cs="Times New Roman"/>
          <w:b/>
          <w:sz w:val="20"/>
          <w:szCs w:val="20"/>
          <w:lang w:val="en-AU"/>
        </w:rPr>
        <w:t>7</w:t>
      </w:r>
      <w:r w:rsidRPr="00556E8B">
        <w:rPr>
          <w:rFonts w:ascii="Verdana" w:eastAsia="Times New Roman" w:hAnsi="Verdana" w:cs="Times New Roman"/>
          <w:b/>
          <w:sz w:val="20"/>
          <w:szCs w:val="20"/>
          <w:lang w:val="en-AU"/>
        </w:rPr>
        <w:t>]</w:t>
      </w:r>
      <w:r w:rsidR="00BF22A3">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BF22A3">
        <w:rPr>
          <w:rFonts w:ascii="Verdana" w:eastAsia="Times New Roman" w:hAnsi="Verdana" w:cs="Times New Roman"/>
          <w:sz w:val="20"/>
          <w:szCs w:val="20"/>
          <w:lang w:val="en-AU"/>
        </w:rPr>
        <w:t xml:space="preserve">I note </w:t>
      </w:r>
      <w:r w:rsidR="00556E8B">
        <w:rPr>
          <w:rFonts w:ascii="Verdana" w:eastAsia="Times New Roman" w:hAnsi="Verdana" w:cs="Times New Roman"/>
          <w:sz w:val="20"/>
          <w:szCs w:val="20"/>
          <w:lang w:val="en-AU"/>
        </w:rPr>
        <w:t xml:space="preserve">that the </w:t>
      </w:r>
      <w:r w:rsidR="00BF22A3">
        <w:rPr>
          <w:rFonts w:ascii="Verdana" w:eastAsia="Times New Roman" w:hAnsi="Verdana" w:cs="Times New Roman"/>
          <w:sz w:val="20"/>
          <w:szCs w:val="20"/>
          <w:lang w:val="en-AU"/>
        </w:rPr>
        <w:t xml:space="preserve">copy of the </w:t>
      </w:r>
      <w:r w:rsidR="00556E8B">
        <w:rPr>
          <w:rFonts w:ascii="Verdana" w:eastAsia="Times New Roman" w:hAnsi="Verdana" w:cs="Times New Roman"/>
          <w:sz w:val="20"/>
          <w:szCs w:val="20"/>
          <w:lang w:val="en-AU"/>
        </w:rPr>
        <w:t xml:space="preserve">Agreement dated 20 January 2017 which was provided </w:t>
      </w:r>
      <w:r w:rsidR="00BF22A3">
        <w:rPr>
          <w:rFonts w:ascii="Verdana" w:eastAsia="Times New Roman" w:hAnsi="Verdana" w:cs="Times New Roman"/>
          <w:sz w:val="20"/>
          <w:szCs w:val="20"/>
          <w:lang w:val="en-AU"/>
        </w:rPr>
        <w:t xml:space="preserve">to me </w:t>
      </w:r>
      <w:r w:rsidR="00556E8B">
        <w:rPr>
          <w:rFonts w:ascii="Verdana" w:eastAsia="Times New Roman" w:hAnsi="Verdana" w:cs="Times New Roman"/>
          <w:sz w:val="20"/>
          <w:szCs w:val="20"/>
          <w:lang w:val="en-AU"/>
        </w:rPr>
        <w:t>by Mr Watson during</w:t>
      </w:r>
      <w:r w:rsidR="00BF22A3">
        <w:rPr>
          <w:rFonts w:ascii="Verdana" w:eastAsia="Times New Roman" w:hAnsi="Verdana" w:cs="Times New Roman"/>
          <w:sz w:val="20"/>
          <w:szCs w:val="20"/>
          <w:lang w:val="en-AU"/>
        </w:rPr>
        <w:t xml:space="preserve"> the course of the hearing on</w:t>
      </w:r>
      <w:r w:rsidR="00556E8B">
        <w:rPr>
          <w:rFonts w:ascii="Verdana" w:eastAsia="Times New Roman" w:hAnsi="Verdana" w:cs="Times New Roman"/>
          <w:sz w:val="20"/>
          <w:szCs w:val="20"/>
          <w:lang w:val="en-AU"/>
        </w:rPr>
        <w:t xml:space="preserve"> 24 January 2017 </w:t>
      </w:r>
      <w:r w:rsidR="00BF22A3">
        <w:rPr>
          <w:rFonts w:ascii="Verdana" w:eastAsia="Times New Roman" w:hAnsi="Verdana" w:cs="Times New Roman"/>
          <w:sz w:val="20"/>
          <w:szCs w:val="20"/>
          <w:lang w:val="en-AU"/>
        </w:rPr>
        <w:t xml:space="preserve">reflects the content of the Agreement including the variations approved in this decision. Accordingly I direct that the </w:t>
      </w:r>
      <w:r w:rsidR="00556E8B">
        <w:rPr>
          <w:rFonts w:ascii="Verdana" w:eastAsia="Times New Roman" w:hAnsi="Verdana" w:cs="Times New Roman"/>
          <w:sz w:val="20"/>
          <w:szCs w:val="20"/>
          <w:lang w:val="en-AU"/>
        </w:rPr>
        <w:t>Education Facilities Attendant Salaries and Conditions of Employment Industrial Agre</w:t>
      </w:r>
      <w:r w:rsidR="00BF22A3">
        <w:rPr>
          <w:rFonts w:ascii="Verdana" w:eastAsia="Times New Roman" w:hAnsi="Verdana" w:cs="Times New Roman"/>
          <w:sz w:val="20"/>
          <w:szCs w:val="20"/>
          <w:lang w:val="en-AU"/>
        </w:rPr>
        <w:t>ement 2016 dated 20 January 2017 is the Agreement approved by the Commission.</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David Barclay</w:t>
      </w:r>
    </w:p>
    <w:p w:rsidR="00556E8B" w:rsidRP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President</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M Watson for MASSA</w:t>
      </w: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L Hills for UV</w:t>
      </w: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Date</w:t>
      </w:r>
      <w:r w:rsidR="00BF22A3" w:rsidRPr="00556E8B">
        <w:rPr>
          <w:rFonts w:ascii="Verdana" w:eastAsia="Times New Roman" w:hAnsi="Verdana" w:cs="Times New Roman"/>
          <w:b/>
          <w:sz w:val="20"/>
          <w:szCs w:val="20"/>
          <w:lang w:val="en-AU"/>
        </w:rPr>
        <w:t xml:space="preserve"> and place of hearing</w:t>
      </w:r>
      <w:r w:rsidR="00BF22A3" w:rsidRPr="009D79CE">
        <w:rPr>
          <w:rFonts w:ascii="Verdana" w:eastAsia="Times New Roman" w:hAnsi="Verdana" w:cs="Times New Roman"/>
          <w:sz w:val="20"/>
          <w:szCs w:val="20"/>
          <w:lang w:val="en-AU"/>
        </w:rPr>
        <w:t>:</w:t>
      </w:r>
    </w:p>
    <w:p w:rsidR="004F5B26" w:rsidRDefault="004F5B26"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2017</w:t>
      </w: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24</w:t>
      </w:r>
      <w:r w:rsidR="00BF22A3" w:rsidRPr="009D79CE">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January</w:t>
      </w:r>
      <w:r w:rsidR="00BF22A3">
        <w:rPr>
          <w:rFonts w:ascii="Verdana" w:eastAsia="Times New Roman" w:hAnsi="Verdana" w:cs="Times New Roman"/>
          <w:sz w:val="20"/>
          <w:szCs w:val="20"/>
          <w:lang w:val="en-AU"/>
        </w:rPr>
        <w:t xml:space="preserve"> </w:t>
      </w:r>
    </w:p>
    <w:p w:rsidR="00ED111A"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Hobart</w:t>
      </w:r>
    </w:p>
    <w:sectPr w:rsidR="00ED111A" w:rsidRPr="009D79CE">
      <w:pgSz w:w="11920" w:h="16840"/>
      <w:pgMar w:top="72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4C7A2B"/>
    <w:rsid w:val="004F5B26"/>
    <w:rsid w:val="00556E8B"/>
    <w:rsid w:val="005948A8"/>
    <w:rsid w:val="00766461"/>
    <w:rsid w:val="009D79CE"/>
    <w:rsid w:val="00AD4BBF"/>
    <w:rsid w:val="00AF1679"/>
    <w:rsid w:val="00BF22A3"/>
    <w:rsid w:val="00E80F00"/>
    <w:rsid w:val="00E9409C"/>
    <w:rsid w:val="00E952DC"/>
    <w:rsid w:val="00ED111A"/>
    <w:rsid w:val="00F3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2</cp:revision>
  <cp:lastPrinted>2017-01-25T02:31:00Z</cp:lastPrinted>
  <dcterms:created xsi:type="dcterms:W3CDTF">2017-01-25T02:53:00Z</dcterms:created>
  <dcterms:modified xsi:type="dcterms:W3CDTF">2017-01-25T02:53:00Z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