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8B" w:rsidRDefault="003C3A54" w:rsidP="00EB1784">
      <w:pPr>
        <w:pStyle w:val="BodyA"/>
        <w:tabs>
          <w:tab w:val="left" w:pos="567"/>
        </w:tabs>
        <w:suppressAutoHyphens/>
        <w:rPr>
          <w:rFonts w:ascii="Verdana" w:eastAsia="Verdana" w:hAnsi="Verdana" w:cs="Verdana"/>
          <w:b/>
          <w:bCs/>
          <w:sz w:val="20"/>
          <w:szCs w:val="20"/>
        </w:rPr>
      </w:pPr>
      <w:r>
        <w:rPr>
          <w:rFonts w:ascii="Verdana" w:hAnsi="Verdana"/>
          <w:b/>
          <w:bCs/>
          <w:sz w:val="20"/>
          <w:szCs w:val="20"/>
        </w:rPr>
        <w:t>TASMANIAN INDUSTRIAL COMMISSION</w:t>
      </w:r>
    </w:p>
    <w:p w:rsidR="00CA588B" w:rsidRDefault="00CA588B" w:rsidP="00512B89">
      <w:pPr>
        <w:pStyle w:val="BodyA"/>
        <w:suppressAutoHyphens/>
        <w:rPr>
          <w:rFonts w:ascii="Verdana" w:eastAsia="Verdana" w:hAnsi="Verdana" w:cs="Verdana"/>
          <w:b/>
          <w:bCs/>
          <w:sz w:val="20"/>
          <w:szCs w:val="20"/>
        </w:rPr>
      </w:pPr>
    </w:p>
    <w:p w:rsidR="00CA588B" w:rsidRDefault="00853765" w:rsidP="00512B89">
      <w:pPr>
        <w:pStyle w:val="BodyA"/>
        <w:suppressAutoHyphens/>
        <w:rPr>
          <w:rFonts w:ascii="Verdana" w:eastAsia="Verdana" w:hAnsi="Verdana" w:cs="Verdana"/>
          <w:b/>
          <w:bCs/>
          <w:sz w:val="20"/>
          <w:szCs w:val="20"/>
        </w:rPr>
      </w:pPr>
      <w:r>
        <w:rPr>
          <w:rFonts w:ascii="Verdana" w:hAnsi="Verdana"/>
          <w:b/>
          <w:bCs/>
          <w:i/>
          <w:iCs/>
          <w:sz w:val="20"/>
          <w:szCs w:val="20"/>
          <w:lang w:val="en-US"/>
        </w:rPr>
        <w:t>Long Service Leave</w:t>
      </w:r>
      <w:r w:rsidR="003C3A54">
        <w:rPr>
          <w:rFonts w:ascii="Verdana" w:hAnsi="Verdana"/>
          <w:b/>
          <w:bCs/>
          <w:i/>
          <w:iCs/>
          <w:sz w:val="20"/>
          <w:szCs w:val="20"/>
          <w:lang w:val="en-US"/>
        </w:rPr>
        <w:t xml:space="preserve"> Act</w:t>
      </w:r>
      <w:r w:rsidR="003C3A54">
        <w:rPr>
          <w:rFonts w:ascii="Verdana" w:hAnsi="Verdana"/>
          <w:b/>
          <w:bCs/>
          <w:sz w:val="20"/>
          <w:szCs w:val="20"/>
        </w:rPr>
        <w:t xml:space="preserve"> 19</w:t>
      </w:r>
      <w:r>
        <w:rPr>
          <w:rFonts w:ascii="Verdana" w:hAnsi="Verdana"/>
          <w:b/>
          <w:bCs/>
          <w:sz w:val="20"/>
          <w:szCs w:val="20"/>
        </w:rPr>
        <w:t>76</w:t>
      </w:r>
    </w:p>
    <w:p w:rsidR="00CA588B" w:rsidRDefault="00853765" w:rsidP="00512B89">
      <w:pPr>
        <w:pStyle w:val="BodyA"/>
        <w:suppressAutoHyphens/>
        <w:rPr>
          <w:rFonts w:ascii="Verdana" w:eastAsia="Verdana" w:hAnsi="Verdana" w:cs="Verdana"/>
          <w:sz w:val="20"/>
          <w:szCs w:val="20"/>
        </w:rPr>
      </w:pPr>
      <w:proofErr w:type="gramStart"/>
      <w:r w:rsidRPr="00853765">
        <w:rPr>
          <w:rFonts w:ascii="Verdana" w:hAnsi="Verdana"/>
          <w:sz w:val="20"/>
          <w:szCs w:val="20"/>
          <w:lang w:val="en-US"/>
        </w:rPr>
        <w:t>S14</w:t>
      </w:r>
      <w:r w:rsidR="003C3A54" w:rsidRPr="00853765">
        <w:rPr>
          <w:rFonts w:ascii="Verdana" w:hAnsi="Verdana"/>
          <w:sz w:val="20"/>
          <w:szCs w:val="20"/>
          <w:lang w:val="en-US"/>
        </w:rPr>
        <w:t>(</w:t>
      </w:r>
      <w:proofErr w:type="gramEnd"/>
      <w:r w:rsidR="003C3A54" w:rsidRPr="00853765">
        <w:rPr>
          <w:rFonts w:ascii="Verdana" w:hAnsi="Verdana"/>
          <w:sz w:val="20"/>
          <w:szCs w:val="20"/>
          <w:lang w:val="en-US"/>
        </w:rPr>
        <w:t>1) appeal against decision</w:t>
      </w:r>
    </w:p>
    <w:p w:rsidR="00CA588B" w:rsidRDefault="00CA588B" w:rsidP="00512B89">
      <w:pPr>
        <w:pStyle w:val="BodyA"/>
        <w:suppressAutoHyphens/>
        <w:rPr>
          <w:rFonts w:ascii="Verdana" w:eastAsia="Verdana" w:hAnsi="Verdana" w:cs="Verdana"/>
          <w:sz w:val="20"/>
          <w:szCs w:val="20"/>
        </w:rPr>
      </w:pPr>
    </w:p>
    <w:p w:rsidR="00CA588B" w:rsidRDefault="0001785C" w:rsidP="00512B89">
      <w:pPr>
        <w:pStyle w:val="BodyA"/>
        <w:suppressAutoHyphens/>
        <w:rPr>
          <w:rFonts w:ascii="Verdana" w:eastAsia="Verdana" w:hAnsi="Verdana" w:cs="Verdana"/>
          <w:b/>
          <w:bCs/>
          <w:sz w:val="20"/>
          <w:szCs w:val="20"/>
        </w:rPr>
      </w:pPr>
      <w:r>
        <w:rPr>
          <w:rFonts w:ascii="Verdana" w:hAnsi="Verdana"/>
          <w:b/>
          <w:bCs/>
          <w:sz w:val="20"/>
          <w:szCs w:val="20"/>
          <w:lang w:val="it-IT"/>
        </w:rPr>
        <w:t>S &amp; L Bolter Pty Limited</w:t>
      </w:r>
      <w:r w:rsidR="00F973D6">
        <w:rPr>
          <w:rFonts w:ascii="Verdana" w:hAnsi="Verdana"/>
          <w:b/>
          <w:bCs/>
          <w:sz w:val="20"/>
          <w:szCs w:val="20"/>
          <w:lang w:val="it-IT"/>
        </w:rPr>
        <w:t xml:space="preserve"> as trustee for the S &amp; L Bolter Family Trust trading as Kols Cleaning Services</w:t>
      </w:r>
    </w:p>
    <w:p w:rsidR="00CA588B" w:rsidRPr="0001785C" w:rsidRDefault="003C3A54" w:rsidP="00512B89">
      <w:pPr>
        <w:pStyle w:val="BodyA"/>
        <w:suppressAutoHyphens/>
        <w:rPr>
          <w:rFonts w:ascii="Verdana" w:eastAsia="Verdana" w:hAnsi="Verdana" w:cs="Verdana"/>
          <w:bCs/>
          <w:sz w:val="20"/>
          <w:szCs w:val="20"/>
        </w:rPr>
      </w:pPr>
      <w:r w:rsidRPr="0001785C">
        <w:rPr>
          <w:rFonts w:ascii="Verdana" w:hAnsi="Verdana"/>
          <w:bCs/>
          <w:sz w:val="20"/>
          <w:szCs w:val="20"/>
          <w:lang w:val="en-US"/>
        </w:rPr>
        <w:t>(T144</w:t>
      </w:r>
      <w:r w:rsidR="00E10B80" w:rsidRPr="0001785C">
        <w:rPr>
          <w:rFonts w:ascii="Verdana" w:hAnsi="Verdana"/>
          <w:bCs/>
          <w:sz w:val="20"/>
          <w:szCs w:val="20"/>
          <w:lang w:val="en-US"/>
        </w:rPr>
        <w:t xml:space="preserve">78 </w:t>
      </w:r>
      <w:r w:rsidRPr="0001785C">
        <w:rPr>
          <w:rFonts w:ascii="Verdana" w:hAnsi="Verdana"/>
          <w:bCs/>
          <w:sz w:val="20"/>
          <w:szCs w:val="20"/>
          <w:lang w:val="en-US"/>
        </w:rPr>
        <w:t>of 201</w:t>
      </w:r>
      <w:r w:rsidR="00E10B80" w:rsidRPr="0001785C">
        <w:rPr>
          <w:rFonts w:ascii="Verdana" w:hAnsi="Verdana"/>
          <w:bCs/>
          <w:sz w:val="20"/>
          <w:szCs w:val="20"/>
          <w:lang w:val="en-US"/>
        </w:rPr>
        <w:t>7</w:t>
      </w:r>
      <w:r w:rsidRPr="0001785C">
        <w:rPr>
          <w:rFonts w:ascii="Verdana" w:hAnsi="Verdana"/>
          <w:bCs/>
          <w:sz w:val="20"/>
          <w:szCs w:val="20"/>
          <w:lang w:val="en-US"/>
        </w:rPr>
        <w:t>)</w:t>
      </w:r>
    </w:p>
    <w:p w:rsidR="00CA588B" w:rsidRDefault="00CA588B" w:rsidP="00512B89">
      <w:pPr>
        <w:pStyle w:val="BodyA"/>
        <w:suppressAutoHyphens/>
        <w:rPr>
          <w:rFonts w:ascii="Verdana" w:eastAsia="Verdana" w:hAnsi="Verdana" w:cs="Verdana"/>
          <w:b/>
          <w:bCs/>
          <w:sz w:val="20"/>
          <w:szCs w:val="20"/>
        </w:rPr>
      </w:pPr>
    </w:p>
    <w:p w:rsidR="00CA588B" w:rsidRDefault="003C3A54" w:rsidP="00512B89">
      <w:pPr>
        <w:pStyle w:val="BodyA"/>
        <w:suppressAutoHyphens/>
        <w:rPr>
          <w:rFonts w:ascii="Verdana" w:eastAsia="Verdana" w:hAnsi="Verdana" w:cs="Verdana"/>
          <w:b/>
          <w:bCs/>
          <w:sz w:val="20"/>
          <w:szCs w:val="20"/>
        </w:rPr>
      </w:pPr>
      <w:proofErr w:type="gramStart"/>
      <w:r>
        <w:rPr>
          <w:rFonts w:ascii="Verdana" w:hAnsi="Verdana"/>
          <w:b/>
          <w:bCs/>
          <w:sz w:val="20"/>
          <w:szCs w:val="20"/>
        </w:rPr>
        <w:t>and</w:t>
      </w:r>
      <w:proofErr w:type="gramEnd"/>
    </w:p>
    <w:p w:rsidR="00CA588B" w:rsidRDefault="00CA588B" w:rsidP="00512B89">
      <w:pPr>
        <w:pStyle w:val="BodyA"/>
        <w:suppressAutoHyphens/>
        <w:rPr>
          <w:rFonts w:ascii="Verdana" w:eastAsia="Verdana" w:hAnsi="Verdana" w:cs="Verdana"/>
          <w:b/>
          <w:bCs/>
          <w:sz w:val="20"/>
          <w:szCs w:val="20"/>
        </w:rPr>
      </w:pPr>
    </w:p>
    <w:p w:rsidR="00CA588B" w:rsidRDefault="00A8544D" w:rsidP="00512B89">
      <w:pPr>
        <w:pStyle w:val="BodyA"/>
        <w:tabs>
          <w:tab w:val="left" w:pos="567"/>
          <w:tab w:val="left" w:pos="850"/>
        </w:tabs>
        <w:suppressAutoHyphens/>
        <w:rPr>
          <w:rFonts w:ascii="Verdana" w:hAnsi="Verdana"/>
          <w:b/>
          <w:bCs/>
          <w:sz w:val="20"/>
          <w:szCs w:val="20"/>
          <w:lang w:val="en-US"/>
        </w:rPr>
      </w:pPr>
      <w:r>
        <w:rPr>
          <w:rFonts w:ascii="Verdana" w:hAnsi="Verdana"/>
          <w:b/>
          <w:bCs/>
          <w:sz w:val="20"/>
          <w:szCs w:val="20"/>
          <w:lang w:val="en-US"/>
        </w:rPr>
        <w:t>Stacey Lee Brown</w:t>
      </w:r>
    </w:p>
    <w:p w:rsidR="00EB1784" w:rsidRDefault="00EB1784" w:rsidP="00512B89">
      <w:pPr>
        <w:pStyle w:val="BodyA"/>
        <w:tabs>
          <w:tab w:val="left" w:pos="567"/>
          <w:tab w:val="left" w:pos="850"/>
        </w:tabs>
        <w:suppressAutoHyphens/>
        <w:rPr>
          <w:rFonts w:ascii="Verdana" w:hAnsi="Verdana"/>
          <w:b/>
          <w:bCs/>
          <w:sz w:val="20"/>
          <w:szCs w:val="20"/>
          <w:lang w:val="en-US"/>
        </w:rPr>
      </w:pPr>
    </w:p>
    <w:p w:rsidR="00EB1784" w:rsidRDefault="00EB1784" w:rsidP="00512B89">
      <w:pPr>
        <w:pStyle w:val="BodyA"/>
        <w:tabs>
          <w:tab w:val="left" w:pos="567"/>
          <w:tab w:val="left" w:pos="850"/>
        </w:tabs>
        <w:suppressAutoHyphens/>
        <w:rPr>
          <w:rFonts w:ascii="Verdana" w:eastAsia="Verdana" w:hAnsi="Verdana" w:cs="Verdana"/>
          <w:b/>
          <w:bCs/>
          <w:sz w:val="20"/>
          <w:szCs w:val="20"/>
        </w:rPr>
      </w:pPr>
    </w:p>
    <w:p w:rsidR="00CA588B" w:rsidRDefault="00CA588B" w:rsidP="00512B89">
      <w:pPr>
        <w:pStyle w:val="BodyA"/>
        <w:suppressAutoHyphens/>
        <w:rPr>
          <w:rFonts w:ascii="Verdana" w:eastAsia="Verdana" w:hAnsi="Verdana" w:cs="Verdana"/>
          <w:sz w:val="20"/>
          <w:szCs w:val="20"/>
        </w:rPr>
      </w:pPr>
    </w:p>
    <w:tbl>
      <w:tblPr>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8"/>
        <w:gridCol w:w="4624"/>
      </w:tblGrid>
      <w:tr w:rsidR="00CA588B" w:rsidTr="00EB1784">
        <w:trPr>
          <w:trHeight w:val="310"/>
        </w:trPr>
        <w:tc>
          <w:tcPr>
            <w:tcW w:w="4618" w:type="dxa"/>
            <w:tcBorders>
              <w:top w:val="nil"/>
              <w:left w:val="nil"/>
              <w:bottom w:val="nil"/>
              <w:right w:val="nil"/>
            </w:tcBorders>
            <w:shd w:val="clear" w:color="auto" w:fill="auto"/>
            <w:tcMar>
              <w:top w:w="80" w:type="dxa"/>
              <w:left w:w="80" w:type="dxa"/>
              <w:bottom w:w="80" w:type="dxa"/>
              <w:right w:w="80" w:type="dxa"/>
            </w:tcMar>
          </w:tcPr>
          <w:p w:rsidR="0001785C" w:rsidRDefault="0001785C" w:rsidP="0001785C">
            <w:pPr>
              <w:pStyle w:val="BodyA"/>
              <w:suppressAutoHyphens/>
              <w:rPr>
                <w:rFonts w:ascii="Verdana" w:eastAsia="Verdana" w:hAnsi="Verdana" w:cs="Verdana"/>
                <w:sz w:val="20"/>
                <w:szCs w:val="20"/>
              </w:rPr>
            </w:pPr>
            <w:r>
              <w:rPr>
                <w:rFonts w:ascii="Verdana" w:eastAsia="Verdana" w:hAnsi="Verdana" w:cs="Verdana"/>
                <w:sz w:val="20"/>
                <w:szCs w:val="20"/>
              </w:rPr>
              <w:t>PRESIDENT D J BARCLAY</w:t>
            </w:r>
          </w:p>
          <w:p w:rsidR="0001785C" w:rsidRDefault="0001785C" w:rsidP="0001785C">
            <w:pPr>
              <w:pStyle w:val="BodyA"/>
              <w:suppressAutoHyphens/>
              <w:rPr>
                <w:rFonts w:ascii="Verdana" w:eastAsia="Verdana" w:hAnsi="Verdana" w:cs="Verdana"/>
                <w:sz w:val="20"/>
                <w:szCs w:val="20"/>
              </w:rPr>
            </w:pPr>
            <w:r>
              <w:rPr>
                <w:rFonts w:ascii="Verdana" w:hAnsi="Verdana"/>
                <w:sz w:val="20"/>
                <w:szCs w:val="20"/>
              </w:rPr>
              <w:t>DEPUTY PRESIDENT N M WELLS</w:t>
            </w:r>
          </w:p>
          <w:p w:rsidR="00CA588B" w:rsidRDefault="0001785C" w:rsidP="0001785C">
            <w:pPr>
              <w:suppressAutoHyphens/>
              <w:jc w:val="both"/>
            </w:pPr>
            <w:r>
              <w:rPr>
                <w:rFonts w:ascii="Verdana" w:hAnsi="Verdana"/>
                <w:sz w:val="20"/>
                <w:szCs w:val="20"/>
              </w:rPr>
              <w:t>COMMISSIONER N WILSON</w:t>
            </w:r>
          </w:p>
        </w:tc>
        <w:tc>
          <w:tcPr>
            <w:tcW w:w="4624" w:type="dxa"/>
            <w:tcBorders>
              <w:top w:val="nil"/>
              <w:left w:val="nil"/>
              <w:bottom w:val="nil"/>
              <w:right w:val="nil"/>
            </w:tcBorders>
            <w:shd w:val="clear" w:color="auto" w:fill="auto"/>
            <w:tcMar>
              <w:top w:w="80" w:type="dxa"/>
              <w:left w:w="80" w:type="dxa"/>
              <w:bottom w:w="80" w:type="dxa"/>
              <w:right w:w="80" w:type="dxa"/>
            </w:tcMar>
          </w:tcPr>
          <w:p w:rsidR="00CA588B" w:rsidRDefault="00186248" w:rsidP="008D3075">
            <w:pPr>
              <w:pStyle w:val="BodyA"/>
              <w:suppressAutoHyphens/>
            </w:pPr>
            <w:r>
              <w:rPr>
                <w:rFonts w:ascii="Verdana" w:hAnsi="Verdana"/>
                <w:sz w:val="20"/>
                <w:szCs w:val="20"/>
                <w:lang w:val="en-US"/>
              </w:rPr>
              <w:t xml:space="preserve">                    </w:t>
            </w:r>
            <w:r w:rsidR="007677FA">
              <w:rPr>
                <w:rFonts w:ascii="Verdana" w:hAnsi="Verdana"/>
                <w:sz w:val="20"/>
                <w:szCs w:val="20"/>
                <w:lang w:val="en-US"/>
              </w:rPr>
              <w:t xml:space="preserve">       </w:t>
            </w:r>
            <w:r>
              <w:rPr>
                <w:rFonts w:ascii="Verdana" w:hAnsi="Verdana"/>
                <w:sz w:val="20"/>
                <w:szCs w:val="20"/>
                <w:lang w:val="en-US"/>
              </w:rPr>
              <w:t xml:space="preserve"> </w:t>
            </w:r>
            <w:r w:rsidR="003C3A54">
              <w:rPr>
                <w:rFonts w:ascii="Verdana" w:hAnsi="Verdana"/>
                <w:sz w:val="20"/>
                <w:szCs w:val="20"/>
                <w:lang w:val="en-US"/>
              </w:rPr>
              <w:t xml:space="preserve">HOBART, </w:t>
            </w:r>
            <w:r w:rsidR="000877A9">
              <w:rPr>
                <w:rFonts w:ascii="Verdana" w:hAnsi="Verdana"/>
                <w:sz w:val="20"/>
                <w:szCs w:val="20"/>
                <w:lang w:val="en-US"/>
              </w:rPr>
              <w:t>2</w:t>
            </w:r>
            <w:r w:rsidR="008D3075">
              <w:rPr>
                <w:rFonts w:ascii="Verdana" w:hAnsi="Verdana"/>
                <w:sz w:val="20"/>
                <w:szCs w:val="20"/>
                <w:lang w:val="en-US"/>
              </w:rPr>
              <w:t>6</w:t>
            </w:r>
            <w:bookmarkStart w:id="0" w:name="_GoBack"/>
            <w:bookmarkEnd w:id="0"/>
            <w:r w:rsidR="00DD64EC">
              <w:rPr>
                <w:rFonts w:ascii="Verdana" w:hAnsi="Verdana"/>
                <w:sz w:val="20"/>
                <w:szCs w:val="20"/>
                <w:lang w:val="en-US"/>
              </w:rPr>
              <w:t xml:space="preserve"> April </w:t>
            </w:r>
            <w:r w:rsidR="00B47F97">
              <w:rPr>
                <w:rFonts w:ascii="Verdana" w:hAnsi="Verdana"/>
                <w:sz w:val="20"/>
                <w:szCs w:val="20"/>
                <w:lang w:val="en-US"/>
              </w:rPr>
              <w:t>2017</w:t>
            </w:r>
          </w:p>
        </w:tc>
      </w:tr>
    </w:tbl>
    <w:p w:rsidR="00CA588B" w:rsidRDefault="00CA588B" w:rsidP="00512B89">
      <w:pPr>
        <w:pStyle w:val="BodyA"/>
        <w:suppressAutoHyphens/>
        <w:rPr>
          <w:rFonts w:ascii="Verdana" w:eastAsia="Verdana" w:hAnsi="Verdana" w:cs="Verdana"/>
          <w:b/>
          <w:bCs/>
          <w:sz w:val="20"/>
          <w:szCs w:val="20"/>
        </w:rPr>
      </w:pPr>
    </w:p>
    <w:p w:rsidR="00CA588B" w:rsidRDefault="003C3A54" w:rsidP="00512B89">
      <w:pPr>
        <w:pStyle w:val="BodyA"/>
        <w:suppressAutoHyphens/>
        <w:rPr>
          <w:rFonts w:ascii="Verdana" w:hAnsi="Verdana"/>
          <w:b/>
          <w:bCs/>
          <w:sz w:val="20"/>
          <w:szCs w:val="20"/>
          <w:lang w:val="en-US"/>
        </w:rPr>
      </w:pPr>
      <w:r w:rsidRPr="00323242">
        <w:rPr>
          <w:rFonts w:ascii="Verdana" w:hAnsi="Verdana"/>
          <w:b/>
          <w:bCs/>
          <w:sz w:val="20"/>
          <w:szCs w:val="20"/>
          <w:lang w:val="en-US"/>
        </w:rPr>
        <w:t xml:space="preserve">Appeal against a decision handed down by </w:t>
      </w:r>
      <w:r w:rsidR="00323242">
        <w:rPr>
          <w:rFonts w:ascii="Verdana" w:hAnsi="Verdana"/>
          <w:b/>
          <w:bCs/>
          <w:sz w:val="20"/>
          <w:szCs w:val="20"/>
          <w:lang w:val="en-US"/>
        </w:rPr>
        <w:t xml:space="preserve">a </w:t>
      </w:r>
      <w:r w:rsidR="00323242" w:rsidRPr="00323242">
        <w:rPr>
          <w:rFonts w:ascii="Verdana" w:hAnsi="Verdana"/>
          <w:b/>
          <w:bCs/>
          <w:sz w:val="20"/>
          <w:szCs w:val="20"/>
          <w:lang w:val="en-US"/>
        </w:rPr>
        <w:t>C</w:t>
      </w:r>
      <w:r w:rsidR="00323242">
        <w:rPr>
          <w:rFonts w:ascii="Verdana" w:hAnsi="Verdana"/>
          <w:b/>
          <w:bCs/>
          <w:sz w:val="20"/>
          <w:szCs w:val="20"/>
          <w:lang w:val="en-US"/>
        </w:rPr>
        <w:t>ommissioner</w:t>
      </w:r>
      <w:r w:rsidR="00323242" w:rsidRPr="00323242">
        <w:rPr>
          <w:rFonts w:ascii="Verdana" w:hAnsi="Verdana"/>
          <w:b/>
          <w:bCs/>
          <w:sz w:val="20"/>
          <w:szCs w:val="20"/>
          <w:lang w:val="en-US"/>
        </w:rPr>
        <w:t xml:space="preserve"> on 30 January 2017 – T14424</w:t>
      </w:r>
      <w:r w:rsidRPr="00323242">
        <w:rPr>
          <w:rFonts w:ascii="Verdana" w:hAnsi="Verdana"/>
          <w:b/>
          <w:bCs/>
          <w:sz w:val="20"/>
          <w:szCs w:val="20"/>
          <w:lang w:val="en-US"/>
        </w:rPr>
        <w:t xml:space="preserve"> of 2016 – jurisdiction – </w:t>
      </w:r>
      <w:r w:rsidR="009C3DE5">
        <w:rPr>
          <w:rFonts w:ascii="Verdana" w:hAnsi="Verdana"/>
          <w:b/>
          <w:bCs/>
          <w:sz w:val="20"/>
          <w:szCs w:val="20"/>
          <w:lang w:val="en-US"/>
        </w:rPr>
        <w:t>Long Service L</w:t>
      </w:r>
      <w:r w:rsidR="00323242">
        <w:rPr>
          <w:rFonts w:ascii="Verdana" w:hAnsi="Verdana"/>
          <w:b/>
          <w:bCs/>
          <w:sz w:val="20"/>
          <w:szCs w:val="20"/>
          <w:lang w:val="en-US"/>
        </w:rPr>
        <w:t xml:space="preserve">eave Act s.14 - </w:t>
      </w:r>
      <w:r w:rsidRPr="00323242">
        <w:rPr>
          <w:rFonts w:ascii="Verdana" w:hAnsi="Verdana"/>
          <w:b/>
          <w:bCs/>
          <w:sz w:val="20"/>
          <w:szCs w:val="20"/>
          <w:lang w:val="en-US"/>
        </w:rPr>
        <w:t xml:space="preserve">competency of appeal – threshold issue – </w:t>
      </w:r>
      <w:r w:rsidR="00323242" w:rsidRPr="00323242">
        <w:rPr>
          <w:rFonts w:ascii="Verdana" w:hAnsi="Verdana"/>
          <w:b/>
          <w:bCs/>
          <w:sz w:val="20"/>
          <w:szCs w:val="20"/>
          <w:lang w:val="en-US"/>
        </w:rPr>
        <w:t>absence of regulations prescribing manner of instituting, hearing and determining appeal –</w:t>
      </w:r>
      <w:r w:rsidRPr="00323242">
        <w:rPr>
          <w:rFonts w:ascii="Verdana" w:hAnsi="Verdana"/>
          <w:b/>
          <w:bCs/>
          <w:sz w:val="20"/>
          <w:szCs w:val="20"/>
          <w:lang w:val="en-US"/>
        </w:rPr>
        <w:t xml:space="preserve"> decision incapable of appeal – no appeal lies</w:t>
      </w:r>
    </w:p>
    <w:p w:rsidR="00323242" w:rsidRDefault="00323242" w:rsidP="00512B89">
      <w:pPr>
        <w:pStyle w:val="BodyA"/>
        <w:suppressAutoHyphens/>
        <w:rPr>
          <w:rFonts w:ascii="Verdana" w:eastAsia="Verdana" w:hAnsi="Verdana" w:cs="Verdana"/>
          <w:sz w:val="20"/>
          <w:szCs w:val="20"/>
        </w:rPr>
      </w:pPr>
    </w:p>
    <w:p w:rsidR="0001785C" w:rsidRDefault="0001785C" w:rsidP="00512B89">
      <w:pPr>
        <w:pStyle w:val="BodyA"/>
        <w:suppressAutoHyphens/>
        <w:rPr>
          <w:rFonts w:ascii="Verdana" w:eastAsia="Verdana" w:hAnsi="Verdana" w:cs="Verdana"/>
          <w:sz w:val="20"/>
          <w:szCs w:val="20"/>
        </w:rPr>
      </w:pPr>
    </w:p>
    <w:p w:rsidR="0001785C" w:rsidRDefault="0001785C" w:rsidP="00512B89">
      <w:pPr>
        <w:pStyle w:val="BodyA"/>
        <w:suppressAutoHyphens/>
        <w:rPr>
          <w:rFonts w:ascii="Verdana" w:hAnsi="Verdana"/>
          <w:b/>
          <w:bCs/>
          <w:sz w:val="20"/>
          <w:szCs w:val="20"/>
        </w:rPr>
      </w:pPr>
      <w:r>
        <w:rPr>
          <w:rFonts w:ascii="Verdana" w:hAnsi="Verdana"/>
          <w:b/>
          <w:bCs/>
          <w:sz w:val="20"/>
          <w:szCs w:val="20"/>
        </w:rPr>
        <w:t>DECISION</w:t>
      </w:r>
    </w:p>
    <w:p w:rsidR="0001785C" w:rsidRDefault="0001785C" w:rsidP="00512B89">
      <w:pPr>
        <w:pStyle w:val="BodyA"/>
        <w:suppressAutoHyphens/>
        <w:rPr>
          <w:rFonts w:ascii="Verdana" w:eastAsia="Verdana" w:hAnsi="Verdana" w:cs="Verdana"/>
          <w:sz w:val="20"/>
          <w:szCs w:val="20"/>
        </w:rPr>
      </w:pPr>
    </w:p>
    <w:p w:rsidR="00CA588B" w:rsidRDefault="00CA588B" w:rsidP="00512B89">
      <w:pPr>
        <w:pStyle w:val="BodyA"/>
        <w:suppressAutoHyphens/>
        <w:rPr>
          <w:rFonts w:ascii="Verdana" w:eastAsia="Verdana" w:hAnsi="Verdana" w:cs="Verdana"/>
          <w:sz w:val="20"/>
          <w:szCs w:val="20"/>
          <w:lang w:val="en-US"/>
        </w:rPr>
      </w:pPr>
    </w:p>
    <w:p w:rsidR="00B47F97" w:rsidRDefault="00B47F97" w:rsidP="008B422A">
      <w:pPr>
        <w:pStyle w:val="ListParagraph"/>
        <w:numPr>
          <w:ilvl w:val="0"/>
          <w:numId w:val="11"/>
        </w:numPr>
        <w:tabs>
          <w:tab w:val="left" w:pos="709"/>
          <w:tab w:val="left" w:pos="851"/>
        </w:tabs>
        <w:suppressAutoHyphens/>
        <w:ind w:left="0" w:firstLine="0"/>
        <w:rPr>
          <w:rFonts w:ascii="Verdana" w:hAnsi="Verdana"/>
          <w:sz w:val="20"/>
          <w:szCs w:val="20"/>
        </w:rPr>
      </w:pPr>
      <w:r w:rsidRPr="00490C31">
        <w:rPr>
          <w:rFonts w:ascii="Verdana" w:hAnsi="Verdana"/>
          <w:sz w:val="20"/>
          <w:szCs w:val="20"/>
        </w:rPr>
        <w:t>On 20 February 2017 the Appellant filed a Notice of Appeal dated 19 February 2017 against a decision of a Commissioner ordering the Appellant to pay the Respondent a sum of money by way of pro rata long service leave.</w:t>
      </w:r>
    </w:p>
    <w:p w:rsidR="00603987" w:rsidRPr="00490C31" w:rsidRDefault="00603987" w:rsidP="008B422A">
      <w:pPr>
        <w:pStyle w:val="ListParagraph"/>
        <w:tabs>
          <w:tab w:val="left" w:pos="709"/>
          <w:tab w:val="left" w:pos="851"/>
        </w:tabs>
        <w:suppressAutoHyphens/>
        <w:ind w:left="0"/>
        <w:rPr>
          <w:rFonts w:ascii="Verdana" w:hAnsi="Verdana"/>
          <w:sz w:val="20"/>
          <w:szCs w:val="20"/>
        </w:rPr>
      </w:pPr>
    </w:p>
    <w:p w:rsidR="00B47F97" w:rsidRPr="00490C31" w:rsidRDefault="00B47F97" w:rsidP="008B422A">
      <w:pPr>
        <w:pStyle w:val="ListParagraph"/>
        <w:numPr>
          <w:ilvl w:val="0"/>
          <w:numId w:val="11"/>
        </w:numPr>
        <w:tabs>
          <w:tab w:val="left" w:pos="709"/>
          <w:tab w:val="left" w:pos="851"/>
        </w:tabs>
        <w:suppressAutoHyphens/>
        <w:ind w:left="0" w:firstLine="0"/>
        <w:rPr>
          <w:rFonts w:ascii="Verdana" w:hAnsi="Verdana"/>
          <w:sz w:val="20"/>
          <w:szCs w:val="20"/>
        </w:rPr>
      </w:pPr>
      <w:r w:rsidRPr="00490C31">
        <w:rPr>
          <w:rFonts w:ascii="Verdana" w:hAnsi="Verdana"/>
          <w:sz w:val="20"/>
          <w:szCs w:val="20"/>
        </w:rPr>
        <w:t xml:space="preserve">The matter came before the Commissioner by referral pursuant to s.13 of the </w:t>
      </w:r>
      <w:r w:rsidRPr="00490C31">
        <w:rPr>
          <w:rFonts w:ascii="Verdana" w:hAnsi="Verdana"/>
          <w:i/>
          <w:sz w:val="20"/>
          <w:szCs w:val="20"/>
        </w:rPr>
        <w:t xml:space="preserve">Long Service Leave Act </w:t>
      </w:r>
      <w:r w:rsidR="00853765">
        <w:rPr>
          <w:rFonts w:ascii="Verdana" w:hAnsi="Verdana"/>
          <w:sz w:val="20"/>
          <w:szCs w:val="20"/>
        </w:rPr>
        <w:t xml:space="preserve">1976 </w:t>
      </w:r>
      <w:r w:rsidRPr="00490C31">
        <w:rPr>
          <w:rFonts w:ascii="Verdana" w:hAnsi="Verdana"/>
          <w:sz w:val="20"/>
          <w:szCs w:val="20"/>
        </w:rPr>
        <w:t xml:space="preserve">(the Act). The Respondent had submitted a “complaint” to the Secretary of the Department of Justice. The Secretary caused the matter to be investigated. A report was produced and as the matter did not resolve the dispute was referred to the Commission.  </w:t>
      </w:r>
    </w:p>
    <w:p w:rsidR="003942B7" w:rsidRDefault="003942B7" w:rsidP="008B422A">
      <w:pPr>
        <w:tabs>
          <w:tab w:val="left" w:pos="709"/>
          <w:tab w:val="left" w:pos="851"/>
        </w:tabs>
        <w:suppressAutoHyphens/>
        <w:jc w:val="both"/>
        <w:rPr>
          <w:rFonts w:ascii="Verdana" w:hAnsi="Verdana"/>
          <w:sz w:val="20"/>
          <w:szCs w:val="20"/>
        </w:rPr>
      </w:pPr>
    </w:p>
    <w:p w:rsidR="00B47F97" w:rsidRDefault="00B47F97" w:rsidP="008B422A">
      <w:pPr>
        <w:pStyle w:val="ListParagraph"/>
        <w:numPr>
          <w:ilvl w:val="0"/>
          <w:numId w:val="11"/>
        </w:numPr>
        <w:tabs>
          <w:tab w:val="left" w:pos="709"/>
          <w:tab w:val="left" w:pos="851"/>
        </w:tabs>
        <w:suppressAutoHyphens/>
        <w:ind w:left="0" w:firstLine="0"/>
        <w:rPr>
          <w:rFonts w:ascii="Verdana" w:hAnsi="Verdana"/>
          <w:sz w:val="20"/>
          <w:szCs w:val="20"/>
        </w:rPr>
      </w:pPr>
      <w:r w:rsidRPr="00490C31">
        <w:rPr>
          <w:rFonts w:ascii="Verdana" w:hAnsi="Verdana"/>
          <w:sz w:val="20"/>
          <w:szCs w:val="20"/>
        </w:rPr>
        <w:t>On 21 February 2017 the Respondent advised that it wished to make “a jurisdictional objection based on the Appeal being brought under the wrong legislation”.</w:t>
      </w:r>
    </w:p>
    <w:p w:rsidR="00603987" w:rsidRPr="00490C31" w:rsidRDefault="00603987" w:rsidP="008B422A">
      <w:pPr>
        <w:pStyle w:val="ListParagraph"/>
        <w:tabs>
          <w:tab w:val="left" w:pos="709"/>
          <w:tab w:val="left" w:pos="851"/>
        </w:tabs>
        <w:suppressAutoHyphens/>
        <w:ind w:left="0"/>
        <w:rPr>
          <w:rFonts w:ascii="Verdana" w:hAnsi="Verdana"/>
          <w:sz w:val="20"/>
          <w:szCs w:val="20"/>
        </w:rPr>
      </w:pPr>
    </w:p>
    <w:p w:rsidR="00B47F97" w:rsidRDefault="00B47F97" w:rsidP="008B422A">
      <w:pPr>
        <w:pStyle w:val="ListParagraph"/>
        <w:numPr>
          <w:ilvl w:val="0"/>
          <w:numId w:val="11"/>
        </w:numPr>
        <w:tabs>
          <w:tab w:val="left" w:pos="709"/>
          <w:tab w:val="left" w:pos="851"/>
        </w:tabs>
        <w:suppressAutoHyphens/>
        <w:ind w:left="0" w:firstLine="0"/>
        <w:rPr>
          <w:rFonts w:ascii="Verdana" w:hAnsi="Verdana"/>
          <w:sz w:val="20"/>
          <w:szCs w:val="20"/>
        </w:rPr>
      </w:pPr>
      <w:r w:rsidRPr="00490C31">
        <w:rPr>
          <w:rFonts w:ascii="Verdana" w:hAnsi="Verdana"/>
          <w:sz w:val="20"/>
          <w:szCs w:val="20"/>
        </w:rPr>
        <w:t>The objection was dealt with by way of written submi</w:t>
      </w:r>
      <w:r w:rsidR="007E68B0">
        <w:rPr>
          <w:rFonts w:ascii="Verdana" w:hAnsi="Verdana"/>
          <w:sz w:val="20"/>
          <w:szCs w:val="20"/>
        </w:rPr>
        <w:t>ssions. The Respondent filed her</w:t>
      </w:r>
      <w:r w:rsidRPr="00490C31">
        <w:rPr>
          <w:rFonts w:ascii="Verdana" w:hAnsi="Verdana"/>
          <w:sz w:val="20"/>
          <w:szCs w:val="20"/>
        </w:rPr>
        <w:t xml:space="preserve"> submissions on 10 March 2017 and the Applicant filed its submissions on 21 March 2017. </w:t>
      </w:r>
    </w:p>
    <w:p w:rsidR="00603987" w:rsidRPr="00490C31" w:rsidRDefault="00603987" w:rsidP="008B422A">
      <w:pPr>
        <w:pStyle w:val="ListParagraph"/>
        <w:tabs>
          <w:tab w:val="left" w:pos="709"/>
          <w:tab w:val="left" w:pos="851"/>
        </w:tabs>
        <w:suppressAutoHyphens/>
        <w:ind w:left="0"/>
        <w:rPr>
          <w:rFonts w:ascii="Verdana" w:hAnsi="Verdana"/>
          <w:sz w:val="20"/>
          <w:szCs w:val="20"/>
        </w:rPr>
      </w:pPr>
    </w:p>
    <w:p w:rsidR="00B47F97" w:rsidRDefault="00B47F97" w:rsidP="008B422A">
      <w:pPr>
        <w:pStyle w:val="ListParagraph"/>
        <w:numPr>
          <w:ilvl w:val="0"/>
          <w:numId w:val="11"/>
        </w:numPr>
        <w:tabs>
          <w:tab w:val="left" w:pos="709"/>
          <w:tab w:val="left" w:pos="851"/>
        </w:tabs>
        <w:suppressAutoHyphens/>
        <w:ind w:left="0" w:firstLine="0"/>
        <w:rPr>
          <w:rFonts w:ascii="Verdana" w:hAnsi="Verdana"/>
          <w:sz w:val="20"/>
          <w:szCs w:val="20"/>
        </w:rPr>
      </w:pPr>
      <w:r w:rsidRPr="00490C31">
        <w:rPr>
          <w:rFonts w:ascii="Verdana" w:hAnsi="Verdana"/>
          <w:sz w:val="20"/>
          <w:szCs w:val="20"/>
        </w:rPr>
        <w:t xml:space="preserve">Subsequently it became apparent that the regulations required to be prescribed by s. 14(2) of the Act were repealed. On 22 March 2017 the parties were advised that the Full Bench would be assisted by the parties making written submissions regarding the effect of the absence of such regulations. The Applicant filed written submissions on 28 March 2017. </w:t>
      </w:r>
      <w:r w:rsidR="00A10686">
        <w:rPr>
          <w:rFonts w:ascii="Verdana" w:hAnsi="Verdana"/>
          <w:sz w:val="20"/>
          <w:szCs w:val="20"/>
        </w:rPr>
        <w:t xml:space="preserve">The Respondent filed written submissions in 31 March 2017. </w:t>
      </w:r>
      <w:r w:rsidRPr="00490C31">
        <w:rPr>
          <w:rFonts w:ascii="Verdana" w:hAnsi="Verdana"/>
          <w:sz w:val="20"/>
          <w:szCs w:val="20"/>
        </w:rPr>
        <w:t>This decision deals with the jurisdictional objection and the consequences of the repeal of the regulations.</w:t>
      </w:r>
    </w:p>
    <w:p w:rsidR="00603987" w:rsidRPr="00490C31" w:rsidRDefault="00603987" w:rsidP="008B422A">
      <w:pPr>
        <w:pStyle w:val="ListParagraph"/>
        <w:tabs>
          <w:tab w:val="left" w:pos="709"/>
          <w:tab w:val="left" w:pos="851"/>
        </w:tabs>
        <w:suppressAutoHyphens/>
        <w:ind w:left="0"/>
        <w:rPr>
          <w:rFonts w:ascii="Verdana" w:hAnsi="Verdana"/>
          <w:sz w:val="20"/>
          <w:szCs w:val="20"/>
        </w:rPr>
      </w:pPr>
    </w:p>
    <w:p w:rsidR="00B47F97" w:rsidRPr="00490C31" w:rsidRDefault="00B47F97" w:rsidP="008B422A">
      <w:pPr>
        <w:pStyle w:val="ListParagraph"/>
        <w:numPr>
          <w:ilvl w:val="0"/>
          <w:numId w:val="11"/>
        </w:numPr>
        <w:tabs>
          <w:tab w:val="left" w:pos="709"/>
          <w:tab w:val="left" w:pos="851"/>
        </w:tabs>
        <w:suppressAutoHyphens/>
        <w:ind w:left="0" w:firstLine="0"/>
        <w:rPr>
          <w:rFonts w:ascii="Verdana" w:hAnsi="Verdana"/>
          <w:sz w:val="20"/>
          <w:szCs w:val="20"/>
        </w:rPr>
      </w:pPr>
      <w:r w:rsidRPr="00490C31">
        <w:rPr>
          <w:rFonts w:ascii="Verdana" w:hAnsi="Verdana"/>
          <w:sz w:val="20"/>
          <w:szCs w:val="20"/>
        </w:rPr>
        <w:t xml:space="preserve">For the reasons which follow we determine that the Appellant has no right to appeal the determination of the Commissioner in consequence of the repeal of the regulations. </w:t>
      </w:r>
    </w:p>
    <w:p w:rsidR="00B47F97" w:rsidRPr="00484011" w:rsidRDefault="00B47F97" w:rsidP="00484011">
      <w:pPr>
        <w:tabs>
          <w:tab w:val="left" w:pos="709"/>
        </w:tabs>
        <w:suppressAutoHyphens/>
        <w:rPr>
          <w:rFonts w:ascii="Verdana" w:hAnsi="Verdana"/>
          <w:b/>
          <w:sz w:val="20"/>
          <w:szCs w:val="20"/>
        </w:rPr>
      </w:pPr>
      <w:r w:rsidRPr="00484011">
        <w:rPr>
          <w:rFonts w:ascii="Verdana" w:hAnsi="Verdana"/>
          <w:b/>
          <w:sz w:val="20"/>
          <w:szCs w:val="20"/>
        </w:rPr>
        <w:lastRenderedPageBreak/>
        <w:t>The regulation issue</w:t>
      </w:r>
    </w:p>
    <w:p w:rsidR="003942B7" w:rsidRDefault="003942B7" w:rsidP="00E6318D">
      <w:pPr>
        <w:tabs>
          <w:tab w:val="left" w:pos="709"/>
        </w:tabs>
        <w:suppressAutoHyphens/>
        <w:ind w:hanging="709"/>
        <w:jc w:val="both"/>
        <w:rPr>
          <w:rFonts w:ascii="Verdana" w:hAnsi="Verdana"/>
          <w:sz w:val="20"/>
          <w:szCs w:val="20"/>
        </w:rPr>
      </w:pPr>
    </w:p>
    <w:p w:rsidR="00B47F97" w:rsidRDefault="00512B89" w:rsidP="008B422A">
      <w:pPr>
        <w:pStyle w:val="ListParagraph"/>
        <w:numPr>
          <w:ilvl w:val="0"/>
          <w:numId w:val="11"/>
        </w:numPr>
        <w:tabs>
          <w:tab w:val="left" w:pos="709"/>
        </w:tabs>
        <w:suppressAutoHyphens/>
        <w:ind w:left="0" w:firstLine="0"/>
        <w:rPr>
          <w:rFonts w:ascii="Verdana" w:hAnsi="Verdana"/>
          <w:sz w:val="20"/>
          <w:szCs w:val="20"/>
        </w:rPr>
      </w:pPr>
      <w:r>
        <w:rPr>
          <w:rFonts w:ascii="Verdana" w:hAnsi="Verdana"/>
          <w:sz w:val="20"/>
          <w:szCs w:val="20"/>
        </w:rPr>
        <w:t xml:space="preserve"> </w:t>
      </w:r>
      <w:r w:rsidR="00B47F97" w:rsidRPr="00490C31">
        <w:rPr>
          <w:rFonts w:ascii="Verdana" w:hAnsi="Verdana"/>
          <w:sz w:val="20"/>
          <w:szCs w:val="20"/>
        </w:rPr>
        <w:t xml:space="preserve">Section 14 of the Act provides as follows: </w:t>
      </w:r>
    </w:p>
    <w:p w:rsidR="00323242" w:rsidRPr="00323242" w:rsidRDefault="00323242" w:rsidP="00323242">
      <w:pPr>
        <w:tabs>
          <w:tab w:val="left" w:pos="709"/>
        </w:tabs>
        <w:suppressAutoHyphens/>
        <w:rPr>
          <w:rFonts w:ascii="Verdana" w:hAnsi="Verdana"/>
          <w:sz w:val="20"/>
          <w:szCs w:val="20"/>
        </w:rPr>
      </w:pPr>
    </w:p>
    <w:p w:rsidR="00B47F97" w:rsidRPr="00127723" w:rsidRDefault="00B47F97" w:rsidP="00127723">
      <w:pPr>
        <w:tabs>
          <w:tab w:val="left" w:pos="709"/>
        </w:tabs>
        <w:suppressAutoHyphens/>
        <w:ind w:right="1082"/>
        <w:rPr>
          <w:rFonts w:ascii="Verdana" w:hAnsi="Verdana"/>
          <w:sz w:val="20"/>
          <w:szCs w:val="20"/>
        </w:rPr>
      </w:pPr>
      <w:bookmarkStart w:id="1" w:name="GS14@EN"/>
      <w:bookmarkEnd w:id="1"/>
      <w:r w:rsidRPr="00127723">
        <w:rPr>
          <w:rFonts w:ascii="Verdana" w:hAnsi="Verdana"/>
          <w:sz w:val="20"/>
          <w:szCs w:val="20"/>
        </w:rPr>
        <w:t xml:space="preserve">14. Appeals </w:t>
      </w:r>
    </w:p>
    <w:p w:rsidR="00512B89" w:rsidRPr="00490C31" w:rsidRDefault="00512B89" w:rsidP="00127723">
      <w:pPr>
        <w:pStyle w:val="ListParagraph"/>
        <w:tabs>
          <w:tab w:val="left" w:pos="709"/>
        </w:tabs>
        <w:suppressAutoHyphens/>
        <w:ind w:left="1440" w:right="1082" w:hanging="709"/>
        <w:rPr>
          <w:rFonts w:ascii="Verdana" w:hAnsi="Verdana"/>
          <w:sz w:val="20"/>
          <w:szCs w:val="20"/>
        </w:rPr>
      </w:pPr>
    </w:p>
    <w:p w:rsidR="00B47F97" w:rsidRDefault="00B47F97" w:rsidP="00127723">
      <w:pPr>
        <w:pStyle w:val="ListParagraph"/>
        <w:numPr>
          <w:ilvl w:val="2"/>
          <w:numId w:val="11"/>
        </w:numPr>
        <w:tabs>
          <w:tab w:val="left" w:pos="709"/>
        </w:tabs>
        <w:suppressAutoHyphens/>
        <w:ind w:left="1418" w:right="1082" w:hanging="709"/>
        <w:rPr>
          <w:rFonts w:ascii="Verdana" w:hAnsi="Verdana"/>
          <w:sz w:val="20"/>
          <w:szCs w:val="20"/>
        </w:rPr>
      </w:pPr>
      <w:r w:rsidRPr="00490C31">
        <w:rPr>
          <w:rFonts w:ascii="Verdana" w:hAnsi="Verdana"/>
          <w:sz w:val="20"/>
          <w:szCs w:val="20"/>
        </w:rPr>
        <w:t>Subject to subsection (2), an employer or employee who is aggrieved by –</w:t>
      </w:r>
    </w:p>
    <w:p w:rsidR="00512B89" w:rsidRPr="00490C31" w:rsidRDefault="00512B89" w:rsidP="00127723">
      <w:pPr>
        <w:pStyle w:val="ListParagraph"/>
        <w:tabs>
          <w:tab w:val="left" w:pos="709"/>
        </w:tabs>
        <w:suppressAutoHyphens/>
        <w:ind w:left="1418" w:right="1082" w:hanging="709"/>
        <w:rPr>
          <w:rFonts w:ascii="Verdana" w:hAnsi="Verdana"/>
          <w:sz w:val="20"/>
          <w:szCs w:val="20"/>
        </w:rPr>
      </w:pPr>
    </w:p>
    <w:p w:rsidR="00B47F97" w:rsidRDefault="00B47F97" w:rsidP="00EB1784">
      <w:pPr>
        <w:pStyle w:val="ListParagraph"/>
        <w:numPr>
          <w:ilvl w:val="3"/>
          <w:numId w:val="11"/>
        </w:numPr>
        <w:suppressAutoHyphens/>
        <w:ind w:left="1418" w:right="1082" w:firstLine="0"/>
        <w:rPr>
          <w:rFonts w:ascii="Verdana" w:hAnsi="Verdana"/>
          <w:sz w:val="20"/>
          <w:szCs w:val="20"/>
        </w:rPr>
      </w:pPr>
      <w:r w:rsidRPr="00490C31">
        <w:rPr>
          <w:rFonts w:ascii="Verdana" w:hAnsi="Verdana"/>
          <w:sz w:val="20"/>
          <w:szCs w:val="20"/>
        </w:rPr>
        <w:t>a decision of the Secretary relating to the grant or refusal of an exemption under section 7 or the renewal or refusal to renew an exemption under that section; or</w:t>
      </w:r>
    </w:p>
    <w:p w:rsidR="00512B89" w:rsidRPr="00490C31" w:rsidRDefault="00512B89" w:rsidP="00127723">
      <w:pPr>
        <w:pStyle w:val="ListParagraph"/>
        <w:tabs>
          <w:tab w:val="left" w:pos="709"/>
        </w:tabs>
        <w:suppressAutoHyphens/>
        <w:ind w:left="1418" w:right="1082" w:hanging="709"/>
        <w:rPr>
          <w:rFonts w:ascii="Verdana" w:hAnsi="Verdana"/>
          <w:sz w:val="20"/>
          <w:szCs w:val="20"/>
        </w:rPr>
      </w:pPr>
    </w:p>
    <w:p w:rsidR="00B47F97" w:rsidRDefault="00B47F97" w:rsidP="00EB1784">
      <w:pPr>
        <w:pStyle w:val="ListParagraph"/>
        <w:numPr>
          <w:ilvl w:val="3"/>
          <w:numId w:val="11"/>
        </w:numPr>
        <w:suppressAutoHyphens/>
        <w:ind w:left="1418" w:right="1082" w:firstLine="0"/>
        <w:rPr>
          <w:rFonts w:ascii="Verdana" w:hAnsi="Verdana"/>
          <w:sz w:val="20"/>
          <w:szCs w:val="20"/>
        </w:rPr>
      </w:pPr>
      <w:r w:rsidRPr="00490C31">
        <w:rPr>
          <w:rFonts w:ascii="Verdana" w:hAnsi="Verdana"/>
          <w:sz w:val="20"/>
          <w:szCs w:val="20"/>
        </w:rPr>
        <w:t>a determination of a Commissioner under section 13 –</w:t>
      </w:r>
    </w:p>
    <w:p w:rsidR="00512B89" w:rsidRPr="00490C31" w:rsidRDefault="00512B89" w:rsidP="00127723">
      <w:pPr>
        <w:pStyle w:val="ListParagraph"/>
        <w:tabs>
          <w:tab w:val="left" w:pos="709"/>
        </w:tabs>
        <w:suppressAutoHyphens/>
        <w:ind w:left="2925" w:right="1082" w:hanging="709"/>
        <w:rPr>
          <w:rFonts w:ascii="Verdana" w:hAnsi="Verdana"/>
          <w:sz w:val="20"/>
          <w:szCs w:val="20"/>
        </w:rPr>
      </w:pPr>
    </w:p>
    <w:p w:rsidR="00B47F97" w:rsidRDefault="00B47F97" w:rsidP="00EB1784">
      <w:pPr>
        <w:pStyle w:val="ListParagraph"/>
        <w:tabs>
          <w:tab w:val="left" w:pos="709"/>
        </w:tabs>
        <w:suppressAutoHyphens/>
        <w:ind w:left="0" w:right="1082" w:firstLine="709"/>
        <w:rPr>
          <w:rFonts w:ascii="Verdana" w:hAnsi="Verdana"/>
          <w:sz w:val="20"/>
          <w:szCs w:val="20"/>
        </w:rPr>
      </w:pPr>
      <w:proofErr w:type="gramStart"/>
      <w:r w:rsidRPr="00490C31">
        <w:rPr>
          <w:rFonts w:ascii="Verdana" w:hAnsi="Verdana"/>
          <w:sz w:val="20"/>
          <w:szCs w:val="20"/>
        </w:rPr>
        <w:t>may</w:t>
      </w:r>
      <w:proofErr w:type="gramEnd"/>
      <w:r w:rsidRPr="00490C31">
        <w:rPr>
          <w:rFonts w:ascii="Verdana" w:hAnsi="Verdana"/>
          <w:sz w:val="20"/>
          <w:szCs w:val="20"/>
        </w:rPr>
        <w:t xml:space="preserve"> appeal to a Full Bench.</w:t>
      </w:r>
    </w:p>
    <w:p w:rsidR="00512B89" w:rsidRPr="00490C31" w:rsidRDefault="00512B89" w:rsidP="00127723">
      <w:pPr>
        <w:pStyle w:val="ListParagraph"/>
        <w:tabs>
          <w:tab w:val="left" w:pos="709"/>
        </w:tabs>
        <w:suppressAutoHyphens/>
        <w:ind w:left="1440" w:right="1082" w:hanging="709"/>
        <w:rPr>
          <w:rFonts w:ascii="Verdana" w:hAnsi="Verdana"/>
          <w:sz w:val="20"/>
          <w:szCs w:val="20"/>
        </w:rPr>
      </w:pPr>
    </w:p>
    <w:p w:rsidR="00B47F97" w:rsidRDefault="00B47F97" w:rsidP="00127723">
      <w:pPr>
        <w:pStyle w:val="ListParagraph"/>
        <w:tabs>
          <w:tab w:val="left" w:pos="709"/>
        </w:tabs>
        <w:suppressAutoHyphens/>
        <w:ind w:left="1418" w:right="1082" w:hanging="709"/>
        <w:rPr>
          <w:rFonts w:ascii="Verdana" w:hAnsi="Verdana"/>
          <w:sz w:val="20"/>
          <w:szCs w:val="20"/>
        </w:rPr>
      </w:pPr>
      <w:r w:rsidRPr="00490C31">
        <w:rPr>
          <w:rFonts w:ascii="Verdana" w:hAnsi="Verdana"/>
          <w:sz w:val="20"/>
          <w:szCs w:val="20"/>
        </w:rPr>
        <w:t xml:space="preserve">(2) </w:t>
      </w:r>
      <w:r w:rsidR="00BC32A9">
        <w:rPr>
          <w:rFonts w:ascii="Verdana" w:hAnsi="Verdana"/>
          <w:sz w:val="20"/>
          <w:szCs w:val="20"/>
        </w:rPr>
        <w:tab/>
      </w:r>
      <w:r w:rsidRPr="00490C31">
        <w:rPr>
          <w:rFonts w:ascii="Verdana" w:hAnsi="Verdana"/>
          <w:sz w:val="20"/>
          <w:szCs w:val="20"/>
        </w:rPr>
        <w:t>An appeal under this section shall be instituted, heard, and determined as prescribed.</w:t>
      </w:r>
    </w:p>
    <w:p w:rsidR="00512B89" w:rsidRPr="00490C31" w:rsidRDefault="00512B89" w:rsidP="00127723">
      <w:pPr>
        <w:pStyle w:val="ListParagraph"/>
        <w:tabs>
          <w:tab w:val="left" w:pos="709"/>
        </w:tabs>
        <w:suppressAutoHyphens/>
        <w:ind w:left="1418" w:right="1082" w:hanging="709"/>
        <w:rPr>
          <w:rFonts w:ascii="Verdana" w:hAnsi="Verdana"/>
          <w:sz w:val="20"/>
          <w:szCs w:val="20"/>
        </w:rPr>
      </w:pPr>
    </w:p>
    <w:p w:rsidR="00B47F97" w:rsidRDefault="00B47F97" w:rsidP="00127723">
      <w:pPr>
        <w:pStyle w:val="ListParagraph"/>
        <w:tabs>
          <w:tab w:val="left" w:pos="709"/>
        </w:tabs>
        <w:suppressAutoHyphens/>
        <w:ind w:left="1418" w:right="1082" w:hanging="709"/>
        <w:rPr>
          <w:rFonts w:ascii="Verdana" w:hAnsi="Verdana"/>
          <w:sz w:val="20"/>
          <w:szCs w:val="20"/>
        </w:rPr>
      </w:pPr>
      <w:r w:rsidRPr="00490C31">
        <w:rPr>
          <w:rFonts w:ascii="Verdana" w:hAnsi="Verdana"/>
          <w:sz w:val="20"/>
          <w:szCs w:val="20"/>
        </w:rPr>
        <w:t xml:space="preserve">(2A) </w:t>
      </w:r>
      <w:r w:rsidR="00BC32A9">
        <w:rPr>
          <w:rFonts w:ascii="Verdana" w:hAnsi="Verdana"/>
          <w:sz w:val="20"/>
          <w:szCs w:val="20"/>
        </w:rPr>
        <w:tab/>
      </w:r>
      <w:r w:rsidRPr="00490C31">
        <w:rPr>
          <w:rFonts w:ascii="Verdana" w:hAnsi="Verdana"/>
          <w:sz w:val="20"/>
          <w:szCs w:val="20"/>
        </w:rPr>
        <w:t>A Full Bench shall cause a copy of its decision in relation to an appeal under this section to be served on all parties to the appeal.</w:t>
      </w:r>
    </w:p>
    <w:p w:rsidR="00512B89" w:rsidRPr="00490C31" w:rsidRDefault="00512B89" w:rsidP="00127723">
      <w:pPr>
        <w:pStyle w:val="ListParagraph"/>
        <w:tabs>
          <w:tab w:val="left" w:pos="709"/>
        </w:tabs>
        <w:suppressAutoHyphens/>
        <w:ind w:left="1418" w:right="1082" w:hanging="709"/>
        <w:rPr>
          <w:rFonts w:ascii="Verdana" w:hAnsi="Verdana"/>
          <w:sz w:val="20"/>
          <w:szCs w:val="20"/>
        </w:rPr>
      </w:pPr>
    </w:p>
    <w:p w:rsidR="00B47F97" w:rsidRDefault="00B47F97" w:rsidP="00127723">
      <w:pPr>
        <w:pStyle w:val="ListParagraph"/>
        <w:tabs>
          <w:tab w:val="left" w:pos="709"/>
        </w:tabs>
        <w:suppressAutoHyphens/>
        <w:ind w:left="1418" w:right="1082" w:hanging="709"/>
        <w:rPr>
          <w:rFonts w:ascii="Verdana" w:hAnsi="Verdana"/>
          <w:sz w:val="20"/>
          <w:szCs w:val="20"/>
        </w:rPr>
      </w:pPr>
      <w:r w:rsidRPr="00490C31">
        <w:rPr>
          <w:rFonts w:ascii="Verdana" w:hAnsi="Verdana"/>
          <w:sz w:val="20"/>
          <w:szCs w:val="20"/>
        </w:rPr>
        <w:t xml:space="preserve">(3) </w:t>
      </w:r>
      <w:r w:rsidR="00BC32A9">
        <w:rPr>
          <w:rFonts w:ascii="Verdana" w:hAnsi="Verdana"/>
          <w:sz w:val="20"/>
          <w:szCs w:val="20"/>
        </w:rPr>
        <w:tab/>
      </w:r>
      <w:r w:rsidRPr="00490C31">
        <w:rPr>
          <w:rFonts w:ascii="Verdana" w:hAnsi="Verdana"/>
          <w:sz w:val="20"/>
          <w:szCs w:val="20"/>
        </w:rPr>
        <w:t>The decision of a Full Bench on the hearing of a</w:t>
      </w:r>
      <w:r w:rsidR="00323242">
        <w:rPr>
          <w:rFonts w:ascii="Verdana" w:hAnsi="Verdana"/>
          <w:sz w:val="20"/>
          <w:szCs w:val="20"/>
        </w:rPr>
        <w:t xml:space="preserve">n appeal under this section is </w:t>
      </w:r>
      <w:r w:rsidRPr="00490C31">
        <w:rPr>
          <w:rFonts w:ascii="Verdana" w:hAnsi="Verdana"/>
          <w:sz w:val="20"/>
          <w:szCs w:val="20"/>
        </w:rPr>
        <w:t>final.</w:t>
      </w:r>
    </w:p>
    <w:p w:rsidR="00512B89" w:rsidRPr="00512B89" w:rsidRDefault="00512B89" w:rsidP="00127723">
      <w:pPr>
        <w:tabs>
          <w:tab w:val="left" w:pos="709"/>
        </w:tabs>
        <w:suppressAutoHyphens/>
        <w:ind w:left="1418" w:right="1082" w:hanging="709"/>
        <w:rPr>
          <w:rFonts w:ascii="Verdana" w:hAnsi="Verdana"/>
          <w:sz w:val="20"/>
          <w:szCs w:val="20"/>
        </w:rPr>
      </w:pPr>
    </w:p>
    <w:p w:rsidR="00323242" w:rsidRDefault="00B47F97" w:rsidP="00127723">
      <w:pPr>
        <w:pStyle w:val="ListParagraph"/>
        <w:tabs>
          <w:tab w:val="left" w:pos="709"/>
        </w:tabs>
        <w:suppressAutoHyphens/>
        <w:ind w:left="1418" w:right="1082" w:hanging="709"/>
        <w:rPr>
          <w:rFonts w:ascii="Verdana" w:hAnsi="Verdana"/>
          <w:sz w:val="20"/>
          <w:szCs w:val="20"/>
        </w:rPr>
      </w:pPr>
      <w:r w:rsidRPr="00490C31">
        <w:rPr>
          <w:rFonts w:ascii="Verdana" w:hAnsi="Verdana"/>
          <w:sz w:val="20"/>
          <w:szCs w:val="20"/>
        </w:rPr>
        <w:t xml:space="preserve">(4) </w:t>
      </w:r>
      <w:r w:rsidR="00BC32A9">
        <w:rPr>
          <w:rFonts w:ascii="Verdana" w:hAnsi="Verdana"/>
          <w:sz w:val="20"/>
          <w:szCs w:val="20"/>
        </w:rPr>
        <w:tab/>
      </w:r>
      <w:r w:rsidRPr="00490C31">
        <w:rPr>
          <w:rFonts w:ascii="Verdana" w:hAnsi="Verdana"/>
          <w:sz w:val="20"/>
          <w:szCs w:val="20"/>
        </w:rPr>
        <w:t>Where the decision of a Full Bench under this section requires the payment of a sum of money by an employer to an employee, the Full Bench may, without the necessity for any further application, order the employer to pay that sum to the employee.</w:t>
      </w:r>
    </w:p>
    <w:p w:rsidR="00323242" w:rsidRDefault="00323242" w:rsidP="008B422A">
      <w:pPr>
        <w:tabs>
          <w:tab w:val="left" w:pos="709"/>
        </w:tabs>
        <w:suppressAutoHyphens/>
        <w:rPr>
          <w:rFonts w:ascii="Verdana" w:hAnsi="Verdana"/>
          <w:sz w:val="20"/>
          <w:szCs w:val="20"/>
        </w:rPr>
      </w:pPr>
    </w:p>
    <w:p w:rsidR="00B47F97" w:rsidRPr="00323242" w:rsidRDefault="00B47F97" w:rsidP="008B422A">
      <w:pPr>
        <w:tabs>
          <w:tab w:val="left" w:pos="0"/>
        </w:tabs>
        <w:suppressAutoHyphens/>
        <w:rPr>
          <w:rFonts w:ascii="Verdana" w:hAnsi="Verdana"/>
          <w:sz w:val="20"/>
          <w:szCs w:val="20"/>
        </w:rPr>
      </w:pPr>
      <w:r w:rsidRPr="00323242">
        <w:rPr>
          <w:rFonts w:ascii="Verdana" w:hAnsi="Verdana"/>
          <w:sz w:val="20"/>
          <w:szCs w:val="20"/>
        </w:rPr>
        <w:t>It can be seen that the appeal is to be ins</w:t>
      </w:r>
      <w:r w:rsidR="00323242">
        <w:rPr>
          <w:rFonts w:ascii="Verdana" w:hAnsi="Verdana"/>
          <w:sz w:val="20"/>
          <w:szCs w:val="20"/>
        </w:rPr>
        <w:t>tituted, heard, and determined “</w:t>
      </w:r>
      <w:r w:rsidRPr="00323242">
        <w:rPr>
          <w:rFonts w:ascii="Verdana" w:hAnsi="Verdana"/>
          <w:sz w:val="20"/>
          <w:szCs w:val="20"/>
        </w:rPr>
        <w:t>as prescribed</w:t>
      </w:r>
      <w:r w:rsidR="00323242" w:rsidRPr="00323242">
        <w:rPr>
          <w:rFonts w:ascii="Verdana" w:hAnsi="Verdana"/>
          <w:sz w:val="20"/>
          <w:szCs w:val="20"/>
        </w:rPr>
        <w:t>”</w:t>
      </w:r>
      <w:r w:rsidRPr="00323242">
        <w:rPr>
          <w:rFonts w:ascii="Verdana" w:hAnsi="Verdana"/>
          <w:sz w:val="20"/>
          <w:szCs w:val="20"/>
        </w:rPr>
        <w:t>.</w:t>
      </w:r>
    </w:p>
    <w:p w:rsidR="00603987" w:rsidRPr="00490C31" w:rsidRDefault="00603987" w:rsidP="00E6318D">
      <w:pPr>
        <w:pStyle w:val="ListParagraph"/>
        <w:tabs>
          <w:tab w:val="left" w:pos="709"/>
        </w:tabs>
        <w:suppressAutoHyphens/>
        <w:ind w:hanging="709"/>
        <w:rPr>
          <w:rFonts w:ascii="Verdana" w:hAnsi="Verdana"/>
          <w:sz w:val="20"/>
          <w:szCs w:val="20"/>
        </w:rPr>
      </w:pPr>
    </w:p>
    <w:p w:rsidR="00323242" w:rsidRDefault="00B47F97" w:rsidP="008B422A">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 xml:space="preserve">On 11 December 2000 the Governor made the </w:t>
      </w:r>
      <w:r w:rsidRPr="00490C31">
        <w:rPr>
          <w:rFonts w:ascii="Verdana" w:hAnsi="Verdana"/>
          <w:i/>
          <w:sz w:val="20"/>
          <w:szCs w:val="20"/>
        </w:rPr>
        <w:t xml:space="preserve">Long Service Leave Regulations 2000. </w:t>
      </w:r>
      <w:r w:rsidR="00323242">
        <w:rPr>
          <w:rFonts w:ascii="Verdana" w:hAnsi="Verdana"/>
          <w:sz w:val="20"/>
          <w:szCs w:val="20"/>
        </w:rPr>
        <w:t xml:space="preserve">Regulation 5 dealt with appeals. </w:t>
      </w:r>
    </w:p>
    <w:p w:rsidR="00323242" w:rsidRDefault="00323242" w:rsidP="008B422A">
      <w:pPr>
        <w:pStyle w:val="ListParagraph"/>
        <w:tabs>
          <w:tab w:val="left" w:pos="709"/>
        </w:tabs>
        <w:suppressAutoHyphens/>
        <w:ind w:left="0"/>
        <w:rPr>
          <w:rFonts w:ascii="Verdana" w:hAnsi="Verdana"/>
          <w:sz w:val="20"/>
          <w:szCs w:val="20"/>
        </w:rPr>
      </w:pPr>
    </w:p>
    <w:p w:rsidR="00B47F97" w:rsidRDefault="00EB1784" w:rsidP="008B422A">
      <w:pPr>
        <w:pStyle w:val="ListParagraph"/>
        <w:numPr>
          <w:ilvl w:val="0"/>
          <w:numId w:val="11"/>
        </w:numPr>
        <w:tabs>
          <w:tab w:val="left" w:pos="709"/>
        </w:tabs>
        <w:suppressAutoHyphens/>
        <w:ind w:left="0" w:firstLine="0"/>
        <w:rPr>
          <w:rFonts w:ascii="Verdana" w:hAnsi="Verdana"/>
          <w:sz w:val="20"/>
          <w:szCs w:val="20"/>
        </w:rPr>
      </w:pPr>
      <w:r>
        <w:rPr>
          <w:rFonts w:ascii="Verdana" w:hAnsi="Verdana"/>
          <w:sz w:val="20"/>
          <w:szCs w:val="20"/>
        </w:rPr>
        <w:t xml:space="preserve">By virtue of </w:t>
      </w:r>
      <w:proofErr w:type="gramStart"/>
      <w:r>
        <w:rPr>
          <w:rFonts w:ascii="Verdana" w:hAnsi="Verdana"/>
          <w:sz w:val="20"/>
          <w:szCs w:val="20"/>
        </w:rPr>
        <w:t>s.</w:t>
      </w:r>
      <w:r w:rsidR="00B47F97" w:rsidRPr="00490C31">
        <w:rPr>
          <w:rFonts w:ascii="Verdana" w:hAnsi="Verdana"/>
          <w:sz w:val="20"/>
          <w:szCs w:val="20"/>
        </w:rPr>
        <w:t>11(</w:t>
      </w:r>
      <w:proofErr w:type="gramEnd"/>
      <w:r w:rsidR="00B47F97" w:rsidRPr="00490C31">
        <w:rPr>
          <w:rFonts w:ascii="Verdana" w:hAnsi="Verdana"/>
          <w:sz w:val="20"/>
          <w:szCs w:val="20"/>
        </w:rPr>
        <w:t xml:space="preserve">2) of the </w:t>
      </w:r>
      <w:r w:rsidR="00B47F97" w:rsidRPr="00490C31">
        <w:rPr>
          <w:rFonts w:ascii="Verdana" w:hAnsi="Verdana"/>
          <w:i/>
          <w:sz w:val="20"/>
          <w:szCs w:val="20"/>
        </w:rPr>
        <w:t xml:space="preserve">Subordinate Legislation Act </w:t>
      </w:r>
      <w:r w:rsidR="00B47F97" w:rsidRPr="009C3DE5">
        <w:rPr>
          <w:rFonts w:ascii="Verdana" w:hAnsi="Verdana"/>
          <w:sz w:val="20"/>
          <w:szCs w:val="20"/>
        </w:rPr>
        <w:t>1992</w:t>
      </w:r>
      <w:r w:rsidR="00B47F97" w:rsidRPr="00490C31">
        <w:rPr>
          <w:rFonts w:ascii="Verdana" w:hAnsi="Verdana"/>
          <w:i/>
          <w:sz w:val="20"/>
          <w:szCs w:val="20"/>
        </w:rPr>
        <w:t xml:space="preserve"> </w:t>
      </w:r>
      <w:r w:rsidR="00B47F97" w:rsidRPr="00490C31">
        <w:rPr>
          <w:rFonts w:ascii="Verdana" w:hAnsi="Verdana"/>
          <w:sz w:val="20"/>
          <w:szCs w:val="20"/>
        </w:rPr>
        <w:t xml:space="preserve">a regulation made after the commencement of that act (which commenced on 13 March 1995) </w:t>
      </w:r>
      <w:r w:rsidR="00B47F97" w:rsidRPr="009C3DE5">
        <w:rPr>
          <w:rFonts w:ascii="Verdana" w:hAnsi="Verdana"/>
          <w:sz w:val="20"/>
          <w:szCs w:val="20"/>
        </w:rPr>
        <w:t>”is repealed on the tenth anniversary of the date on which it was made”</w:t>
      </w:r>
      <w:r w:rsidR="00B47F97" w:rsidRPr="00490C31">
        <w:rPr>
          <w:rFonts w:ascii="Verdana" w:hAnsi="Verdana"/>
          <w:i/>
          <w:sz w:val="20"/>
          <w:szCs w:val="20"/>
        </w:rPr>
        <w:t xml:space="preserve">. </w:t>
      </w:r>
      <w:r w:rsidR="00B47F97" w:rsidRPr="00490C31">
        <w:rPr>
          <w:rFonts w:ascii="Verdana" w:hAnsi="Verdana"/>
          <w:sz w:val="20"/>
          <w:szCs w:val="20"/>
        </w:rPr>
        <w:t xml:space="preserve">Accordingly the </w:t>
      </w:r>
      <w:r w:rsidR="00B47F97" w:rsidRPr="00490C31">
        <w:rPr>
          <w:rFonts w:ascii="Verdana" w:hAnsi="Verdana"/>
          <w:i/>
          <w:sz w:val="20"/>
          <w:szCs w:val="20"/>
        </w:rPr>
        <w:t xml:space="preserve">Long Service Leave Regulations </w:t>
      </w:r>
      <w:r w:rsidR="00B47F97" w:rsidRPr="009C3DE5">
        <w:rPr>
          <w:rFonts w:ascii="Verdana" w:hAnsi="Verdana"/>
          <w:sz w:val="20"/>
          <w:szCs w:val="20"/>
        </w:rPr>
        <w:t>2000</w:t>
      </w:r>
      <w:r w:rsidR="00B47F97" w:rsidRPr="00490C31">
        <w:rPr>
          <w:rFonts w:ascii="Verdana" w:hAnsi="Verdana"/>
          <w:i/>
          <w:sz w:val="20"/>
          <w:szCs w:val="20"/>
        </w:rPr>
        <w:t xml:space="preserve"> </w:t>
      </w:r>
      <w:r w:rsidR="00B47F97" w:rsidRPr="00490C31">
        <w:rPr>
          <w:rFonts w:ascii="Verdana" w:hAnsi="Verdana"/>
          <w:sz w:val="20"/>
          <w:szCs w:val="20"/>
        </w:rPr>
        <w:t xml:space="preserve">were </w:t>
      </w:r>
      <w:r w:rsidR="00323242">
        <w:rPr>
          <w:rFonts w:ascii="Verdana" w:hAnsi="Verdana"/>
          <w:sz w:val="20"/>
          <w:szCs w:val="20"/>
        </w:rPr>
        <w:t xml:space="preserve">automatically </w:t>
      </w:r>
      <w:r w:rsidR="00B47F97" w:rsidRPr="00490C31">
        <w:rPr>
          <w:rFonts w:ascii="Verdana" w:hAnsi="Verdana"/>
          <w:sz w:val="20"/>
          <w:szCs w:val="20"/>
        </w:rPr>
        <w:t>repealed on 11 December 2010.</w:t>
      </w:r>
    </w:p>
    <w:p w:rsidR="00603987" w:rsidRPr="00490C31" w:rsidRDefault="00603987" w:rsidP="008B422A">
      <w:pPr>
        <w:pStyle w:val="ListParagraph"/>
        <w:tabs>
          <w:tab w:val="left" w:pos="709"/>
        </w:tabs>
        <w:suppressAutoHyphens/>
        <w:ind w:left="0"/>
        <w:rPr>
          <w:rFonts w:ascii="Verdana" w:hAnsi="Verdana"/>
          <w:sz w:val="20"/>
          <w:szCs w:val="20"/>
        </w:rPr>
      </w:pPr>
    </w:p>
    <w:p w:rsidR="00B47F97" w:rsidRDefault="00B47F97" w:rsidP="008B422A">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There are no current regulations which prescribe the manner in which an appeal is to be instituted, heard, and determined. As such does a person aggrieved by a determination of a commissioner under s.13 of the Act have a right to appeal, and if yes can that right be exercised.</w:t>
      </w:r>
    </w:p>
    <w:p w:rsidR="00323242" w:rsidRPr="00323242" w:rsidRDefault="00323242" w:rsidP="00323242">
      <w:pPr>
        <w:pStyle w:val="ListParagraph"/>
        <w:rPr>
          <w:rFonts w:ascii="Verdana" w:hAnsi="Verdana"/>
          <w:sz w:val="20"/>
          <w:szCs w:val="20"/>
        </w:rPr>
      </w:pPr>
    </w:p>
    <w:p w:rsidR="003942B7" w:rsidRDefault="003942B7" w:rsidP="00E6318D">
      <w:pPr>
        <w:tabs>
          <w:tab w:val="left" w:pos="709"/>
        </w:tabs>
        <w:suppressAutoHyphens/>
        <w:ind w:hanging="709"/>
        <w:jc w:val="both"/>
        <w:rPr>
          <w:rFonts w:ascii="Verdana" w:hAnsi="Verdana"/>
          <w:b/>
          <w:sz w:val="20"/>
          <w:szCs w:val="20"/>
        </w:rPr>
      </w:pPr>
    </w:p>
    <w:p w:rsidR="00B47F97" w:rsidRPr="00603987" w:rsidRDefault="00E6318D" w:rsidP="00E6318D">
      <w:pPr>
        <w:tabs>
          <w:tab w:val="left" w:pos="709"/>
        </w:tabs>
        <w:suppressAutoHyphens/>
        <w:ind w:hanging="709"/>
        <w:rPr>
          <w:rFonts w:ascii="Verdana" w:hAnsi="Verdana"/>
          <w:b/>
          <w:sz w:val="20"/>
          <w:szCs w:val="20"/>
        </w:rPr>
      </w:pPr>
      <w:r>
        <w:rPr>
          <w:rFonts w:ascii="Verdana" w:hAnsi="Verdana"/>
          <w:b/>
          <w:sz w:val="20"/>
          <w:szCs w:val="20"/>
        </w:rPr>
        <w:tab/>
      </w:r>
      <w:r w:rsidR="00B47F97" w:rsidRPr="00603987">
        <w:rPr>
          <w:rFonts w:ascii="Verdana" w:hAnsi="Verdana"/>
          <w:b/>
          <w:sz w:val="20"/>
          <w:szCs w:val="20"/>
        </w:rPr>
        <w:t>Right to Appeal</w:t>
      </w:r>
    </w:p>
    <w:p w:rsidR="003942B7" w:rsidRDefault="003942B7" w:rsidP="00E6318D">
      <w:pPr>
        <w:tabs>
          <w:tab w:val="left" w:pos="709"/>
        </w:tabs>
        <w:suppressAutoHyphens/>
        <w:ind w:hanging="709"/>
        <w:jc w:val="both"/>
        <w:rPr>
          <w:rFonts w:ascii="Verdana" w:hAnsi="Verdana"/>
          <w:sz w:val="20"/>
          <w:szCs w:val="20"/>
        </w:rPr>
      </w:pPr>
    </w:p>
    <w:p w:rsidR="00B47F97" w:rsidRPr="00490C31" w:rsidRDefault="00B47F97" w:rsidP="002A6DE3">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 xml:space="preserve">At first blush s.14 of the Act may give a person aggrieved by a decision of a commissioner under s.13 a right to appeal: </w:t>
      </w:r>
      <w:r w:rsidRPr="009C3DE5">
        <w:rPr>
          <w:rFonts w:ascii="Verdana" w:hAnsi="Verdana"/>
          <w:sz w:val="20"/>
          <w:szCs w:val="20"/>
        </w:rPr>
        <w:t xml:space="preserve">“an </w:t>
      </w:r>
      <w:r w:rsidR="002A6DE3" w:rsidRPr="009C3DE5">
        <w:rPr>
          <w:rFonts w:ascii="Verdana" w:hAnsi="Verdana"/>
          <w:sz w:val="20"/>
          <w:szCs w:val="20"/>
        </w:rPr>
        <w:t xml:space="preserve">employer or employee who is </w:t>
      </w:r>
      <w:proofErr w:type="gramStart"/>
      <w:r w:rsidR="002A6DE3" w:rsidRPr="009C3DE5">
        <w:rPr>
          <w:rFonts w:ascii="Verdana" w:hAnsi="Verdana"/>
          <w:sz w:val="20"/>
          <w:szCs w:val="20"/>
        </w:rPr>
        <w:t>aggrieved</w:t>
      </w:r>
      <w:proofErr w:type="gramEnd"/>
      <w:r w:rsidR="00F124E6" w:rsidRPr="009C3DE5">
        <w:rPr>
          <w:rFonts w:ascii="Verdana" w:hAnsi="Verdana"/>
          <w:sz w:val="20"/>
          <w:szCs w:val="20"/>
        </w:rPr>
        <w:t>………</w:t>
      </w:r>
      <w:r w:rsidRPr="009C3DE5">
        <w:rPr>
          <w:rFonts w:ascii="Verdana" w:hAnsi="Verdana"/>
          <w:sz w:val="20"/>
          <w:szCs w:val="20"/>
        </w:rPr>
        <w:t xml:space="preserve"> may appeal to a Full Bench”.</w:t>
      </w:r>
      <w:r w:rsidRPr="00490C31">
        <w:rPr>
          <w:rFonts w:ascii="Verdana" w:hAnsi="Verdana"/>
          <w:sz w:val="20"/>
          <w:szCs w:val="20"/>
        </w:rPr>
        <w:t xml:space="preserve">  However that right is fettered by the opening words of s.14 of the Act which provide that </w:t>
      </w:r>
      <w:r w:rsidRPr="009C3DE5">
        <w:rPr>
          <w:rFonts w:ascii="Verdana" w:hAnsi="Verdana"/>
          <w:sz w:val="20"/>
          <w:szCs w:val="20"/>
        </w:rPr>
        <w:t>“[s]</w:t>
      </w:r>
      <w:proofErr w:type="spellStart"/>
      <w:r w:rsidRPr="009C3DE5">
        <w:rPr>
          <w:rFonts w:ascii="Verdana" w:hAnsi="Verdana"/>
          <w:sz w:val="20"/>
          <w:szCs w:val="20"/>
        </w:rPr>
        <w:t>ubject</w:t>
      </w:r>
      <w:proofErr w:type="spellEnd"/>
      <w:r w:rsidRPr="009C3DE5">
        <w:rPr>
          <w:rFonts w:ascii="Verdana" w:hAnsi="Verdana"/>
          <w:sz w:val="20"/>
          <w:szCs w:val="20"/>
        </w:rPr>
        <w:t xml:space="preserve"> to subsection (2)”</w:t>
      </w:r>
      <w:r w:rsidRPr="00490C31">
        <w:rPr>
          <w:rFonts w:ascii="Verdana" w:hAnsi="Verdana"/>
          <w:i/>
          <w:sz w:val="20"/>
          <w:szCs w:val="20"/>
        </w:rPr>
        <w:t xml:space="preserve"> </w:t>
      </w:r>
      <w:r w:rsidRPr="00490C31">
        <w:rPr>
          <w:rFonts w:ascii="Verdana" w:hAnsi="Verdana"/>
          <w:sz w:val="20"/>
          <w:szCs w:val="20"/>
        </w:rPr>
        <w:t>a person aggrieved may appeal.</w:t>
      </w:r>
    </w:p>
    <w:p w:rsidR="003942B7" w:rsidRDefault="003942B7" w:rsidP="008B422A">
      <w:pPr>
        <w:tabs>
          <w:tab w:val="left" w:pos="709"/>
        </w:tabs>
        <w:suppressAutoHyphens/>
        <w:jc w:val="both"/>
        <w:rPr>
          <w:rFonts w:ascii="Verdana" w:hAnsi="Verdana"/>
          <w:sz w:val="20"/>
          <w:szCs w:val="20"/>
        </w:rPr>
      </w:pPr>
    </w:p>
    <w:p w:rsidR="00B47F97" w:rsidRPr="00490C31" w:rsidRDefault="00B47F97" w:rsidP="008B422A">
      <w:pPr>
        <w:pStyle w:val="ListParagraph"/>
        <w:tabs>
          <w:tab w:val="left" w:pos="709"/>
        </w:tabs>
        <w:suppressAutoHyphens/>
        <w:ind w:left="0"/>
        <w:rPr>
          <w:rFonts w:ascii="Verdana" w:hAnsi="Verdana"/>
          <w:sz w:val="20"/>
          <w:szCs w:val="20"/>
        </w:rPr>
      </w:pPr>
      <w:r w:rsidRPr="00490C31">
        <w:rPr>
          <w:rFonts w:ascii="Verdana" w:hAnsi="Verdana"/>
          <w:sz w:val="20"/>
          <w:szCs w:val="20"/>
        </w:rPr>
        <w:lastRenderedPageBreak/>
        <w:t>Accordingly the right to appeal is arguably subject to the prescription to be set out in regulations made for the purposes of s. 14 of the Act.</w:t>
      </w:r>
    </w:p>
    <w:p w:rsidR="003942B7" w:rsidRDefault="003942B7" w:rsidP="00E6318D">
      <w:pPr>
        <w:tabs>
          <w:tab w:val="left" w:pos="709"/>
        </w:tabs>
        <w:suppressAutoHyphens/>
        <w:ind w:hanging="709"/>
        <w:jc w:val="both"/>
        <w:rPr>
          <w:rFonts w:ascii="Verdana" w:hAnsi="Verdana"/>
          <w:i/>
          <w:sz w:val="20"/>
          <w:szCs w:val="20"/>
        </w:rPr>
      </w:pPr>
    </w:p>
    <w:p w:rsidR="00B47F97" w:rsidRPr="00603987" w:rsidRDefault="00E6318D" w:rsidP="00E6318D">
      <w:pPr>
        <w:tabs>
          <w:tab w:val="left" w:pos="709"/>
        </w:tabs>
        <w:suppressAutoHyphens/>
        <w:ind w:hanging="709"/>
        <w:rPr>
          <w:rFonts w:ascii="Verdana" w:hAnsi="Verdana"/>
          <w:i/>
          <w:sz w:val="20"/>
          <w:szCs w:val="20"/>
        </w:rPr>
      </w:pPr>
      <w:r>
        <w:rPr>
          <w:rFonts w:ascii="Verdana" w:hAnsi="Verdana"/>
          <w:i/>
          <w:sz w:val="20"/>
          <w:szCs w:val="20"/>
        </w:rPr>
        <w:tab/>
      </w:r>
      <w:r w:rsidR="00801CD2">
        <w:rPr>
          <w:rFonts w:ascii="Verdana" w:hAnsi="Verdana"/>
          <w:i/>
          <w:sz w:val="20"/>
          <w:szCs w:val="20"/>
        </w:rPr>
        <w:t xml:space="preserve">The </w:t>
      </w:r>
      <w:r w:rsidR="00C95537">
        <w:rPr>
          <w:rFonts w:ascii="Verdana" w:hAnsi="Verdana"/>
          <w:i/>
          <w:sz w:val="20"/>
          <w:szCs w:val="20"/>
        </w:rPr>
        <w:t>parties’</w:t>
      </w:r>
      <w:r w:rsidR="00B47F97" w:rsidRPr="00603987">
        <w:rPr>
          <w:rFonts w:ascii="Verdana" w:hAnsi="Verdana"/>
          <w:i/>
          <w:sz w:val="20"/>
          <w:szCs w:val="20"/>
        </w:rPr>
        <w:t xml:space="preserve"> submissions</w:t>
      </w:r>
    </w:p>
    <w:p w:rsidR="003942B7" w:rsidRDefault="003942B7" w:rsidP="00E6318D">
      <w:pPr>
        <w:tabs>
          <w:tab w:val="left" w:pos="709"/>
        </w:tabs>
        <w:suppressAutoHyphens/>
        <w:ind w:hanging="709"/>
        <w:jc w:val="both"/>
        <w:rPr>
          <w:rFonts w:ascii="Verdana" w:hAnsi="Verdana"/>
          <w:sz w:val="20"/>
          <w:szCs w:val="20"/>
        </w:rPr>
      </w:pPr>
    </w:p>
    <w:p w:rsidR="00B47F97" w:rsidRPr="00490C31" w:rsidRDefault="007E68B0" w:rsidP="008B422A">
      <w:pPr>
        <w:pStyle w:val="ListParagraph"/>
        <w:numPr>
          <w:ilvl w:val="0"/>
          <w:numId w:val="11"/>
        </w:numPr>
        <w:tabs>
          <w:tab w:val="left" w:pos="709"/>
        </w:tabs>
        <w:suppressAutoHyphens/>
        <w:ind w:left="0" w:firstLine="0"/>
        <w:rPr>
          <w:rFonts w:ascii="Verdana" w:hAnsi="Verdana"/>
          <w:sz w:val="20"/>
          <w:szCs w:val="20"/>
        </w:rPr>
      </w:pPr>
      <w:r>
        <w:rPr>
          <w:rFonts w:ascii="Verdana" w:hAnsi="Verdana"/>
          <w:sz w:val="20"/>
          <w:szCs w:val="20"/>
        </w:rPr>
        <w:t>The Appellant</w:t>
      </w:r>
      <w:r w:rsidR="00B47F97" w:rsidRPr="00490C31">
        <w:rPr>
          <w:rFonts w:ascii="Verdana" w:hAnsi="Verdana"/>
          <w:sz w:val="20"/>
          <w:szCs w:val="20"/>
        </w:rPr>
        <w:t xml:space="preserve"> in </w:t>
      </w:r>
      <w:r>
        <w:rPr>
          <w:rFonts w:ascii="Verdana" w:hAnsi="Verdana"/>
          <w:sz w:val="20"/>
          <w:szCs w:val="20"/>
        </w:rPr>
        <w:t>its</w:t>
      </w:r>
      <w:r w:rsidR="00B47F97" w:rsidRPr="00490C31">
        <w:rPr>
          <w:rFonts w:ascii="Verdana" w:hAnsi="Verdana"/>
          <w:sz w:val="20"/>
          <w:szCs w:val="20"/>
        </w:rPr>
        <w:t xml:space="preserve"> written submissions submitted the following:</w:t>
      </w:r>
    </w:p>
    <w:p w:rsidR="003942B7" w:rsidRPr="00B47F97" w:rsidRDefault="003942B7" w:rsidP="00E6318D">
      <w:pPr>
        <w:tabs>
          <w:tab w:val="left" w:pos="709"/>
        </w:tabs>
        <w:suppressAutoHyphens/>
        <w:ind w:hanging="709"/>
        <w:jc w:val="both"/>
        <w:rPr>
          <w:rFonts w:ascii="Verdana" w:hAnsi="Verdana"/>
          <w:sz w:val="20"/>
          <w:szCs w:val="20"/>
        </w:rPr>
      </w:pPr>
    </w:p>
    <w:p w:rsidR="00B47F97" w:rsidRPr="00490C31" w:rsidRDefault="00E6318D" w:rsidP="00127723">
      <w:pPr>
        <w:pStyle w:val="ListParagraph"/>
        <w:tabs>
          <w:tab w:val="left" w:pos="709"/>
        </w:tabs>
        <w:suppressAutoHyphens/>
        <w:ind w:left="1440" w:right="1082" w:hanging="709"/>
        <w:rPr>
          <w:rFonts w:ascii="Verdana" w:hAnsi="Verdana"/>
          <w:sz w:val="20"/>
          <w:szCs w:val="20"/>
        </w:rPr>
      </w:pPr>
      <w:r>
        <w:rPr>
          <w:rFonts w:ascii="Verdana" w:hAnsi="Verdana"/>
          <w:sz w:val="20"/>
          <w:szCs w:val="20"/>
        </w:rPr>
        <w:tab/>
      </w:r>
      <w:r w:rsidR="009C3DE5">
        <w:rPr>
          <w:rFonts w:ascii="Verdana" w:hAnsi="Verdana"/>
          <w:sz w:val="20"/>
          <w:szCs w:val="20"/>
        </w:rPr>
        <w:t>“</w:t>
      </w:r>
      <w:r w:rsidR="00B47F97" w:rsidRPr="00490C31">
        <w:rPr>
          <w:rFonts w:ascii="Verdana" w:hAnsi="Verdana"/>
          <w:sz w:val="20"/>
          <w:szCs w:val="20"/>
        </w:rPr>
        <w:t>The use of the words “as prescribed” are not limited to provisions prescribed in the Act, itself, and are not otherwise defined as being restricted, either to the Act itself or any regulations or rules relating thereto. The prescription can thus be as determined by other legislation or regulations.</w:t>
      </w:r>
      <w:r w:rsidR="009C3DE5">
        <w:rPr>
          <w:rFonts w:ascii="Verdana" w:hAnsi="Verdana"/>
          <w:sz w:val="20"/>
          <w:szCs w:val="20"/>
        </w:rPr>
        <w:t>”</w:t>
      </w:r>
    </w:p>
    <w:p w:rsidR="003942B7" w:rsidRDefault="003942B7" w:rsidP="00E6318D">
      <w:pPr>
        <w:tabs>
          <w:tab w:val="left" w:pos="709"/>
        </w:tabs>
        <w:suppressAutoHyphens/>
        <w:ind w:hanging="709"/>
        <w:jc w:val="both"/>
        <w:rPr>
          <w:rFonts w:ascii="Verdana" w:hAnsi="Verdana"/>
          <w:sz w:val="20"/>
          <w:szCs w:val="20"/>
        </w:rPr>
      </w:pPr>
    </w:p>
    <w:p w:rsidR="00A10686" w:rsidRPr="00A10686" w:rsidRDefault="00B47F97" w:rsidP="008B422A">
      <w:pPr>
        <w:pStyle w:val="ListParagraph"/>
        <w:tabs>
          <w:tab w:val="left" w:pos="851"/>
        </w:tabs>
        <w:suppressAutoHyphens/>
        <w:ind w:left="0"/>
        <w:rPr>
          <w:rFonts w:ascii="Verdana" w:hAnsi="Verdana"/>
          <w:sz w:val="20"/>
          <w:szCs w:val="20"/>
        </w:rPr>
      </w:pPr>
      <w:r w:rsidRPr="00490C31">
        <w:rPr>
          <w:rFonts w:ascii="Verdana" w:hAnsi="Verdana"/>
          <w:sz w:val="20"/>
          <w:szCs w:val="20"/>
        </w:rPr>
        <w:t xml:space="preserve">Accordingly the Applicant submits that the provisions of the </w:t>
      </w:r>
      <w:r w:rsidR="008B422A">
        <w:rPr>
          <w:rFonts w:ascii="Verdana" w:hAnsi="Verdana"/>
          <w:i/>
          <w:sz w:val="20"/>
          <w:szCs w:val="20"/>
        </w:rPr>
        <w:t xml:space="preserve">Industrial Relations Act </w:t>
      </w:r>
      <w:r w:rsidR="008B422A" w:rsidRPr="009C3DE5">
        <w:rPr>
          <w:rFonts w:ascii="Verdana" w:hAnsi="Verdana"/>
          <w:sz w:val="20"/>
          <w:szCs w:val="20"/>
        </w:rPr>
        <w:t>1984</w:t>
      </w:r>
      <w:r w:rsidR="008B422A">
        <w:rPr>
          <w:rFonts w:ascii="Verdana" w:hAnsi="Verdana"/>
          <w:i/>
          <w:sz w:val="20"/>
          <w:szCs w:val="20"/>
        </w:rPr>
        <w:t xml:space="preserve"> </w:t>
      </w:r>
      <w:r w:rsidRPr="00490C31">
        <w:rPr>
          <w:rFonts w:ascii="Verdana" w:hAnsi="Verdana"/>
          <w:sz w:val="20"/>
          <w:szCs w:val="20"/>
        </w:rPr>
        <w:t>can apply to hearing of appeals under the Act.</w:t>
      </w:r>
    </w:p>
    <w:p w:rsidR="00603987" w:rsidRPr="00490C31" w:rsidRDefault="00603987" w:rsidP="00E6318D">
      <w:pPr>
        <w:pStyle w:val="ListParagraph"/>
        <w:tabs>
          <w:tab w:val="left" w:pos="709"/>
        </w:tabs>
        <w:suppressAutoHyphens/>
        <w:ind w:hanging="709"/>
        <w:rPr>
          <w:rFonts w:ascii="Verdana" w:hAnsi="Verdana"/>
          <w:sz w:val="20"/>
          <w:szCs w:val="20"/>
        </w:rPr>
      </w:pPr>
    </w:p>
    <w:p w:rsidR="00B47F97" w:rsidRPr="00490C31" w:rsidRDefault="00B47F97" w:rsidP="008B422A">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We do not accept the Applicants contention. No authority has been relied on for the submission. The effect of the submission is that one may cast around in any legislation or regulation for guidance on how to institute, hear and determine the appeal. That would be a surprising result. In effect the Applicant submits that the words “in any Act or Regulation” after “as pre</w:t>
      </w:r>
      <w:r w:rsidR="00EB1784">
        <w:rPr>
          <w:rFonts w:ascii="Verdana" w:hAnsi="Verdana"/>
          <w:sz w:val="20"/>
          <w:szCs w:val="20"/>
        </w:rPr>
        <w:t xml:space="preserve">scribed” should be read into </w:t>
      </w:r>
      <w:proofErr w:type="gramStart"/>
      <w:r w:rsidR="00EB1784">
        <w:rPr>
          <w:rFonts w:ascii="Verdana" w:hAnsi="Verdana"/>
          <w:sz w:val="20"/>
          <w:szCs w:val="20"/>
        </w:rPr>
        <w:t>s.</w:t>
      </w:r>
      <w:r w:rsidRPr="00490C31">
        <w:rPr>
          <w:rFonts w:ascii="Verdana" w:hAnsi="Verdana"/>
          <w:sz w:val="20"/>
          <w:szCs w:val="20"/>
        </w:rPr>
        <w:t>14(</w:t>
      </w:r>
      <w:proofErr w:type="gramEnd"/>
      <w:r w:rsidRPr="00490C31">
        <w:rPr>
          <w:rFonts w:ascii="Verdana" w:hAnsi="Verdana"/>
          <w:sz w:val="20"/>
          <w:szCs w:val="20"/>
        </w:rPr>
        <w:t xml:space="preserve">2) of the Act. There is no warrant to read in such words.  </w:t>
      </w:r>
    </w:p>
    <w:p w:rsidR="003942B7" w:rsidRPr="00B47F97" w:rsidRDefault="003942B7" w:rsidP="008B422A">
      <w:pPr>
        <w:tabs>
          <w:tab w:val="left" w:pos="709"/>
        </w:tabs>
        <w:suppressAutoHyphens/>
        <w:jc w:val="both"/>
        <w:rPr>
          <w:rFonts w:ascii="Verdana" w:hAnsi="Verdana"/>
          <w:sz w:val="20"/>
          <w:szCs w:val="20"/>
        </w:rPr>
      </w:pPr>
    </w:p>
    <w:p w:rsidR="00B47F97" w:rsidRDefault="00B47F97" w:rsidP="008B422A">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The submission also fails to acknowledge that the power of the governor to make regulations is contained in s.24 of the Act. The regulations requir</w:t>
      </w:r>
      <w:r w:rsidR="009C3DE5">
        <w:rPr>
          <w:rFonts w:ascii="Verdana" w:hAnsi="Verdana"/>
          <w:sz w:val="20"/>
          <w:szCs w:val="20"/>
        </w:rPr>
        <w:t>ed to be made are made under s.</w:t>
      </w:r>
      <w:r w:rsidRPr="00490C31">
        <w:rPr>
          <w:rFonts w:ascii="Verdana" w:hAnsi="Verdana"/>
          <w:sz w:val="20"/>
          <w:szCs w:val="20"/>
        </w:rPr>
        <w:t>14 of the Act. The submission also overlooks the vast body of law relating to the power to make</w:t>
      </w:r>
      <w:r w:rsidR="00576FCD">
        <w:rPr>
          <w:rFonts w:ascii="Verdana" w:hAnsi="Verdana"/>
          <w:sz w:val="20"/>
          <w:szCs w:val="20"/>
        </w:rPr>
        <w:t>,</w:t>
      </w:r>
      <w:r w:rsidRPr="00490C31">
        <w:rPr>
          <w:rFonts w:ascii="Verdana" w:hAnsi="Verdana"/>
          <w:sz w:val="20"/>
          <w:szCs w:val="20"/>
        </w:rPr>
        <w:t xml:space="preserve"> and validity of</w:t>
      </w:r>
      <w:r w:rsidR="00576FCD">
        <w:rPr>
          <w:rFonts w:ascii="Verdana" w:hAnsi="Verdana"/>
          <w:sz w:val="20"/>
          <w:szCs w:val="20"/>
        </w:rPr>
        <w:t>,</w:t>
      </w:r>
      <w:r w:rsidRPr="00490C31">
        <w:rPr>
          <w:rFonts w:ascii="Verdana" w:hAnsi="Verdana"/>
          <w:sz w:val="20"/>
          <w:szCs w:val="20"/>
        </w:rPr>
        <w:t xml:space="preserve"> delegated legislation. Put simply the power to make regulations comes from the principal legislation (the Act) and its subject matter is specified (and limited to) matters pertaining to the Act. </w:t>
      </w:r>
    </w:p>
    <w:p w:rsidR="00A10686" w:rsidRPr="00A10686" w:rsidRDefault="00A10686" w:rsidP="008B422A">
      <w:pPr>
        <w:pStyle w:val="ListParagraph"/>
        <w:tabs>
          <w:tab w:val="left" w:pos="709"/>
        </w:tabs>
        <w:ind w:left="0"/>
        <w:rPr>
          <w:rFonts w:ascii="Verdana" w:hAnsi="Verdana"/>
          <w:sz w:val="20"/>
          <w:szCs w:val="20"/>
        </w:rPr>
      </w:pPr>
    </w:p>
    <w:p w:rsidR="00A10686" w:rsidRDefault="00A10686" w:rsidP="008B422A">
      <w:pPr>
        <w:pStyle w:val="ListParagraph"/>
        <w:numPr>
          <w:ilvl w:val="0"/>
          <w:numId w:val="11"/>
        </w:numPr>
        <w:tabs>
          <w:tab w:val="left" w:pos="709"/>
        </w:tabs>
        <w:suppressAutoHyphens/>
        <w:ind w:left="0" w:firstLine="0"/>
        <w:rPr>
          <w:rFonts w:ascii="Verdana" w:hAnsi="Verdana"/>
          <w:sz w:val="20"/>
          <w:szCs w:val="20"/>
        </w:rPr>
      </w:pPr>
      <w:r>
        <w:rPr>
          <w:rFonts w:ascii="Verdana" w:hAnsi="Verdana"/>
          <w:sz w:val="20"/>
          <w:szCs w:val="20"/>
        </w:rPr>
        <w:t xml:space="preserve">Finally the submission overlooks, as is pointed out by the Respondent in her submissions, </w:t>
      </w:r>
      <w:r w:rsidRPr="00A10686">
        <w:rPr>
          <w:rFonts w:ascii="Verdana" w:hAnsi="Verdana"/>
          <w:sz w:val="20"/>
          <w:szCs w:val="20"/>
        </w:rPr>
        <w:t xml:space="preserve">that sections 7 and 7A of the </w:t>
      </w:r>
      <w:r w:rsidRPr="00A10686">
        <w:rPr>
          <w:rFonts w:ascii="Verdana" w:hAnsi="Verdana"/>
          <w:i/>
          <w:sz w:val="20"/>
          <w:szCs w:val="20"/>
        </w:rPr>
        <w:t xml:space="preserve">Act Interpretation Act </w:t>
      </w:r>
      <w:r w:rsidRPr="009C3DE5">
        <w:rPr>
          <w:rFonts w:ascii="Verdana" w:hAnsi="Verdana"/>
          <w:sz w:val="20"/>
          <w:szCs w:val="20"/>
        </w:rPr>
        <w:t>1931</w:t>
      </w:r>
      <w:r w:rsidRPr="00A10686">
        <w:rPr>
          <w:rFonts w:ascii="Verdana" w:hAnsi="Verdana"/>
          <w:i/>
          <w:sz w:val="20"/>
          <w:szCs w:val="20"/>
        </w:rPr>
        <w:t xml:space="preserve"> </w:t>
      </w:r>
      <w:r>
        <w:rPr>
          <w:rFonts w:ascii="Verdana" w:hAnsi="Verdana"/>
          <w:sz w:val="20"/>
          <w:szCs w:val="20"/>
        </w:rPr>
        <w:t xml:space="preserve">(AI Act) </w:t>
      </w:r>
      <w:r w:rsidRPr="00A10686">
        <w:rPr>
          <w:rFonts w:ascii="Verdana" w:hAnsi="Verdana"/>
          <w:sz w:val="20"/>
          <w:szCs w:val="20"/>
        </w:rPr>
        <w:t xml:space="preserve">deals with the meaning of “prescribed” and </w:t>
      </w:r>
      <w:r>
        <w:rPr>
          <w:rFonts w:ascii="Verdana" w:hAnsi="Verdana"/>
          <w:sz w:val="20"/>
          <w:szCs w:val="20"/>
        </w:rPr>
        <w:t>references to Acts.</w:t>
      </w:r>
    </w:p>
    <w:p w:rsidR="00A10686" w:rsidRPr="00A10686" w:rsidRDefault="00A10686" w:rsidP="008B422A">
      <w:pPr>
        <w:tabs>
          <w:tab w:val="left" w:pos="709"/>
        </w:tabs>
        <w:suppressAutoHyphens/>
        <w:rPr>
          <w:rFonts w:ascii="Verdana" w:hAnsi="Verdana"/>
          <w:sz w:val="20"/>
          <w:szCs w:val="20"/>
        </w:rPr>
      </w:pPr>
    </w:p>
    <w:p w:rsidR="00A10686" w:rsidRDefault="00A10686" w:rsidP="008B422A">
      <w:pPr>
        <w:pStyle w:val="ListParagraph"/>
        <w:numPr>
          <w:ilvl w:val="0"/>
          <w:numId w:val="11"/>
        </w:numPr>
        <w:tabs>
          <w:tab w:val="left" w:pos="709"/>
        </w:tabs>
        <w:suppressAutoHyphens/>
        <w:ind w:left="0" w:firstLine="0"/>
        <w:rPr>
          <w:rFonts w:ascii="Verdana" w:hAnsi="Verdana"/>
          <w:sz w:val="20"/>
          <w:szCs w:val="20"/>
        </w:rPr>
      </w:pPr>
      <w:r>
        <w:rPr>
          <w:rFonts w:ascii="Verdana" w:hAnsi="Verdana"/>
          <w:sz w:val="20"/>
          <w:szCs w:val="20"/>
        </w:rPr>
        <w:t>Section 7 of the AI Act provides:</w:t>
      </w:r>
    </w:p>
    <w:p w:rsidR="00A10686" w:rsidRDefault="00A10686" w:rsidP="00A10686">
      <w:pPr>
        <w:tabs>
          <w:tab w:val="left" w:pos="709"/>
        </w:tabs>
        <w:suppressAutoHyphens/>
        <w:rPr>
          <w:rFonts w:ascii="Verdana" w:hAnsi="Verdana"/>
          <w:sz w:val="20"/>
          <w:szCs w:val="20"/>
        </w:rPr>
      </w:pPr>
    </w:p>
    <w:p w:rsidR="00A10686" w:rsidRPr="00A10686" w:rsidRDefault="00A10686" w:rsidP="00A10686">
      <w:pPr>
        <w:tabs>
          <w:tab w:val="left" w:pos="709"/>
        </w:tabs>
        <w:suppressAutoHyphens/>
        <w:rPr>
          <w:rFonts w:ascii="Verdana" w:hAnsi="Verdana"/>
          <w:sz w:val="20"/>
          <w:szCs w:val="20"/>
        </w:rPr>
      </w:pPr>
      <w:r w:rsidRPr="00A10686">
        <w:rPr>
          <w:rFonts w:ascii="Verdana" w:hAnsi="Verdana"/>
          <w:sz w:val="20"/>
          <w:szCs w:val="20"/>
        </w:rPr>
        <w:t>In any Act, the expression prescribed –</w:t>
      </w:r>
    </w:p>
    <w:p w:rsidR="00A10686" w:rsidRPr="00A10686" w:rsidRDefault="00A10686" w:rsidP="00127723">
      <w:pPr>
        <w:tabs>
          <w:tab w:val="left" w:pos="709"/>
        </w:tabs>
        <w:suppressAutoHyphens/>
        <w:ind w:right="1082"/>
        <w:rPr>
          <w:rFonts w:ascii="Verdana" w:hAnsi="Verdana"/>
          <w:sz w:val="20"/>
          <w:szCs w:val="20"/>
        </w:rPr>
      </w:pPr>
    </w:p>
    <w:p w:rsidR="00A10686" w:rsidRPr="00A10686" w:rsidRDefault="00A10686" w:rsidP="00127723">
      <w:pPr>
        <w:tabs>
          <w:tab w:val="left" w:pos="1418"/>
        </w:tabs>
        <w:suppressAutoHyphens/>
        <w:ind w:left="1418" w:right="1082" w:hanging="709"/>
        <w:jc w:val="both"/>
        <w:rPr>
          <w:rFonts w:ascii="Verdana" w:hAnsi="Verdana"/>
          <w:sz w:val="20"/>
          <w:szCs w:val="20"/>
        </w:rPr>
      </w:pPr>
      <w:r>
        <w:rPr>
          <w:rFonts w:ascii="Verdana" w:hAnsi="Verdana"/>
          <w:sz w:val="20"/>
          <w:szCs w:val="20"/>
        </w:rPr>
        <w:tab/>
      </w:r>
      <w:r w:rsidRPr="00A10686">
        <w:rPr>
          <w:rFonts w:ascii="Verdana" w:hAnsi="Verdana"/>
          <w:sz w:val="20"/>
          <w:szCs w:val="20"/>
        </w:rPr>
        <w:t xml:space="preserve">(a) </w:t>
      </w:r>
      <w:proofErr w:type="gramStart"/>
      <w:r w:rsidRPr="00A10686">
        <w:rPr>
          <w:rFonts w:ascii="Verdana" w:hAnsi="Verdana"/>
          <w:sz w:val="20"/>
          <w:szCs w:val="20"/>
        </w:rPr>
        <w:t>means</w:t>
      </w:r>
      <w:proofErr w:type="gramEnd"/>
      <w:r w:rsidRPr="00A10686">
        <w:rPr>
          <w:rFonts w:ascii="Verdana" w:hAnsi="Verdana"/>
          <w:sz w:val="20"/>
          <w:szCs w:val="20"/>
        </w:rPr>
        <w:t xml:space="preserve"> prescribed by, or by regulations made under, the Act in which the word appears; and</w:t>
      </w:r>
    </w:p>
    <w:p w:rsidR="00A10686" w:rsidRPr="00A10686" w:rsidRDefault="00A10686" w:rsidP="00127723">
      <w:pPr>
        <w:tabs>
          <w:tab w:val="left" w:pos="709"/>
        </w:tabs>
        <w:suppressAutoHyphens/>
        <w:ind w:right="1082"/>
        <w:jc w:val="both"/>
        <w:rPr>
          <w:rFonts w:ascii="Verdana" w:hAnsi="Verdana"/>
          <w:sz w:val="20"/>
          <w:szCs w:val="20"/>
        </w:rPr>
      </w:pPr>
      <w:r>
        <w:rPr>
          <w:rFonts w:ascii="Verdana" w:hAnsi="Verdana"/>
          <w:sz w:val="20"/>
          <w:szCs w:val="20"/>
        </w:rPr>
        <w:tab/>
      </w:r>
    </w:p>
    <w:p w:rsidR="00A10686" w:rsidRDefault="00A10686" w:rsidP="00127723">
      <w:pPr>
        <w:tabs>
          <w:tab w:val="left" w:pos="1418"/>
        </w:tabs>
        <w:suppressAutoHyphens/>
        <w:ind w:left="1418" w:right="1082" w:hanging="709"/>
        <w:jc w:val="both"/>
        <w:rPr>
          <w:rFonts w:ascii="Verdana" w:hAnsi="Verdana"/>
          <w:sz w:val="20"/>
          <w:szCs w:val="20"/>
        </w:rPr>
      </w:pPr>
      <w:r>
        <w:rPr>
          <w:rFonts w:ascii="Verdana" w:hAnsi="Verdana"/>
          <w:sz w:val="20"/>
          <w:szCs w:val="20"/>
        </w:rPr>
        <w:tab/>
      </w:r>
      <w:r w:rsidRPr="00A10686">
        <w:rPr>
          <w:rFonts w:ascii="Verdana" w:hAnsi="Verdana"/>
          <w:sz w:val="20"/>
          <w:szCs w:val="20"/>
        </w:rPr>
        <w:t xml:space="preserve">(b) </w:t>
      </w:r>
      <w:proofErr w:type="gramStart"/>
      <w:r w:rsidRPr="00A10686">
        <w:rPr>
          <w:rFonts w:ascii="Verdana" w:hAnsi="Verdana"/>
          <w:sz w:val="20"/>
          <w:szCs w:val="20"/>
        </w:rPr>
        <w:t>where</w:t>
      </w:r>
      <w:proofErr w:type="gramEnd"/>
      <w:r w:rsidRPr="00A10686">
        <w:rPr>
          <w:rFonts w:ascii="Verdana" w:hAnsi="Verdana"/>
          <w:sz w:val="20"/>
          <w:szCs w:val="20"/>
        </w:rPr>
        <w:t xml:space="preserve"> reference is made to anything prescribed by an Act other than the Act in which the word appears, includes anything prescribed by any regulation made under that other Act.</w:t>
      </w:r>
      <w:r>
        <w:rPr>
          <w:rFonts w:ascii="Verdana" w:hAnsi="Verdana"/>
          <w:sz w:val="20"/>
          <w:szCs w:val="20"/>
        </w:rPr>
        <w:tab/>
      </w:r>
    </w:p>
    <w:p w:rsidR="00A10686" w:rsidRDefault="00A10686" w:rsidP="00801CD2">
      <w:pPr>
        <w:tabs>
          <w:tab w:val="left" w:pos="709"/>
        </w:tabs>
        <w:suppressAutoHyphens/>
        <w:jc w:val="both"/>
        <w:rPr>
          <w:rFonts w:ascii="Verdana" w:hAnsi="Verdana"/>
          <w:sz w:val="20"/>
          <w:szCs w:val="20"/>
        </w:rPr>
      </w:pPr>
    </w:p>
    <w:p w:rsidR="00801CD2" w:rsidRPr="002648CB" w:rsidRDefault="00801CD2" w:rsidP="000E29C2">
      <w:pPr>
        <w:pStyle w:val="ListParagraph"/>
        <w:numPr>
          <w:ilvl w:val="0"/>
          <w:numId w:val="11"/>
        </w:numPr>
        <w:tabs>
          <w:tab w:val="left" w:pos="709"/>
        </w:tabs>
        <w:suppressAutoHyphens/>
        <w:ind w:left="0" w:firstLine="0"/>
        <w:rPr>
          <w:rFonts w:ascii="Verdana" w:hAnsi="Verdana"/>
          <w:sz w:val="20"/>
          <w:szCs w:val="20"/>
        </w:rPr>
      </w:pPr>
      <w:r w:rsidRPr="002648CB">
        <w:rPr>
          <w:rFonts w:ascii="Verdana" w:hAnsi="Verdana"/>
          <w:b/>
          <w:sz w:val="20"/>
          <w:szCs w:val="20"/>
        </w:rPr>
        <w:tab/>
      </w:r>
      <w:r w:rsidRPr="002648CB">
        <w:rPr>
          <w:rFonts w:ascii="Verdana" w:hAnsi="Verdana"/>
          <w:sz w:val="20"/>
          <w:szCs w:val="20"/>
        </w:rPr>
        <w:t>The section is to the effect that “prescribed” means prescribed under the act in which the word appears unles</w:t>
      </w:r>
      <w:r w:rsidR="0098759A">
        <w:rPr>
          <w:rFonts w:ascii="Verdana" w:hAnsi="Verdana"/>
          <w:sz w:val="20"/>
          <w:szCs w:val="20"/>
        </w:rPr>
        <w:t xml:space="preserve">s the act refers to another act which in the present </w:t>
      </w:r>
      <w:proofErr w:type="gramStart"/>
      <w:r w:rsidR="0098759A">
        <w:rPr>
          <w:rFonts w:ascii="Verdana" w:hAnsi="Verdana"/>
          <w:sz w:val="20"/>
          <w:szCs w:val="20"/>
        </w:rPr>
        <w:t>case</w:t>
      </w:r>
      <w:proofErr w:type="gramEnd"/>
      <w:r w:rsidR="0098759A">
        <w:rPr>
          <w:rFonts w:ascii="Verdana" w:hAnsi="Verdana"/>
          <w:sz w:val="20"/>
          <w:szCs w:val="20"/>
        </w:rPr>
        <w:t xml:space="preserve"> it does not.</w:t>
      </w:r>
    </w:p>
    <w:p w:rsidR="00801CD2" w:rsidRDefault="00801CD2" w:rsidP="000E29C2">
      <w:pPr>
        <w:tabs>
          <w:tab w:val="left" w:pos="709"/>
        </w:tabs>
        <w:suppressAutoHyphens/>
        <w:jc w:val="both"/>
        <w:rPr>
          <w:rFonts w:ascii="Verdana" w:hAnsi="Verdana"/>
          <w:sz w:val="20"/>
          <w:szCs w:val="20"/>
        </w:rPr>
      </w:pPr>
    </w:p>
    <w:p w:rsidR="00801CD2" w:rsidRPr="002648CB" w:rsidRDefault="0098759A" w:rsidP="000E29C2">
      <w:pPr>
        <w:pStyle w:val="ListParagraph"/>
        <w:numPr>
          <w:ilvl w:val="0"/>
          <w:numId w:val="11"/>
        </w:numPr>
        <w:tabs>
          <w:tab w:val="left" w:pos="709"/>
        </w:tabs>
        <w:suppressAutoHyphens/>
        <w:ind w:left="0" w:firstLine="0"/>
        <w:rPr>
          <w:rFonts w:ascii="Verdana" w:hAnsi="Verdana"/>
          <w:sz w:val="20"/>
          <w:szCs w:val="20"/>
        </w:rPr>
      </w:pPr>
      <w:r>
        <w:rPr>
          <w:rFonts w:ascii="Verdana" w:hAnsi="Verdana"/>
          <w:sz w:val="20"/>
          <w:szCs w:val="20"/>
        </w:rPr>
        <w:t>Section 7A (1)</w:t>
      </w:r>
      <w:r w:rsidR="00801CD2" w:rsidRPr="002648CB">
        <w:rPr>
          <w:rFonts w:ascii="Verdana" w:hAnsi="Verdana"/>
          <w:sz w:val="20"/>
          <w:szCs w:val="20"/>
        </w:rPr>
        <w:t xml:space="preserve"> and (2) of the AI Act provide:</w:t>
      </w:r>
    </w:p>
    <w:p w:rsidR="00801CD2" w:rsidRDefault="00801CD2" w:rsidP="0069038B">
      <w:pPr>
        <w:tabs>
          <w:tab w:val="left" w:pos="709"/>
        </w:tabs>
        <w:suppressAutoHyphens/>
        <w:ind w:left="705" w:hanging="720"/>
        <w:jc w:val="both"/>
        <w:rPr>
          <w:rFonts w:ascii="Verdana" w:hAnsi="Verdana"/>
          <w:sz w:val="20"/>
          <w:szCs w:val="20"/>
        </w:rPr>
      </w:pPr>
    </w:p>
    <w:p w:rsidR="00801CD2" w:rsidRPr="00801CD2" w:rsidRDefault="00801CD2" w:rsidP="00282891">
      <w:pPr>
        <w:tabs>
          <w:tab w:val="left" w:pos="709"/>
        </w:tabs>
        <w:suppressAutoHyphens/>
        <w:ind w:left="1440" w:right="1082" w:hanging="720"/>
        <w:jc w:val="both"/>
        <w:rPr>
          <w:rFonts w:ascii="Verdana" w:hAnsi="Verdana"/>
          <w:sz w:val="20"/>
          <w:szCs w:val="20"/>
        </w:rPr>
      </w:pPr>
      <w:r>
        <w:rPr>
          <w:rFonts w:ascii="Verdana" w:hAnsi="Verdana"/>
          <w:sz w:val="20"/>
          <w:szCs w:val="20"/>
        </w:rPr>
        <w:tab/>
      </w:r>
      <w:r w:rsidRPr="00801CD2">
        <w:rPr>
          <w:rFonts w:ascii="Verdana" w:hAnsi="Verdana"/>
          <w:sz w:val="20"/>
          <w:szCs w:val="20"/>
        </w:rPr>
        <w:t>(1) Where in an Act reference is made to a Part, division, section, Schedule, or form without anything in the context to indicate that a reference to a Part, division, section, Schedule, or form of some other Act is intended, the reference shall be construed as a reference to a Part, division, section, Schedule, or form of the Act in which the reference is made.</w:t>
      </w:r>
    </w:p>
    <w:p w:rsidR="00A10686" w:rsidRDefault="00801CD2" w:rsidP="00282891">
      <w:pPr>
        <w:tabs>
          <w:tab w:val="left" w:pos="709"/>
        </w:tabs>
        <w:suppressAutoHyphens/>
        <w:ind w:left="1440" w:right="1082" w:hanging="720"/>
        <w:jc w:val="both"/>
        <w:rPr>
          <w:rFonts w:ascii="Verdana" w:hAnsi="Verdana"/>
          <w:sz w:val="20"/>
          <w:szCs w:val="20"/>
        </w:rPr>
      </w:pPr>
      <w:r>
        <w:rPr>
          <w:rFonts w:ascii="Verdana" w:hAnsi="Verdana"/>
          <w:sz w:val="20"/>
          <w:szCs w:val="20"/>
        </w:rPr>
        <w:lastRenderedPageBreak/>
        <w:tab/>
      </w:r>
      <w:r w:rsidRPr="00801CD2">
        <w:rPr>
          <w:rFonts w:ascii="Verdana" w:hAnsi="Verdana"/>
          <w:sz w:val="20"/>
          <w:szCs w:val="20"/>
        </w:rPr>
        <w:t>(2) Where in a section of an Act reference is made to a subsection, paragraph, subparagraph, or other division without anything in the context to indicate that a reference to a subsection, paragraph, subparagraph, or other division of some other section or provision is intended, the reference shall be construed as a reference to a subsection, paragraph, subparagraph, or other division of the section in which the reference is made.</w:t>
      </w:r>
    </w:p>
    <w:p w:rsidR="00801CD2" w:rsidRDefault="00801CD2" w:rsidP="0069038B">
      <w:pPr>
        <w:tabs>
          <w:tab w:val="left" w:pos="709"/>
        </w:tabs>
        <w:suppressAutoHyphens/>
        <w:ind w:left="705" w:hanging="720"/>
        <w:jc w:val="both"/>
        <w:rPr>
          <w:rFonts w:ascii="Verdana" w:hAnsi="Verdana"/>
          <w:sz w:val="20"/>
          <w:szCs w:val="20"/>
        </w:rPr>
      </w:pPr>
    </w:p>
    <w:p w:rsidR="00801CD2" w:rsidRPr="002648CB" w:rsidRDefault="00801CD2" w:rsidP="000E29C2">
      <w:pPr>
        <w:pStyle w:val="ListParagraph"/>
        <w:numPr>
          <w:ilvl w:val="0"/>
          <w:numId w:val="11"/>
        </w:numPr>
        <w:tabs>
          <w:tab w:val="left" w:pos="709"/>
        </w:tabs>
        <w:suppressAutoHyphens/>
        <w:ind w:left="0" w:firstLine="0"/>
        <w:rPr>
          <w:rFonts w:ascii="Verdana" w:hAnsi="Verdana"/>
          <w:sz w:val="20"/>
          <w:szCs w:val="20"/>
        </w:rPr>
      </w:pPr>
      <w:r w:rsidRPr="002648CB">
        <w:rPr>
          <w:rFonts w:ascii="Verdana" w:hAnsi="Verdana"/>
          <w:sz w:val="20"/>
          <w:szCs w:val="20"/>
        </w:rPr>
        <w:t>The respondent refers to and relies on subsection (1).  However the reference in 14(1) of the Act is to another subsection of the Act and not a part, division, section, schedule or form. As such the correct provision of the AI Act engaged in these c</w:t>
      </w:r>
      <w:r w:rsidR="00C95537" w:rsidRPr="002648CB">
        <w:rPr>
          <w:rFonts w:ascii="Verdana" w:hAnsi="Verdana"/>
          <w:sz w:val="20"/>
          <w:szCs w:val="20"/>
        </w:rPr>
        <w:t xml:space="preserve">ircumstances is subsection (2). Clearly therefore the reference to subsection (2) in s. 14(1) of the Act is a reference to </w:t>
      </w:r>
      <w:proofErr w:type="gramStart"/>
      <w:r w:rsidR="00C95537" w:rsidRPr="002648CB">
        <w:rPr>
          <w:rFonts w:ascii="Verdana" w:hAnsi="Verdana"/>
          <w:sz w:val="20"/>
          <w:szCs w:val="20"/>
        </w:rPr>
        <w:t>s.14(</w:t>
      </w:r>
      <w:proofErr w:type="gramEnd"/>
      <w:r w:rsidR="00C95537" w:rsidRPr="002648CB">
        <w:rPr>
          <w:rFonts w:ascii="Verdana" w:hAnsi="Verdana"/>
          <w:sz w:val="20"/>
          <w:szCs w:val="20"/>
        </w:rPr>
        <w:t>2) only.</w:t>
      </w:r>
    </w:p>
    <w:p w:rsidR="00C95537" w:rsidRDefault="00C95537" w:rsidP="000E29C2">
      <w:pPr>
        <w:tabs>
          <w:tab w:val="left" w:pos="709"/>
        </w:tabs>
        <w:suppressAutoHyphens/>
        <w:jc w:val="both"/>
        <w:rPr>
          <w:rFonts w:ascii="Verdana" w:hAnsi="Verdana"/>
          <w:sz w:val="20"/>
          <w:szCs w:val="20"/>
        </w:rPr>
      </w:pPr>
    </w:p>
    <w:p w:rsidR="00C95537" w:rsidRPr="002648CB" w:rsidRDefault="00C95537" w:rsidP="000E29C2">
      <w:pPr>
        <w:pStyle w:val="ListParagraph"/>
        <w:numPr>
          <w:ilvl w:val="0"/>
          <w:numId w:val="11"/>
        </w:numPr>
        <w:tabs>
          <w:tab w:val="left" w:pos="709"/>
        </w:tabs>
        <w:suppressAutoHyphens/>
        <w:ind w:left="0" w:firstLine="0"/>
        <w:rPr>
          <w:rFonts w:ascii="Verdana" w:hAnsi="Verdana"/>
          <w:sz w:val="20"/>
          <w:szCs w:val="20"/>
        </w:rPr>
      </w:pPr>
      <w:r w:rsidRPr="002648CB">
        <w:rPr>
          <w:rFonts w:ascii="Verdana" w:hAnsi="Verdana"/>
          <w:sz w:val="20"/>
          <w:szCs w:val="20"/>
        </w:rPr>
        <w:t>Accordingly we do not accept the Appellants submission and accept the respondent’s submission that the reference to regulations can only be a reference to regulations made under the Act.</w:t>
      </w:r>
    </w:p>
    <w:p w:rsidR="00C95537" w:rsidRDefault="00C95537" w:rsidP="000E29C2">
      <w:pPr>
        <w:tabs>
          <w:tab w:val="left" w:pos="709"/>
        </w:tabs>
        <w:suppressAutoHyphens/>
        <w:jc w:val="both"/>
        <w:rPr>
          <w:rFonts w:ascii="Verdana" w:hAnsi="Verdana"/>
          <w:sz w:val="20"/>
          <w:szCs w:val="20"/>
        </w:rPr>
      </w:pPr>
    </w:p>
    <w:p w:rsidR="00C95537" w:rsidRPr="002648CB" w:rsidRDefault="00C95537" w:rsidP="000E29C2">
      <w:pPr>
        <w:pStyle w:val="ListParagraph"/>
        <w:numPr>
          <w:ilvl w:val="0"/>
          <w:numId w:val="11"/>
        </w:numPr>
        <w:tabs>
          <w:tab w:val="left" w:pos="709"/>
        </w:tabs>
        <w:suppressAutoHyphens/>
        <w:ind w:left="0" w:firstLine="0"/>
        <w:rPr>
          <w:rFonts w:ascii="Verdana" w:hAnsi="Verdana"/>
          <w:sz w:val="20"/>
          <w:szCs w:val="20"/>
        </w:rPr>
      </w:pPr>
      <w:r w:rsidRPr="002648CB">
        <w:rPr>
          <w:rFonts w:ascii="Verdana" w:hAnsi="Verdana"/>
          <w:sz w:val="20"/>
          <w:szCs w:val="20"/>
        </w:rPr>
        <w:t xml:space="preserve">While the Appellant, wrongly in our view, submitted the </w:t>
      </w:r>
      <w:r w:rsidRPr="002648CB">
        <w:rPr>
          <w:rFonts w:ascii="Verdana" w:hAnsi="Verdana"/>
          <w:i/>
          <w:sz w:val="20"/>
          <w:szCs w:val="20"/>
        </w:rPr>
        <w:t xml:space="preserve">Industrial Relations Act </w:t>
      </w:r>
      <w:r w:rsidRPr="002648CB">
        <w:rPr>
          <w:rFonts w:ascii="Verdana" w:hAnsi="Verdana"/>
          <w:sz w:val="20"/>
          <w:szCs w:val="20"/>
        </w:rPr>
        <w:t xml:space="preserve">assisted its case the Respondent simply submitted that the Commission had no power to deal with the matter as there were no regulations. However the Respondent referred to no authority to support her position. </w:t>
      </w:r>
    </w:p>
    <w:p w:rsidR="003942B7" w:rsidRPr="00B47F97" w:rsidRDefault="003942B7" w:rsidP="00AC7B3E">
      <w:pPr>
        <w:tabs>
          <w:tab w:val="left" w:pos="709"/>
        </w:tabs>
        <w:suppressAutoHyphens/>
        <w:jc w:val="both"/>
        <w:rPr>
          <w:rFonts w:ascii="Verdana" w:hAnsi="Verdana"/>
          <w:sz w:val="20"/>
          <w:szCs w:val="20"/>
        </w:rPr>
      </w:pPr>
    </w:p>
    <w:p w:rsidR="00B47F97" w:rsidRPr="00603987" w:rsidRDefault="00E6318D" w:rsidP="00E6318D">
      <w:pPr>
        <w:tabs>
          <w:tab w:val="left" w:pos="709"/>
        </w:tabs>
        <w:suppressAutoHyphens/>
        <w:ind w:hanging="709"/>
        <w:rPr>
          <w:rFonts w:ascii="Verdana" w:hAnsi="Verdana"/>
          <w:i/>
          <w:sz w:val="20"/>
          <w:szCs w:val="20"/>
        </w:rPr>
      </w:pPr>
      <w:r>
        <w:rPr>
          <w:rFonts w:ascii="Verdana" w:hAnsi="Verdana"/>
          <w:i/>
          <w:sz w:val="20"/>
          <w:szCs w:val="20"/>
        </w:rPr>
        <w:tab/>
      </w:r>
      <w:r w:rsidR="00B47F97" w:rsidRPr="00603987">
        <w:rPr>
          <w:rFonts w:ascii="Verdana" w:hAnsi="Verdana"/>
          <w:i/>
          <w:sz w:val="20"/>
          <w:szCs w:val="20"/>
        </w:rPr>
        <w:t>A question of construction</w:t>
      </w:r>
    </w:p>
    <w:p w:rsidR="003942B7" w:rsidRPr="00B47F97" w:rsidRDefault="003942B7" w:rsidP="00E6318D">
      <w:pPr>
        <w:tabs>
          <w:tab w:val="left" w:pos="709"/>
        </w:tabs>
        <w:suppressAutoHyphens/>
        <w:ind w:hanging="709"/>
        <w:jc w:val="both"/>
        <w:rPr>
          <w:rFonts w:ascii="Verdana" w:hAnsi="Verdana"/>
          <w:i/>
          <w:sz w:val="20"/>
          <w:szCs w:val="20"/>
        </w:rPr>
      </w:pPr>
    </w:p>
    <w:p w:rsidR="00B47F97" w:rsidRPr="00490C31" w:rsidRDefault="00B47F97" w:rsidP="000E29C2">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The real question is whether as a matter of construction of s. 1</w:t>
      </w:r>
      <w:r w:rsidR="00576FCD">
        <w:rPr>
          <w:rFonts w:ascii="Verdana" w:hAnsi="Verdana"/>
          <w:sz w:val="20"/>
          <w:szCs w:val="20"/>
        </w:rPr>
        <w:t>4 the right to appeal is conditioned</w:t>
      </w:r>
      <w:r w:rsidRPr="00490C31">
        <w:rPr>
          <w:rFonts w:ascii="Verdana" w:hAnsi="Verdana"/>
          <w:sz w:val="20"/>
          <w:szCs w:val="20"/>
        </w:rPr>
        <w:t xml:space="preserve"> by the existence of regulations or whether the right to appeal exists independently to the existence of regulations and can be exercised notwithstanding the absence of regulations.</w:t>
      </w:r>
    </w:p>
    <w:p w:rsidR="003942B7" w:rsidRPr="00B47F97" w:rsidRDefault="003942B7" w:rsidP="000E29C2">
      <w:pPr>
        <w:tabs>
          <w:tab w:val="left" w:pos="709"/>
        </w:tabs>
        <w:suppressAutoHyphens/>
        <w:jc w:val="both"/>
        <w:rPr>
          <w:rFonts w:ascii="Verdana" w:hAnsi="Verdana"/>
          <w:sz w:val="20"/>
          <w:szCs w:val="20"/>
        </w:rPr>
      </w:pPr>
    </w:p>
    <w:p w:rsidR="00B47F97" w:rsidRPr="00490C31" w:rsidRDefault="00B47F97" w:rsidP="000E29C2">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 xml:space="preserve">In </w:t>
      </w:r>
      <w:r w:rsidRPr="00490C31">
        <w:rPr>
          <w:rFonts w:ascii="Verdana" w:hAnsi="Verdana"/>
          <w:i/>
          <w:sz w:val="20"/>
          <w:szCs w:val="20"/>
        </w:rPr>
        <w:t>Downey v Pryor</w:t>
      </w:r>
      <w:r w:rsidRPr="00B47F97">
        <w:rPr>
          <w:rStyle w:val="FootnoteReference"/>
          <w:rFonts w:ascii="Verdana" w:hAnsi="Verdana"/>
          <w:i/>
          <w:sz w:val="20"/>
          <w:szCs w:val="20"/>
        </w:rPr>
        <w:footnoteReference w:id="2"/>
      </w:r>
      <w:r w:rsidRPr="00490C31">
        <w:rPr>
          <w:rFonts w:ascii="Verdana" w:hAnsi="Verdana"/>
          <w:i/>
          <w:sz w:val="20"/>
          <w:szCs w:val="20"/>
        </w:rPr>
        <w:t xml:space="preserve"> </w:t>
      </w:r>
      <w:r w:rsidRPr="00490C31">
        <w:rPr>
          <w:rFonts w:ascii="Verdana" w:hAnsi="Verdana"/>
          <w:sz w:val="20"/>
          <w:szCs w:val="20"/>
        </w:rPr>
        <w:t>the High Court was considering the effect of the absence of prescription of the way in which a right to inspect local government documents was to be exercised. The issue was whether the absence of prescription meant that the right to inspect could not be exercised, or whether it could notwithstanding the precise way in which the inspection was to occur was not prescribed. The court split 2:1 in favour of the view that the inspection could take place. Given that the judges were not all in agreement, and the high authority of the case for present purposes we set out at some length the findings of each judge.</w:t>
      </w:r>
    </w:p>
    <w:p w:rsidR="003942B7" w:rsidRPr="00B47F97" w:rsidRDefault="003942B7" w:rsidP="000E29C2">
      <w:pPr>
        <w:tabs>
          <w:tab w:val="left" w:pos="709"/>
        </w:tabs>
        <w:suppressAutoHyphens/>
        <w:jc w:val="both"/>
        <w:rPr>
          <w:rFonts w:ascii="Verdana" w:hAnsi="Verdana"/>
          <w:sz w:val="20"/>
          <w:szCs w:val="20"/>
        </w:rPr>
      </w:pPr>
    </w:p>
    <w:p w:rsidR="00B47F97" w:rsidRDefault="00B47F97" w:rsidP="000E29C2">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 xml:space="preserve">All the judges in </w:t>
      </w:r>
      <w:r w:rsidRPr="00490C31">
        <w:rPr>
          <w:rFonts w:ascii="Verdana" w:hAnsi="Verdana"/>
          <w:i/>
          <w:sz w:val="20"/>
          <w:szCs w:val="20"/>
        </w:rPr>
        <w:t xml:space="preserve">Downey v Pryor </w:t>
      </w:r>
      <w:r w:rsidRPr="00490C31">
        <w:rPr>
          <w:rFonts w:ascii="Verdana" w:hAnsi="Verdana"/>
          <w:sz w:val="20"/>
          <w:szCs w:val="20"/>
        </w:rPr>
        <w:t>treated the matter as a question of construction and looked to find the intention to be discerned from the relevant section to decide whether the absence of prescription was fatal to the right to inspect.</w:t>
      </w:r>
    </w:p>
    <w:p w:rsidR="00603987" w:rsidRPr="00490C31" w:rsidRDefault="00603987" w:rsidP="00E6318D">
      <w:pPr>
        <w:pStyle w:val="ListParagraph"/>
        <w:tabs>
          <w:tab w:val="left" w:pos="709"/>
        </w:tabs>
        <w:suppressAutoHyphens/>
        <w:ind w:hanging="709"/>
        <w:rPr>
          <w:rFonts w:ascii="Verdana" w:hAnsi="Verdana"/>
          <w:sz w:val="20"/>
          <w:szCs w:val="20"/>
        </w:rPr>
      </w:pPr>
    </w:p>
    <w:p w:rsidR="00B47F97" w:rsidRPr="00490C31" w:rsidRDefault="00B47F97" w:rsidP="00E6318D">
      <w:pPr>
        <w:pStyle w:val="ListParagraph"/>
        <w:tabs>
          <w:tab w:val="left" w:pos="709"/>
        </w:tabs>
        <w:suppressAutoHyphens/>
        <w:ind w:hanging="709"/>
        <w:rPr>
          <w:rFonts w:ascii="Verdana" w:hAnsi="Verdana"/>
          <w:sz w:val="20"/>
          <w:szCs w:val="20"/>
        </w:rPr>
      </w:pPr>
      <w:r w:rsidRPr="00490C31">
        <w:rPr>
          <w:rFonts w:ascii="Verdana" w:hAnsi="Verdana"/>
          <w:sz w:val="20"/>
          <w:szCs w:val="20"/>
        </w:rPr>
        <w:t xml:space="preserve">The relevant provision in </w:t>
      </w:r>
      <w:r w:rsidRPr="00490C31">
        <w:rPr>
          <w:rFonts w:ascii="Verdana" w:hAnsi="Verdana"/>
          <w:i/>
          <w:sz w:val="20"/>
          <w:szCs w:val="20"/>
        </w:rPr>
        <w:t xml:space="preserve">Downey </w:t>
      </w:r>
      <w:r w:rsidRPr="00490C31">
        <w:rPr>
          <w:rFonts w:ascii="Verdana" w:hAnsi="Verdana"/>
          <w:sz w:val="20"/>
          <w:szCs w:val="20"/>
        </w:rPr>
        <w:t>provided that</w:t>
      </w:r>
    </w:p>
    <w:p w:rsidR="003942B7" w:rsidRPr="00B47F97" w:rsidRDefault="003942B7" w:rsidP="00E6318D">
      <w:pPr>
        <w:tabs>
          <w:tab w:val="left" w:pos="709"/>
        </w:tabs>
        <w:suppressAutoHyphens/>
        <w:ind w:hanging="709"/>
        <w:jc w:val="both"/>
        <w:rPr>
          <w:rFonts w:ascii="Verdana" w:hAnsi="Verdana"/>
          <w:sz w:val="20"/>
          <w:szCs w:val="20"/>
        </w:rPr>
      </w:pPr>
    </w:p>
    <w:p w:rsidR="00B47F97" w:rsidRPr="00490C31" w:rsidRDefault="00576FCD" w:rsidP="00CB5499">
      <w:pPr>
        <w:pStyle w:val="ListParagraph"/>
        <w:tabs>
          <w:tab w:val="left" w:pos="709"/>
        </w:tabs>
        <w:suppressAutoHyphens/>
        <w:ind w:left="1440" w:right="1082" w:hanging="709"/>
        <w:rPr>
          <w:rFonts w:ascii="Verdana" w:hAnsi="Verdana"/>
          <w:sz w:val="20"/>
          <w:szCs w:val="20"/>
        </w:rPr>
      </w:pPr>
      <w:r>
        <w:rPr>
          <w:rFonts w:ascii="Verdana" w:hAnsi="Verdana"/>
          <w:sz w:val="20"/>
          <w:szCs w:val="20"/>
        </w:rPr>
        <w:tab/>
      </w:r>
      <w:r w:rsidR="00B47F97" w:rsidRPr="00490C31">
        <w:rPr>
          <w:rFonts w:ascii="Verdana" w:hAnsi="Verdana"/>
          <w:sz w:val="20"/>
          <w:szCs w:val="20"/>
        </w:rPr>
        <w:t>"Any elector may at the council's office inspect the books of account and the report of the auditor or of an inspector of local government accounts without fee as prescribed".</w:t>
      </w:r>
    </w:p>
    <w:p w:rsidR="003942B7" w:rsidRPr="00B47F97" w:rsidRDefault="003942B7" w:rsidP="00E6318D">
      <w:pPr>
        <w:tabs>
          <w:tab w:val="left" w:pos="709"/>
        </w:tabs>
        <w:suppressAutoHyphens/>
        <w:ind w:left="720" w:hanging="709"/>
        <w:jc w:val="both"/>
        <w:rPr>
          <w:rFonts w:ascii="Verdana" w:hAnsi="Verdana"/>
          <w:sz w:val="20"/>
          <w:szCs w:val="20"/>
        </w:rPr>
      </w:pPr>
    </w:p>
    <w:p w:rsidR="00B47F97" w:rsidRPr="00E75932" w:rsidRDefault="000E29C2" w:rsidP="00E6318D">
      <w:pPr>
        <w:tabs>
          <w:tab w:val="left" w:pos="709"/>
        </w:tabs>
        <w:suppressAutoHyphens/>
        <w:ind w:hanging="709"/>
        <w:rPr>
          <w:rFonts w:ascii="Verdana" w:hAnsi="Verdana"/>
          <w:sz w:val="20"/>
          <w:szCs w:val="20"/>
        </w:rPr>
      </w:pPr>
      <w:r>
        <w:rPr>
          <w:rFonts w:ascii="Verdana" w:hAnsi="Verdana"/>
          <w:sz w:val="20"/>
          <w:szCs w:val="20"/>
        </w:rPr>
        <w:tab/>
      </w:r>
      <w:r w:rsidR="00B47F97" w:rsidRPr="00E75932">
        <w:rPr>
          <w:rFonts w:ascii="Verdana" w:hAnsi="Verdana"/>
          <w:sz w:val="20"/>
          <w:szCs w:val="20"/>
        </w:rPr>
        <w:t xml:space="preserve">Dissenting </w:t>
      </w:r>
      <w:proofErr w:type="spellStart"/>
      <w:r w:rsidR="00B47F97" w:rsidRPr="00E75932">
        <w:rPr>
          <w:rFonts w:ascii="Verdana" w:hAnsi="Verdana"/>
          <w:sz w:val="20"/>
          <w:szCs w:val="20"/>
        </w:rPr>
        <w:t>McTiernan</w:t>
      </w:r>
      <w:proofErr w:type="spellEnd"/>
      <w:r w:rsidR="00B47F97" w:rsidRPr="00E75932">
        <w:rPr>
          <w:rFonts w:ascii="Verdana" w:hAnsi="Verdana"/>
          <w:sz w:val="20"/>
          <w:szCs w:val="20"/>
        </w:rPr>
        <w:t xml:space="preserve"> J said</w:t>
      </w:r>
      <w:r w:rsidR="00B47F97" w:rsidRPr="00B47F97">
        <w:rPr>
          <w:rStyle w:val="FootnoteReference"/>
          <w:rFonts w:ascii="Verdana" w:hAnsi="Verdana"/>
          <w:sz w:val="20"/>
          <w:szCs w:val="20"/>
        </w:rPr>
        <w:footnoteReference w:id="3"/>
      </w:r>
    </w:p>
    <w:p w:rsidR="003942B7" w:rsidRPr="00B47F97" w:rsidRDefault="003942B7" w:rsidP="00E6318D">
      <w:pPr>
        <w:tabs>
          <w:tab w:val="left" w:pos="709"/>
        </w:tabs>
        <w:suppressAutoHyphens/>
        <w:ind w:hanging="709"/>
        <w:jc w:val="both"/>
        <w:rPr>
          <w:rFonts w:ascii="Verdana" w:hAnsi="Verdana"/>
          <w:sz w:val="20"/>
          <w:szCs w:val="20"/>
        </w:rPr>
      </w:pPr>
    </w:p>
    <w:p w:rsidR="00B47F97" w:rsidRPr="00490C31" w:rsidRDefault="00E6318D" w:rsidP="00CB5499">
      <w:pPr>
        <w:pStyle w:val="ListParagraph"/>
        <w:tabs>
          <w:tab w:val="left" w:pos="709"/>
        </w:tabs>
        <w:suppressAutoHyphens/>
        <w:ind w:left="1440" w:right="1082" w:hanging="709"/>
        <w:rPr>
          <w:rFonts w:ascii="Verdana" w:hAnsi="Verdana"/>
          <w:i/>
          <w:sz w:val="20"/>
          <w:szCs w:val="20"/>
        </w:rPr>
      </w:pPr>
      <w:r>
        <w:rPr>
          <w:rFonts w:ascii="Verdana" w:hAnsi="Verdana"/>
          <w:sz w:val="20"/>
          <w:szCs w:val="20"/>
        </w:rPr>
        <w:lastRenderedPageBreak/>
        <w:tab/>
      </w:r>
      <w:r w:rsidR="00B47F97" w:rsidRPr="00490C31">
        <w:rPr>
          <w:rFonts w:ascii="Verdana" w:hAnsi="Verdana"/>
          <w:sz w:val="20"/>
          <w:szCs w:val="20"/>
        </w:rPr>
        <w:t xml:space="preserve">In my opinion, the words “as prescribed” are an essential part of what s. 215 enacts for giving a right to an elector to inspect the books of account of the council and the reports mentioned in the section. </w:t>
      </w:r>
      <w:r w:rsidR="00B47F97" w:rsidRPr="00490C31">
        <w:rPr>
          <w:rFonts w:ascii="Verdana" w:hAnsi="Verdana"/>
          <w:i/>
          <w:sz w:val="20"/>
          <w:szCs w:val="20"/>
        </w:rPr>
        <w:t>I think that the intention of the section is to give him</w:t>
      </w:r>
      <w:r w:rsidR="00B47F97" w:rsidRPr="00490C31">
        <w:rPr>
          <w:rFonts w:ascii="Verdana" w:hAnsi="Verdana"/>
          <w:sz w:val="20"/>
          <w:szCs w:val="20"/>
        </w:rPr>
        <w:t xml:space="preserve"> </w:t>
      </w:r>
      <w:r w:rsidR="00B47F97" w:rsidRPr="00490C31">
        <w:rPr>
          <w:rFonts w:ascii="Verdana" w:hAnsi="Verdana"/>
          <w:i/>
          <w:sz w:val="20"/>
          <w:szCs w:val="20"/>
        </w:rPr>
        <w:t>a right to inspect such books and reports in accordance with the provisions of an ordinance to be made</w:t>
      </w:r>
      <w:r w:rsidR="00B47F97" w:rsidRPr="00490C31">
        <w:rPr>
          <w:rFonts w:ascii="Verdana" w:hAnsi="Verdana"/>
          <w:sz w:val="20"/>
          <w:szCs w:val="20"/>
        </w:rPr>
        <w:t xml:space="preserve"> </w:t>
      </w:r>
      <w:r w:rsidR="00B47F97" w:rsidRPr="00490C31">
        <w:rPr>
          <w:rFonts w:ascii="Verdana" w:hAnsi="Verdana"/>
          <w:i/>
          <w:sz w:val="20"/>
          <w:szCs w:val="20"/>
        </w:rPr>
        <w:t>under s. 218 (m) and that no complete right of inspection arises until the ordinance is duly made</w:t>
      </w:r>
      <w:r w:rsidR="00B47F97" w:rsidRPr="00490C31">
        <w:rPr>
          <w:rFonts w:ascii="Verdana" w:hAnsi="Verdana"/>
          <w:sz w:val="20"/>
          <w:szCs w:val="20"/>
        </w:rPr>
        <w:t xml:space="preserve">. </w:t>
      </w:r>
      <w:r w:rsidR="00B47F97" w:rsidRPr="00490C31">
        <w:rPr>
          <w:rFonts w:ascii="Verdana" w:hAnsi="Verdana"/>
          <w:i/>
          <w:sz w:val="20"/>
          <w:szCs w:val="20"/>
        </w:rPr>
        <w:t>This means in effect that s. 215 is only an inchoate enactment.</w:t>
      </w:r>
    </w:p>
    <w:p w:rsidR="003942B7" w:rsidRPr="00B47F97" w:rsidRDefault="003942B7" w:rsidP="00CB5499">
      <w:pPr>
        <w:tabs>
          <w:tab w:val="left" w:pos="709"/>
        </w:tabs>
        <w:suppressAutoHyphens/>
        <w:ind w:left="720" w:right="1082" w:hanging="709"/>
        <w:jc w:val="both"/>
        <w:rPr>
          <w:rFonts w:ascii="Verdana" w:hAnsi="Verdana"/>
          <w:i/>
          <w:sz w:val="20"/>
          <w:szCs w:val="20"/>
        </w:rPr>
      </w:pPr>
    </w:p>
    <w:p w:rsidR="00B47F97" w:rsidRPr="00490C31" w:rsidRDefault="00E6318D" w:rsidP="00CB5499">
      <w:pPr>
        <w:pStyle w:val="ListParagraph"/>
        <w:tabs>
          <w:tab w:val="left" w:pos="709"/>
        </w:tabs>
        <w:suppressAutoHyphens/>
        <w:ind w:left="1440" w:right="1082" w:hanging="709"/>
        <w:rPr>
          <w:rFonts w:ascii="Verdana" w:hAnsi="Verdana"/>
          <w:sz w:val="20"/>
          <w:szCs w:val="20"/>
        </w:rPr>
      </w:pPr>
      <w:r>
        <w:rPr>
          <w:rFonts w:ascii="Verdana" w:hAnsi="Verdana"/>
          <w:sz w:val="20"/>
          <w:szCs w:val="20"/>
        </w:rPr>
        <w:tab/>
      </w:r>
      <w:r w:rsidR="00B47F97" w:rsidRPr="00490C31">
        <w:rPr>
          <w:rFonts w:ascii="Verdana" w:hAnsi="Verdana"/>
          <w:sz w:val="20"/>
          <w:szCs w:val="20"/>
        </w:rPr>
        <w:t>I do not agree with the view that the intention of s. 215 is to give a right of inspection which, if no ordinance is made, the elector is intended by the section to exercise in a reasonable manner. What the legislature has enacted is that the inspection is to be made in the manner prescribed, not that there should be a reasonable right of inspection. It is not the intention of the Act, in my opinion, that a member or servant of a council should be liable to a penalty under s. 217, if an elector should seek in his own manner to make an inspection of the books of a council and a magistrate were to consider the manner as reasonable. The right of inspection which s. 215 gives is one to be exercised in the manner prescribed by or under the Act, not in a manner which a magistrate may find to be reasonable.” (</w:t>
      </w:r>
      <w:proofErr w:type="gramStart"/>
      <w:r w:rsidR="00B47F97" w:rsidRPr="00490C31">
        <w:rPr>
          <w:rFonts w:ascii="Verdana" w:hAnsi="Verdana"/>
          <w:sz w:val="20"/>
          <w:szCs w:val="20"/>
        </w:rPr>
        <w:t>our</w:t>
      </w:r>
      <w:proofErr w:type="gramEnd"/>
      <w:r w:rsidR="00B47F97" w:rsidRPr="00490C31">
        <w:rPr>
          <w:rFonts w:ascii="Verdana" w:hAnsi="Verdana"/>
          <w:sz w:val="20"/>
          <w:szCs w:val="20"/>
        </w:rPr>
        <w:t xml:space="preserve"> emphasis)</w:t>
      </w:r>
    </w:p>
    <w:p w:rsidR="003942B7" w:rsidRPr="00B47F97" w:rsidRDefault="003942B7" w:rsidP="00E6318D">
      <w:pPr>
        <w:tabs>
          <w:tab w:val="left" w:pos="709"/>
        </w:tabs>
        <w:suppressAutoHyphens/>
        <w:ind w:left="720" w:hanging="709"/>
        <w:jc w:val="both"/>
        <w:rPr>
          <w:rFonts w:ascii="Verdana" w:hAnsi="Verdana"/>
          <w:sz w:val="20"/>
          <w:szCs w:val="20"/>
        </w:rPr>
      </w:pPr>
    </w:p>
    <w:p w:rsidR="00B47F97" w:rsidRDefault="00B47F97" w:rsidP="000E29C2">
      <w:pPr>
        <w:pStyle w:val="ListParagraph"/>
        <w:tabs>
          <w:tab w:val="left" w:pos="709"/>
        </w:tabs>
        <w:suppressAutoHyphens/>
        <w:ind w:left="11"/>
        <w:rPr>
          <w:rFonts w:ascii="Verdana" w:hAnsi="Verdana"/>
          <w:sz w:val="20"/>
          <w:szCs w:val="20"/>
        </w:rPr>
      </w:pPr>
      <w:r w:rsidRPr="00490C31">
        <w:rPr>
          <w:rFonts w:ascii="Verdana" w:hAnsi="Verdana"/>
          <w:sz w:val="20"/>
          <w:szCs w:val="20"/>
        </w:rPr>
        <w:t>Kitto J, in holding that the absence of prescription was not fatal to the right to inspect said</w:t>
      </w:r>
      <w:r w:rsidRPr="00B47F97">
        <w:rPr>
          <w:rStyle w:val="FootnoteReference"/>
          <w:rFonts w:ascii="Verdana" w:hAnsi="Verdana"/>
          <w:sz w:val="20"/>
          <w:szCs w:val="20"/>
        </w:rPr>
        <w:footnoteReference w:id="4"/>
      </w:r>
    </w:p>
    <w:p w:rsidR="00603987" w:rsidRPr="00490C31" w:rsidRDefault="00603987" w:rsidP="00E6318D">
      <w:pPr>
        <w:pStyle w:val="ListParagraph"/>
        <w:tabs>
          <w:tab w:val="left" w:pos="709"/>
        </w:tabs>
        <w:suppressAutoHyphens/>
        <w:ind w:hanging="709"/>
        <w:rPr>
          <w:rFonts w:ascii="Verdana" w:hAnsi="Verdana"/>
          <w:sz w:val="20"/>
          <w:szCs w:val="20"/>
        </w:rPr>
      </w:pPr>
    </w:p>
    <w:p w:rsidR="00B47F97" w:rsidRPr="00490C31" w:rsidRDefault="00A81F73" w:rsidP="00CB5499">
      <w:pPr>
        <w:pStyle w:val="ListParagraph"/>
        <w:tabs>
          <w:tab w:val="left" w:pos="709"/>
        </w:tabs>
        <w:suppressAutoHyphens/>
        <w:ind w:left="1440" w:right="1082" w:hanging="709"/>
        <w:rPr>
          <w:rFonts w:ascii="Verdana" w:hAnsi="Verdana"/>
          <w:sz w:val="20"/>
          <w:szCs w:val="20"/>
        </w:rPr>
      </w:pPr>
      <w:r>
        <w:rPr>
          <w:rFonts w:ascii="Verdana" w:hAnsi="Verdana"/>
          <w:sz w:val="20"/>
          <w:szCs w:val="20"/>
        </w:rPr>
        <w:tab/>
      </w:r>
      <w:r w:rsidR="009C3DE5">
        <w:rPr>
          <w:rFonts w:ascii="Verdana" w:hAnsi="Verdana"/>
          <w:sz w:val="20"/>
          <w:szCs w:val="20"/>
        </w:rPr>
        <w:t>“</w:t>
      </w:r>
      <w:r w:rsidR="00B47F97" w:rsidRPr="00490C31">
        <w:rPr>
          <w:rFonts w:ascii="Verdana" w:hAnsi="Verdana"/>
          <w:sz w:val="20"/>
          <w:szCs w:val="20"/>
        </w:rPr>
        <w:t xml:space="preserve">Upon consideration of the words themselves, the context, and the nature of the provision, the intention may appear that a prescribed method is of the essence of the authority, so that there is no authority capable of exercise at any given time unless at that time a valid prescription of a method is in force: see, for example, </w:t>
      </w:r>
      <w:r w:rsidR="00B47F97" w:rsidRPr="00490C31">
        <w:rPr>
          <w:rFonts w:ascii="Verdana" w:hAnsi="Verdana"/>
          <w:i/>
          <w:iCs/>
          <w:sz w:val="20"/>
          <w:szCs w:val="20"/>
        </w:rPr>
        <w:t xml:space="preserve">Cameron </w:t>
      </w:r>
      <w:r w:rsidR="00B47F97" w:rsidRPr="00490C31">
        <w:rPr>
          <w:rFonts w:ascii="Verdana" w:hAnsi="Verdana"/>
          <w:sz w:val="20"/>
          <w:szCs w:val="20"/>
        </w:rPr>
        <w:t xml:space="preserve">v. </w:t>
      </w:r>
      <w:r w:rsidR="00B47F97" w:rsidRPr="00490C31">
        <w:rPr>
          <w:rFonts w:ascii="Verdana" w:hAnsi="Verdana"/>
          <w:i/>
          <w:iCs/>
          <w:sz w:val="20"/>
          <w:szCs w:val="20"/>
        </w:rPr>
        <w:t>Deputy Federal Commissioner</w:t>
      </w:r>
      <w:r w:rsidR="00B47F97" w:rsidRPr="00490C31">
        <w:rPr>
          <w:rFonts w:ascii="Verdana" w:hAnsi="Verdana"/>
          <w:sz w:val="20"/>
          <w:szCs w:val="20"/>
        </w:rPr>
        <w:t xml:space="preserve"> </w:t>
      </w:r>
      <w:r w:rsidR="00B47F97" w:rsidRPr="00490C31">
        <w:rPr>
          <w:rFonts w:ascii="Verdana" w:hAnsi="Verdana"/>
          <w:i/>
          <w:iCs/>
          <w:sz w:val="20"/>
          <w:szCs w:val="20"/>
        </w:rPr>
        <w:t xml:space="preserve">of Taxation (Tas.) </w:t>
      </w:r>
      <w:r w:rsidR="00B47F97" w:rsidRPr="00490C31">
        <w:rPr>
          <w:rFonts w:ascii="Verdana" w:hAnsi="Verdana"/>
          <w:sz w:val="20"/>
          <w:szCs w:val="20"/>
        </w:rPr>
        <w:t xml:space="preserve">; </w:t>
      </w:r>
      <w:r w:rsidR="00B47F97" w:rsidRPr="00490C31">
        <w:rPr>
          <w:rFonts w:ascii="Verdana" w:hAnsi="Verdana"/>
          <w:i/>
          <w:iCs/>
          <w:sz w:val="20"/>
          <w:szCs w:val="20"/>
        </w:rPr>
        <w:t xml:space="preserve">Gramophone Co. Ltd. </w:t>
      </w:r>
      <w:r w:rsidR="00B47F97" w:rsidRPr="00490C31">
        <w:rPr>
          <w:rFonts w:ascii="Verdana" w:hAnsi="Verdana"/>
          <w:sz w:val="20"/>
          <w:szCs w:val="20"/>
        </w:rPr>
        <w:t xml:space="preserve">v. </w:t>
      </w:r>
      <w:r w:rsidR="00B47F97" w:rsidRPr="00490C31">
        <w:rPr>
          <w:rFonts w:ascii="Verdana" w:hAnsi="Verdana"/>
          <w:i/>
          <w:iCs/>
          <w:sz w:val="20"/>
          <w:szCs w:val="20"/>
        </w:rPr>
        <w:t>Leo Feist</w:t>
      </w:r>
      <w:r w:rsidR="00B47F97" w:rsidRPr="00490C31">
        <w:rPr>
          <w:rFonts w:ascii="Verdana" w:hAnsi="Verdana"/>
          <w:sz w:val="20"/>
          <w:szCs w:val="20"/>
        </w:rPr>
        <w:t xml:space="preserve"> </w:t>
      </w:r>
      <w:r w:rsidR="00B47F97" w:rsidRPr="00490C31">
        <w:rPr>
          <w:rFonts w:ascii="Verdana" w:hAnsi="Verdana"/>
          <w:i/>
          <w:iCs/>
          <w:sz w:val="20"/>
          <w:szCs w:val="20"/>
        </w:rPr>
        <w:t>Incorporated</w:t>
      </w:r>
      <w:r w:rsidR="00B47F97" w:rsidRPr="00490C31">
        <w:rPr>
          <w:rFonts w:ascii="Verdana" w:hAnsi="Verdana"/>
          <w:sz w:val="20"/>
          <w:szCs w:val="20"/>
        </w:rPr>
        <w:t xml:space="preserve">; </w:t>
      </w:r>
      <w:r w:rsidR="00B47F97" w:rsidRPr="00490C31">
        <w:rPr>
          <w:rFonts w:ascii="Verdana" w:hAnsi="Verdana"/>
          <w:i/>
          <w:iCs/>
          <w:sz w:val="20"/>
          <w:szCs w:val="20"/>
        </w:rPr>
        <w:t xml:space="preserve">Browne </w:t>
      </w:r>
      <w:r w:rsidR="00B47F97" w:rsidRPr="00490C31">
        <w:rPr>
          <w:rFonts w:ascii="Verdana" w:hAnsi="Verdana"/>
          <w:sz w:val="20"/>
          <w:szCs w:val="20"/>
        </w:rPr>
        <w:t xml:space="preserve">v. </w:t>
      </w:r>
      <w:r w:rsidR="00B47F97" w:rsidRPr="00490C31">
        <w:rPr>
          <w:rFonts w:ascii="Verdana" w:hAnsi="Verdana"/>
          <w:i/>
          <w:iCs/>
          <w:sz w:val="20"/>
          <w:szCs w:val="20"/>
        </w:rPr>
        <w:t>Commissioner for Railways</w:t>
      </w:r>
      <w:r w:rsidR="009C3DE5">
        <w:rPr>
          <w:rFonts w:ascii="Verdana" w:hAnsi="Verdana"/>
          <w:sz w:val="20"/>
          <w:szCs w:val="20"/>
        </w:rPr>
        <w:t xml:space="preserve">; and </w:t>
      </w:r>
      <w:r w:rsidR="00B47F97" w:rsidRPr="00490C31">
        <w:rPr>
          <w:rFonts w:ascii="Verdana" w:hAnsi="Verdana"/>
          <w:i/>
          <w:iCs/>
          <w:sz w:val="20"/>
          <w:szCs w:val="20"/>
        </w:rPr>
        <w:t>Ex parte Greenfield; Re McCulloch</w:t>
      </w:r>
      <w:r w:rsidR="00B47F97" w:rsidRPr="00490C31">
        <w:rPr>
          <w:rFonts w:ascii="Verdana" w:hAnsi="Verdana"/>
          <w:sz w:val="20"/>
          <w:szCs w:val="20"/>
        </w:rPr>
        <w:t xml:space="preserve">. But on the other hand the meaning may be that the authority is to be subject to a power in the Executive to regulate its exercise and that in the reference to the prescribed method the words “if any" are to be implied: see </w:t>
      </w:r>
      <w:r w:rsidR="00B47F97" w:rsidRPr="00490C31">
        <w:rPr>
          <w:rFonts w:ascii="Verdana" w:hAnsi="Verdana"/>
          <w:i/>
          <w:iCs/>
          <w:sz w:val="20"/>
          <w:szCs w:val="20"/>
        </w:rPr>
        <w:t xml:space="preserve">Commissioners of Inland Revenue </w:t>
      </w:r>
      <w:r w:rsidR="00B47F97" w:rsidRPr="00490C31">
        <w:rPr>
          <w:rFonts w:ascii="Verdana" w:hAnsi="Verdana"/>
          <w:sz w:val="20"/>
          <w:szCs w:val="20"/>
        </w:rPr>
        <w:t xml:space="preserve">v. </w:t>
      </w:r>
      <w:proofErr w:type="spellStart"/>
      <w:r w:rsidR="00B47F97" w:rsidRPr="00490C31">
        <w:rPr>
          <w:rFonts w:ascii="Verdana" w:hAnsi="Verdana"/>
          <w:i/>
          <w:iCs/>
          <w:sz w:val="20"/>
          <w:szCs w:val="20"/>
        </w:rPr>
        <w:t>Joicey</w:t>
      </w:r>
      <w:proofErr w:type="spellEnd"/>
      <w:r w:rsidR="00B47F97" w:rsidRPr="00490C31">
        <w:rPr>
          <w:rFonts w:ascii="Verdana" w:hAnsi="Verdana"/>
          <w:i/>
          <w:iCs/>
          <w:sz w:val="20"/>
          <w:szCs w:val="20"/>
        </w:rPr>
        <w:t xml:space="preserve"> </w:t>
      </w:r>
      <w:r w:rsidR="00B47F97" w:rsidRPr="00490C31">
        <w:rPr>
          <w:rFonts w:ascii="Verdana" w:hAnsi="Verdana"/>
          <w:sz w:val="20"/>
          <w:szCs w:val="20"/>
        </w:rPr>
        <w:t xml:space="preserve">[No.1]. In the latter class of cases, a person exercising the authority must observe any method which is prescribed for the time being; but if none is prescribed the authority is exercisable by any appropriate method. Illustrations of this kind of provision may be found in </w:t>
      </w:r>
      <w:r w:rsidR="00B47F97" w:rsidRPr="00490C31">
        <w:rPr>
          <w:rFonts w:ascii="Verdana" w:hAnsi="Verdana"/>
          <w:i/>
          <w:iCs/>
          <w:sz w:val="20"/>
          <w:szCs w:val="20"/>
        </w:rPr>
        <w:t>Commissioners</w:t>
      </w:r>
      <w:r w:rsidR="00B47F97" w:rsidRPr="00490C31">
        <w:rPr>
          <w:rFonts w:ascii="Verdana" w:hAnsi="Verdana"/>
          <w:sz w:val="20"/>
          <w:szCs w:val="20"/>
        </w:rPr>
        <w:t xml:space="preserve"> </w:t>
      </w:r>
      <w:r w:rsidR="00B47F97" w:rsidRPr="00490C31">
        <w:rPr>
          <w:rFonts w:ascii="Verdana" w:hAnsi="Verdana"/>
          <w:i/>
          <w:iCs/>
          <w:sz w:val="20"/>
          <w:szCs w:val="20"/>
        </w:rPr>
        <w:t xml:space="preserve">of Inland Revenue </w:t>
      </w:r>
      <w:r w:rsidR="00B47F97" w:rsidRPr="00490C31">
        <w:rPr>
          <w:rFonts w:ascii="Verdana" w:hAnsi="Verdana"/>
          <w:sz w:val="20"/>
          <w:szCs w:val="20"/>
        </w:rPr>
        <w:t xml:space="preserve">v. </w:t>
      </w:r>
      <w:proofErr w:type="spellStart"/>
      <w:r w:rsidR="00B47F97" w:rsidRPr="00490C31">
        <w:rPr>
          <w:rFonts w:ascii="Verdana" w:hAnsi="Verdana"/>
          <w:i/>
          <w:iCs/>
          <w:sz w:val="20"/>
          <w:szCs w:val="20"/>
        </w:rPr>
        <w:t>Joicey</w:t>
      </w:r>
      <w:proofErr w:type="spellEnd"/>
      <w:r w:rsidR="00B47F97" w:rsidRPr="00490C31">
        <w:rPr>
          <w:rFonts w:ascii="Verdana" w:hAnsi="Verdana"/>
          <w:i/>
          <w:iCs/>
          <w:sz w:val="20"/>
          <w:szCs w:val="20"/>
        </w:rPr>
        <w:t xml:space="preserve"> </w:t>
      </w:r>
      <w:r w:rsidR="00B47F97" w:rsidRPr="00490C31">
        <w:rPr>
          <w:rFonts w:ascii="Verdana" w:hAnsi="Verdana"/>
          <w:sz w:val="20"/>
          <w:szCs w:val="20"/>
        </w:rPr>
        <w:t xml:space="preserve">[No.1] and </w:t>
      </w:r>
      <w:proofErr w:type="spellStart"/>
      <w:r w:rsidR="00B47F97" w:rsidRPr="00490C31">
        <w:rPr>
          <w:rFonts w:ascii="Verdana" w:hAnsi="Verdana"/>
          <w:i/>
          <w:iCs/>
          <w:sz w:val="20"/>
          <w:szCs w:val="20"/>
        </w:rPr>
        <w:t>Moate</w:t>
      </w:r>
      <w:proofErr w:type="spellEnd"/>
      <w:r w:rsidR="00B47F97" w:rsidRPr="00490C31">
        <w:rPr>
          <w:rFonts w:ascii="Verdana" w:hAnsi="Verdana"/>
          <w:i/>
          <w:iCs/>
          <w:sz w:val="20"/>
          <w:szCs w:val="20"/>
        </w:rPr>
        <w:t xml:space="preserve"> </w:t>
      </w:r>
      <w:r w:rsidR="00B47F97" w:rsidRPr="00490C31">
        <w:rPr>
          <w:rFonts w:ascii="Verdana" w:hAnsi="Verdana"/>
          <w:sz w:val="20"/>
          <w:szCs w:val="20"/>
        </w:rPr>
        <w:t xml:space="preserve">v. </w:t>
      </w:r>
      <w:proofErr w:type="spellStart"/>
      <w:r w:rsidR="00B47F97" w:rsidRPr="00490C31">
        <w:rPr>
          <w:rFonts w:ascii="Verdana" w:hAnsi="Verdana"/>
          <w:i/>
          <w:iCs/>
          <w:sz w:val="20"/>
          <w:szCs w:val="20"/>
        </w:rPr>
        <w:t>Dartnell</w:t>
      </w:r>
      <w:proofErr w:type="spellEnd"/>
      <w:r w:rsidR="00B47F97" w:rsidRPr="00490C31">
        <w:rPr>
          <w:rFonts w:ascii="Verdana" w:hAnsi="Verdana"/>
          <w:sz w:val="20"/>
          <w:szCs w:val="20"/>
        </w:rPr>
        <w:t>.</w:t>
      </w:r>
    </w:p>
    <w:p w:rsidR="003942B7" w:rsidRPr="00B47F97" w:rsidRDefault="003942B7" w:rsidP="00CB5499">
      <w:pPr>
        <w:tabs>
          <w:tab w:val="left" w:pos="709"/>
        </w:tabs>
        <w:suppressAutoHyphens/>
        <w:ind w:left="720" w:right="1082" w:hanging="709"/>
        <w:jc w:val="both"/>
        <w:rPr>
          <w:rFonts w:ascii="Verdana" w:hAnsi="Verdana"/>
          <w:sz w:val="20"/>
          <w:szCs w:val="20"/>
        </w:rPr>
      </w:pPr>
    </w:p>
    <w:p w:rsidR="00B47F97" w:rsidRPr="00490C31" w:rsidRDefault="00F2100A" w:rsidP="00CB5499">
      <w:pPr>
        <w:pStyle w:val="ListParagraph"/>
        <w:tabs>
          <w:tab w:val="left" w:pos="709"/>
        </w:tabs>
        <w:suppressAutoHyphens/>
        <w:ind w:left="1440" w:right="1082" w:hanging="709"/>
        <w:rPr>
          <w:rFonts w:ascii="Verdana" w:hAnsi="Verdana"/>
          <w:sz w:val="20"/>
          <w:szCs w:val="20"/>
        </w:rPr>
      </w:pPr>
      <w:r>
        <w:rPr>
          <w:rFonts w:ascii="Verdana" w:hAnsi="Verdana"/>
          <w:sz w:val="20"/>
          <w:szCs w:val="20"/>
        </w:rPr>
        <w:tab/>
      </w:r>
      <w:r w:rsidR="00B47F97" w:rsidRPr="00490C31">
        <w:rPr>
          <w:rFonts w:ascii="Verdana" w:hAnsi="Verdana"/>
          <w:sz w:val="20"/>
          <w:szCs w:val="20"/>
        </w:rPr>
        <w:t xml:space="preserve">In my opinion the provision made by s. 215 is of the latter description. The broad intention clearly appears that a council's books of the kinds referred to shall be open to inspection by the electors. To the Executive is committed the responsibility of regulating the right of inspection, by making such provisions by </w:t>
      </w:r>
      <w:r w:rsidR="00B47F97" w:rsidRPr="00490C31">
        <w:rPr>
          <w:rFonts w:ascii="Verdana" w:hAnsi="Verdana"/>
          <w:sz w:val="20"/>
          <w:szCs w:val="20"/>
        </w:rPr>
        <w:lastRenderedPageBreak/>
        <w:t>ordinance as may seem proper. But there is no definable category of matters to be covered by ordinance, and the section can hardly mean that provided some aspect of inspection, however insignificant, is governed by a prescribing ordinance the right exists, and, save on that one aspect, is exercisable at large, but that unless there is some prescription there is no right of inspection at all. The view seems much sounder that the function of the expression “as prescribed" is to link an authority which the section intends by its own immediate operation to confer on electors with the power elsewhere entrusted to the Executive to regulate the exercise of that authority.</w:t>
      </w:r>
      <w:r w:rsidR="009C3DE5">
        <w:rPr>
          <w:rFonts w:ascii="Verdana" w:hAnsi="Verdana"/>
          <w:sz w:val="20"/>
          <w:szCs w:val="20"/>
        </w:rPr>
        <w:t>”</w:t>
      </w:r>
      <w:r w:rsidR="00B47F97" w:rsidRPr="00490C31">
        <w:rPr>
          <w:rFonts w:ascii="Verdana" w:hAnsi="Verdana"/>
          <w:sz w:val="20"/>
          <w:szCs w:val="20"/>
        </w:rPr>
        <w:t xml:space="preserve"> (</w:t>
      </w:r>
      <w:proofErr w:type="gramStart"/>
      <w:r w:rsidR="00B47F97" w:rsidRPr="00490C31">
        <w:rPr>
          <w:rFonts w:ascii="Verdana" w:hAnsi="Verdana"/>
          <w:sz w:val="20"/>
          <w:szCs w:val="20"/>
        </w:rPr>
        <w:t>references</w:t>
      </w:r>
      <w:proofErr w:type="gramEnd"/>
      <w:r w:rsidR="00B47F97" w:rsidRPr="00490C31">
        <w:rPr>
          <w:rFonts w:ascii="Verdana" w:hAnsi="Verdana"/>
          <w:sz w:val="20"/>
          <w:szCs w:val="20"/>
        </w:rPr>
        <w:t xml:space="preserve"> omitted)</w:t>
      </w:r>
    </w:p>
    <w:p w:rsidR="003942B7" w:rsidRPr="00B47F97" w:rsidRDefault="003942B7" w:rsidP="00E6318D">
      <w:pPr>
        <w:tabs>
          <w:tab w:val="left" w:pos="709"/>
        </w:tabs>
        <w:suppressAutoHyphens/>
        <w:ind w:left="720" w:hanging="709"/>
        <w:jc w:val="both"/>
        <w:rPr>
          <w:rFonts w:ascii="Verdana" w:hAnsi="Verdana"/>
          <w:sz w:val="20"/>
          <w:szCs w:val="20"/>
        </w:rPr>
      </w:pPr>
    </w:p>
    <w:p w:rsidR="00B47F97" w:rsidRPr="00490C31" w:rsidRDefault="00B47F97" w:rsidP="00E6318D">
      <w:pPr>
        <w:pStyle w:val="ListParagraph"/>
        <w:tabs>
          <w:tab w:val="left" w:pos="709"/>
        </w:tabs>
        <w:suppressAutoHyphens/>
        <w:ind w:hanging="709"/>
        <w:rPr>
          <w:rFonts w:ascii="Verdana" w:hAnsi="Verdana"/>
          <w:sz w:val="20"/>
          <w:szCs w:val="20"/>
        </w:rPr>
      </w:pPr>
      <w:r w:rsidRPr="00490C31">
        <w:rPr>
          <w:rFonts w:ascii="Verdana" w:hAnsi="Verdana"/>
          <w:sz w:val="20"/>
          <w:szCs w:val="20"/>
        </w:rPr>
        <w:t xml:space="preserve">And His </w:t>
      </w:r>
      <w:proofErr w:type="spellStart"/>
      <w:r w:rsidRPr="00490C31">
        <w:rPr>
          <w:rFonts w:ascii="Verdana" w:hAnsi="Verdana"/>
          <w:sz w:val="20"/>
          <w:szCs w:val="20"/>
        </w:rPr>
        <w:t>Honour</w:t>
      </w:r>
      <w:proofErr w:type="spellEnd"/>
      <w:r w:rsidRPr="00490C31">
        <w:rPr>
          <w:rFonts w:ascii="Verdana" w:hAnsi="Verdana"/>
          <w:sz w:val="20"/>
          <w:szCs w:val="20"/>
        </w:rPr>
        <w:t xml:space="preserve"> held</w:t>
      </w:r>
      <w:r w:rsidRPr="00B47F97">
        <w:rPr>
          <w:rStyle w:val="FootnoteReference"/>
          <w:rFonts w:ascii="Verdana" w:hAnsi="Verdana"/>
          <w:sz w:val="20"/>
          <w:szCs w:val="20"/>
        </w:rPr>
        <w:footnoteReference w:id="5"/>
      </w:r>
      <w:r w:rsidRPr="00490C31">
        <w:rPr>
          <w:rFonts w:ascii="Verdana" w:hAnsi="Verdana"/>
          <w:sz w:val="20"/>
          <w:szCs w:val="20"/>
        </w:rPr>
        <w:t>:</w:t>
      </w:r>
    </w:p>
    <w:p w:rsidR="003942B7" w:rsidRPr="00B47F97" w:rsidRDefault="003942B7" w:rsidP="00E6318D">
      <w:pPr>
        <w:tabs>
          <w:tab w:val="left" w:pos="709"/>
        </w:tabs>
        <w:suppressAutoHyphens/>
        <w:ind w:hanging="709"/>
        <w:jc w:val="both"/>
        <w:rPr>
          <w:rFonts w:ascii="Verdana" w:hAnsi="Verdana"/>
          <w:sz w:val="20"/>
          <w:szCs w:val="20"/>
        </w:rPr>
      </w:pPr>
    </w:p>
    <w:p w:rsidR="00B47F97" w:rsidRPr="00490C31" w:rsidRDefault="00F2100A" w:rsidP="00CB5499">
      <w:pPr>
        <w:pStyle w:val="ListParagraph"/>
        <w:tabs>
          <w:tab w:val="left" w:pos="709"/>
        </w:tabs>
        <w:suppressAutoHyphens/>
        <w:ind w:left="1440" w:right="1082" w:hanging="709"/>
        <w:rPr>
          <w:rFonts w:ascii="Verdana" w:hAnsi="Verdana"/>
          <w:sz w:val="20"/>
          <w:szCs w:val="20"/>
        </w:rPr>
      </w:pPr>
      <w:r>
        <w:rPr>
          <w:rFonts w:ascii="Verdana" w:hAnsi="Verdana"/>
          <w:sz w:val="20"/>
          <w:szCs w:val="20"/>
        </w:rPr>
        <w:tab/>
      </w:r>
      <w:r w:rsidR="009C3DE5">
        <w:rPr>
          <w:rFonts w:ascii="Verdana" w:hAnsi="Verdana"/>
          <w:sz w:val="20"/>
          <w:szCs w:val="20"/>
        </w:rPr>
        <w:t>“</w:t>
      </w:r>
      <w:r w:rsidR="00B47F97" w:rsidRPr="00490C31">
        <w:rPr>
          <w:rFonts w:ascii="Verdana" w:hAnsi="Verdana"/>
          <w:sz w:val="20"/>
          <w:szCs w:val="20"/>
        </w:rPr>
        <w:t>The conclusion to which I come, therefore, is that the elliptical expression "as prescribed” means "observing any regulatory provisions which may be contained in the ordinances for the time being in force ".</w:t>
      </w:r>
    </w:p>
    <w:p w:rsidR="003942B7" w:rsidRPr="00B47F97" w:rsidRDefault="003942B7" w:rsidP="00E6318D">
      <w:pPr>
        <w:tabs>
          <w:tab w:val="left" w:pos="709"/>
        </w:tabs>
        <w:suppressAutoHyphens/>
        <w:ind w:left="720" w:hanging="709"/>
        <w:jc w:val="both"/>
        <w:rPr>
          <w:rFonts w:ascii="Verdana" w:hAnsi="Verdana"/>
          <w:sz w:val="20"/>
          <w:szCs w:val="20"/>
        </w:rPr>
      </w:pPr>
    </w:p>
    <w:p w:rsidR="00B47F97" w:rsidRPr="00490C31" w:rsidRDefault="00B47F97" w:rsidP="00E6318D">
      <w:pPr>
        <w:pStyle w:val="ListParagraph"/>
        <w:tabs>
          <w:tab w:val="left" w:pos="709"/>
        </w:tabs>
        <w:suppressAutoHyphens/>
        <w:ind w:hanging="709"/>
        <w:rPr>
          <w:rFonts w:ascii="Verdana" w:hAnsi="Verdana"/>
          <w:sz w:val="20"/>
          <w:szCs w:val="20"/>
        </w:rPr>
      </w:pPr>
      <w:proofErr w:type="spellStart"/>
      <w:r w:rsidRPr="00490C31">
        <w:rPr>
          <w:rFonts w:ascii="Verdana" w:hAnsi="Verdana"/>
          <w:sz w:val="20"/>
          <w:szCs w:val="20"/>
        </w:rPr>
        <w:t>Windeyer</w:t>
      </w:r>
      <w:proofErr w:type="spellEnd"/>
      <w:r w:rsidRPr="00490C31">
        <w:rPr>
          <w:rFonts w:ascii="Verdana" w:hAnsi="Verdana"/>
          <w:sz w:val="20"/>
          <w:szCs w:val="20"/>
        </w:rPr>
        <w:t xml:space="preserve"> J in the same case said</w:t>
      </w:r>
      <w:r w:rsidRPr="00B47F97">
        <w:rPr>
          <w:rStyle w:val="FootnoteReference"/>
          <w:rFonts w:ascii="Verdana" w:hAnsi="Verdana"/>
          <w:sz w:val="20"/>
          <w:szCs w:val="20"/>
        </w:rPr>
        <w:footnoteReference w:id="6"/>
      </w:r>
      <w:r w:rsidRPr="00490C31">
        <w:rPr>
          <w:rFonts w:ascii="Verdana" w:hAnsi="Verdana"/>
          <w:sz w:val="20"/>
          <w:szCs w:val="20"/>
        </w:rPr>
        <w:t>:</w:t>
      </w:r>
    </w:p>
    <w:p w:rsidR="003942B7" w:rsidRPr="00B47F97" w:rsidRDefault="003942B7" w:rsidP="00E6318D">
      <w:pPr>
        <w:tabs>
          <w:tab w:val="left" w:pos="709"/>
        </w:tabs>
        <w:suppressAutoHyphens/>
        <w:ind w:hanging="709"/>
        <w:jc w:val="both"/>
        <w:rPr>
          <w:rFonts w:ascii="Verdana" w:hAnsi="Verdana"/>
          <w:sz w:val="20"/>
          <w:szCs w:val="20"/>
        </w:rPr>
      </w:pPr>
    </w:p>
    <w:p w:rsidR="00B47F97" w:rsidRPr="00490C31" w:rsidRDefault="00F2100A" w:rsidP="00CB5499">
      <w:pPr>
        <w:pStyle w:val="ListParagraph"/>
        <w:tabs>
          <w:tab w:val="left" w:pos="709"/>
        </w:tabs>
        <w:suppressAutoHyphens/>
        <w:ind w:left="1440" w:right="1082" w:hanging="709"/>
        <w:rPr>
          <w:rFonts w:ascii="Verdana" w:hAnsi="Verdana"/>
          <w:sz w:val="20"/>
          <w:szCs w:val="20"/>
        </w:rPr>
      </w:pPr>
      <w:r>
        <w:rPr>
          <w:rFonts w:ascii="Verdana" w:hAnsi="Verdana"/>
          <w:sz w:val="20"/>
          <w:szCs w:val="20"/>
        </w:rPr>
        <w:tab/>
      </w:r>
      <w:r w:rsidR="009C3DE5">
        <w:rPr>
          <w:rFonts w:ascii="Verdana" w:hAnsi="Verdana"/>
          <w:sz w:val="20"/>
          <w:szCs w:val="20"/>
        </w:rPr>
        <w:t>“</w:t>
      </w:r>
      <w:r w:rsidR="00B47F97" w:rsidRPr="00490C31">
        <w:rPr>
          <w:rFonts w:ascii="Verdana" w:hAnsi="Verdana"/>
          <w:sz w:val="20"/>
          <w:szCs w:val="20"/>
        </w:rPr>
        <w:t>The question here is whether the legislature of New South Wales intended to give electors of local governing bodies in the State a right to inspect their accounts; or whether it intended only that the Government might permit them to do so if it chose.</w:t>
      </w:r>
    </w:p>
    <w:p w:rsidR="003942B7" w:rsidRPr="00B47F97" w:rsidRDefault="003942B7" w:rsidP="00CB5499">
      <w:pPr>
        <w:tabs>
          <w:tab w:val="left" w:pos="709"/>
        </w:tabs>
        <w:suppressAutoHyphens/>
        <w:ind w:left="720" w:right="1082" w:hanging="709"/>
        <w:jc w:val="both"/>
        <w:rPr>
          <w:rFonts w:ascii="Verdana" w:hAnsi="Verdana"/>
          <w:sz w:val="20"/>
          <w:szCs w:val="20"/>
        </w:rPr>
      </w:pPr>
    </w:p>
    <w:p w:rsidR="00B47F97" w:rsidRPr="00490C31" w:rsidRDefault="00F2100A" w:rsidP="00CB5499">
      <w:pPr>
        <w:pStyle w:val="ListParagraph"/>
        <w:tabs>
          <w:tab w:val="left" w:pos="709"/>
        </w:tabs>
        <w:suppressAutoHyphens/>
        <w:ind w:left="1440" w:right="1082" w:hanging="709"/>
        <w:rPr>
          <w:rFonts w:ascii="Verdana" w:hAnsi="Verdana"/>
          <w:sz w:val="20"/>
          <w:szCs w:val="20"/>
        </w:rPr>
      </w:pPr>
      <w:r>
        <w:rPr>
          <w:rFonts w:ascii="Verdana" w:hAnsi="Verdana"/>
          <w:sz w:val="20"/>
          <w:szCs w:val="20"/>
        </w:rPr>
        <w:tab/>
      </w:r>
      <w:r w:rsidR="00B47F97" w:rsidRPr="00490C31">
        <w:rPr>
          <w:rFonts w:ascii="Verdana" w:hAnsi="Verdana"/>
          <w:sz w:val="20"/>
          <w:szCs w:val="20"/>
        </w:rPr>
        <w:t xml:space="preserve">In my view the words "as prescribed" that appear, somewhat clumsily, in s. 215 of the Local Government Act 1919 do not make that section depend for its effectual operation on something being prescribed. This is </w:t>
      </w:r>
      <w:proofErr w:type="gramStart"/>
      <w:r w:rsidR="00B47F97" w:rsidRPr="00490C31">
        <w:rPr>
          <w:rFonts w:ascii="Verdana" w:hAnsi="Verdana"/>
          <w:sz w:val="20"/>
          <w:szCs w:val="20"/>
        </w:rPr>
        <w:t>not,</w:t>
      </w:r>
      <w:proofErr w:type="gramEnd"/>
      <w:r w:rsidR="00B47F97" w:rsidRPr="00490C31">
        <w:rPr>
          <w:rFonts w:ascii="Verdana" w:hAnsi="Verdana"/>
          <w:sz w:val="20"/>
          <w:szCs w:val="20"/>
        </w:rPr>
        <w:t xml:space="preserve"> it seems to me, a case where a prescription of something pursuant to a statute is necessary to complete a statutory right. It is rather a case of the statute recognizing that a right given by it may be further defined, or its exercise regulated, by ordinance. The distinction between the two classes of cases is clear. But sometimes, as here, a question can arise as to which result the language of a particular enactment produces. Where it is said that something is to be done in a prescribed manner, and there are several ways in which that very thing can be done, then, prima facie, the enactment is ineffectual until one of those ways be prescribed (Browne v. Commissioner for Railways; Cameron v. Deputy Federal Commissioner of Taxation (Tas.). In such cases life and </w:t>
      </w:r>
      <w:proofErr w:type="spellStart"/>
      <w:r w:rsidR="00B47F97" w:rsidRPr="00490C31">
        <w:rPr>
          <w:rFonts w:ascii="Verdana" w:hAnsi="Verdana"/>
          <w:sz w:val="20"/>
          <w:szCs w:val="20"/>
        </w:rPr>
        <w:t>vigour</w:t>
      </w:r>
      <w:proofErr w:type="spellEnd"/>
      <w:r w:rsidR="00B47F97" w:rsidRPr="00490C31">
        <w:rPr>
          <w:rFonts w:ascii="Verdana" w:hAnsi="Verdana"/>
          <w:sz w:val="20"/>
          <w:szCs w:val="20"/>
        </w:rPr>
        <w:t xml:space="preserve"> is only given to the statute when what is to be prescribed has been prescribed-for example, a prohibition against travelling at a speed greater than the prescribed maximum could not be contravened until a maximum had been prescribed.</w:t>
      </w:r>
      <w:r w:rsidR="009C3DE5">
        <w:rPr>
          <w:rFonts w:ascii="Verdana" w:hAnsi="Verdana"/>
          <w:sz w:val="20"/>
          <w:szCs w:val="20"/>
        </w:rPr>
        <w:t>”</w:t>
      </w:r>
      <w:r w:rsidR="00B47F97" w:rsidRPr="00490C31">
        <w:rPr>
          <w:rFonts w:ascii="Verdana" w:hAnsi="Verdana"/>
          <w:sz w:val="20"/>
          <w:szCs w:val="20"/>
        </w:rPr>
        <w:t xml:space="preserve"> (</w:t>
      </w:r>
      <w:proofErr w:type="gramStart"/>
      <w:r w:rsidR="00B47F97" w:rsidRPr="00490C31">
        <w:rPr>
          <w:rFonts w:ascii="Verdana" w:hAnsi="Verdana"/>
          <w:sz w:val="20"/>
          <w:szCs w:val="20"/>
        </w:rPr>
        <w:t>references</w:t>
      </w:r>
      <w:proofErr w:type="gramEnd"/>
      <w:r w:rsidR="00B47F97" w:rsidRPr="00490C31">
        <w:rPr>
          <w:rFonts w:ascii="Verdana" w:hAnsi="Verdana"/>
          <w:sz w:val="20"/>
          <w:szCs w:val="20"/>
        </w:rPr>
        <w:t xml:space="preserve"> omitted)</w:t>
      </w:r>
    </w:p>
    <w:p w:rsidR="003942B7" w:rsidRPr="00B47F97" w:rsidRDefault="003942B7" w:rsidP="00E6318D">
      <w:pPr>
        <w:tabs>
          <w:tab w:val="left" w:pos="709"/>
        </w:tabs>
        <w:suppressAutoHyphens/>
        <w:ind w:left="720" w:hanging="709"/>
        <w:jc w:val="both"/>
        <w:rPr>
          <w:rFonts w:ascii="Verdana" w:hAnsi="Verdana"/>
          <w:sz w:val="20"/>
          <w:szCs w:val="20"/>
        </w:rPr>
      </w:pPr>
    </w:p>
    <w:p w:rsidR="00B47F97" w:rsidRPr="00490C31" w:rsidRDefault="00B47F97" w:rsidP="00E6318D">
      <w:pPr>
        <w:pStyle w:val="ListParagraph"/>
        <w:tabs>
          <w:tab w:val="left" w:pos="709"/>
        </w:tabs>
        <w:suppressAutoHyphens/>
        <w:ind w:hanging="709"/>
        <w:rPr>
          <w:rFonts w:ascii="Verdana" w:hAnsi="Verdana"/>
          <w:sz w:val="20"/>
          <w:szCs w:val="20"/>
        </w:rPr>
      </w:pPr>
      <w:r w:rsidRPr="00490C31">
        <w:rPr>
          <w:rFonts w:ascii="Verdana" w:hAnsi="Verdana"/>
          <w:sz w:val="20"/>
          <w:szCs w:val="20"/>
        </w:rPr>
        <w:t>I</w:t>
      </w:r>
      <w:r w:rsidR="009C3DE5">
        <w:rPr>
          <w:rFonts w:ascii="Verdana" w:hAnsi="Verdana"/>
          <w:sz w:val="20"/>
          <w:szCs w:val="20"/>
        </w:rPr>
        <w:t>n</w:t>
      </w:r>
      <w:r w:rsidRPr="00490C31">
        <w:rPr>
          <w:rFonts w:ascii="Verdana" w:hAnsi="Verdana"/>
          <w:sz w:val="20"/>
          <w:szCs w:val="20"/>
        </w:rPr>
        <w:t xml:space="preserve"> agreeing with </w:t>
      </w:r>
      <w:proofErr w:type="spellStart"/>
      <w:r w:rsidRPr="00490C31">
        <w:rPr>
          <w:rFonts w:ascii="Verdana" w:hAnsi="Verdana"/>
          <w:sz w:val="20"/>
          <w:szCs w:val="20"/>
        </w:rPr>
        <w:t>Kittto</w:t>
      </w:r>
      <w:proofErr w:type="spellEnd"/>
      <w:r w:rsidRPr="00490C31">
        <w:rPr>
          <w:rFonts w:ascii="Verdana" w:hAnsi="Verdana"/>
          <w:sz w:val="20"/>
          <w:szCs w:val="20"/>
        </w:rPr>
        <w:t xml:space="preserve"> J His </w:t>
      </w:r>
      <w:proofErr w:type="spellStart"/>
      <w:r w:rsidRPr="00490C31">
        <w:rPr>
          <w:rFonts w:ascii="Verdana" w:hAnsi="Verdana"/>
          <w:sz w:val="20"/>
          <w:szCs w:val="20"/>
        </w:rPr>
        <w:t>Honour</w:t>
      </w:r>
      <w:proofErr w:type="spellEnd"/>
      <w:r w:rsidRPr="00490C31">
        <w:rPr>
          <w:rFonts w:ascii="Verdana" w:hAnsi="Verdana"/>
          <w:sz w:val="20"/>
          <w:szCs w:val="20"/>
        </w:rPr>
        <w:t xml:space="preserve"> said</w:t>
      </w:r>
      <w:r w:rsidRPr="00B47F97">
        <w:rPr>
          <w:rStyle w:val="FootnoteReference"/>
          <w:rFonts w:ascii="Verdana" w:hAnsi="Verdana"/>
          <w:sz w:val="20"/>
          <w:szCs w:val="20"/>
        </w:rPr>
        <w:footnoteReference w:id="7"/>
      </w:r>
    </w:p>
    <w:p w:rsidR="00B47F97" w:rsidRPr="00490C31" w:rsidRDefault="00F2100A" w:rsidP="00E6318D">
      <w:pPr>
        <w:pStyle w:val="ListParagraph"/>
        <w:tabs>
          <w:tab w:val="left" w:pos="709"/>
        </w:tabs>
        <w:suppressAutoHyphens/>
        <w:ind w:left="1440" w:hanging="709"/>
        <w:rPr>
          <w:rFonts w:ascii="Verdana" w:hAnsi="Verdana"/>
          <w:sz w:val="20"/>
          <w:szCs w:val="20"/>
        </w:rPr>
      </w:pPr>
      <w:r>
        <w:rPr>
          <w:rFonts w:ascii="Verdana" w:hAnsi="Verdana"/>
          <w:sz w:val="20"/>
          <w:szCs w:val="20"/>
        </w:rPr>
        <w:lastRenderedPageBreak/>
        <w:tab/>
      </w:r>
      <w:r w:rsidR="009C3DE5">
        <w:rPr>
          <w:rFonts w:ascii="Verdana" w:hAnsi="Verdana"/>
          <w:sz w:val="20"/>
          <w:szCs w:val="20"/>
        </w:rPr>
        <w:t>“</w:t>
      </w:r>
      <w:r w:rsidR="00B47F97" w:rsidRPr="00490C31">
        <w:rPr>
          <w:rFonts w:ascii="Verdana" w:hAnsi="Verdana"/>
          <w:sz w:val="20"/>
          <w:szCs w:val="20"/>
        </w:rPr>
        <w:t xml:space="preserve">The argument for the respondents that under s. 215 the right of an elector to see the books of account is established only when something in relation to it is prescribed may be tested by asking what would have to be prescribed-the manner in which the books or report were to be inspected, it was said. But there is really only one way to inspect a document that is by looking at it, examining it visually. What the argument really meant was that conditions or circumstances in which the right of inspection might be exercised must be prescribed. </w:t>
      </w:r>
      <w:proofErr w:type="gramStart"/>
      <w:r w:rsidR="00B47F97" w:rsidRPr="00490C31">
        <w:rPr>
          <w:rFonts w:ascii="Verdana" w:hAnsi="Verdana"/>
          <w:sz w:val="20"/>
          <w:szCs w:val="20"/>
        </w:rPr>
        <w:t>But what?</w:t>
      </w:r>
      <w:proofErr w:type="gramEnd"/>
    </w:p>
    <w:p w:rsidR="00522C43" w:rsidRPr="00B47F97" w:rsidRDefault="00522C43" w:rsidP="00E6318D">
      <w:pPr>
        <w:tabs>
          <w:tab w:val="left" w:pos="709"/>
        </w:tabs>
        <w:suppressAutoHyphens/>
        <w:ind w:left="720" w:hanging="709"/>
        <w:jc w:val="both"/>
        <w:rPr>
          <w:rFonts w:ascii="Verdana" w:hAnsi="Verdana"/>
          <w:sz w:val="20"/>
          <w:szCs w:val="20"/>
        </w:rPr>
      </w:pPr>
    </w:p>
    <w:p w:rsidR="00B47F97" w:rsidRPr="00490C31" w:rsidRDefault="00F2100A" w:rsidP="00E6318D">
      <w:pPr>
        <w:pStyle w:val="ListParagraph"/>
        <w:tabs>
          <w:tab w:val="left" w:pos="709"/>
        </w:tabs>
        <w:suppressAutoHyphens/>
        <w:ind w:left="1440" w:hanging="709"/>
        <w:rPr>
          <w:rFonts w:ascii="Verdana" w:hAnsi="Verdana"/>
          <w:sz w:val="20"/>
          <w:szCs w:val="20"/>
        </w:rPr>
      </w:pPr>
      <w:r>
        <w:rPr>
          <w:rFonts w:ascii="Verdana" w:hAnsi="Verdana"/>
          <w:sz w:val="20"/>
          <w:szCs w:val="20"/>
        </w:rPr>
        <w:tab/>
      </w:r>
      <w:r w:rsidR="00B47F97" w:rsidRPr="009C3DE5">
        <w:rPr>
          <w:rFonts w:ascii="Verdana" w:hAnsi="Verdana"/>
          <w:sz w:val="20"/>
          <w:szCs w:val="20"/>
          <w:highlight w:val="yellow"/>
        </w:rPr>
        <w:t>…………………….</w:t>
      </w:r>
    </w:p>
    <w:p w:rsidR="00522C43" w:rsidRPr="00B47F97" w:rsidRDefault="00522C43" w:rsidP="00E6318D">
      <w:pPr>
        <w:tabs>
          <w:tab w:val="left" w:pos="709"/>
        </w:tabs>
        <w:suppressAutoHyphens/>
        <w:ind w:hanging="709"/>
        <w:jc w:val="both"/>
        <w:rPr>
          <w:rFonts w:ascii="Verdana" w:hAnsi="Verdana"/>
          <w:sz w:val="20"/>
          <w:szCs w:val="20"/>
        </w:rPr>
      </w:pPr>
    </w:p>
    <w:p w:rsidR="00B47F97" w:rsidRPr="00490C31" w:rsidRDefault="00F2100A" w:rsidP="00E6318D">
      <w:pPr>
        <w:pStyle w:val="ListParagraph"/>
        <w:tabs>
          <w:tab w:val="left" w:pos="709"/>
        </w:tabs>
        <w:suppressAutoHyphens/>
        <w:ind w:left="1440" w:hanging="709"/>
        <w:rPr>
          <w:rFonts w:ascii="Verdana" w:hAnsi="Verdana"/>
          <w:sz w:val="20"/>
          <w:szCs w:val="20"/>
        </w:rPr>
      </w:pPr>
      <w:r>
        <w:rPr>
          <w:rFonts w:ascii="Verdana" w:hAnsi="Verdana"/>
          <w:sz w:val="20"/>
          <w:szCs w:val="20"/>
        </w:rPr>
        <w:tab/>
      </w:r>
      <w:r w:rsidR="00B47F97" w:rsidRPr="00490C31">
        <w:rPr>
          <w:rFonts w:ascii="Verdana" w:hAnsi="Verdana"/>
          <w:sz w:val="20"/>
          <w:szCs w:val="20"/>
        </w:rPr>
        <w:t>In short, although counsel for the respondents contended that before a right of inspection under s. 215 could be availed of by an elector some conditions of its exercise would have to be prescribed, the argument did not reveal what sort of conditions these must be.</w:t>
      </w:r>
      <w:r w:rsidR="009C3DE5">
        <w:rPr>
          <w:rFonts w:ascii="Verdana" w:hAnsi="Verdana"/>
          <w:sz w:val="20"/>
          <w:szCs w:val="20"/>
        </w:rPr>
        <w:t>”</w:t>
      </w:r>
    </w:p>
    <w:p w:rsidR="00522C43" w:rsidRPr="00B47F97" w:rsidRDefault="00522C43" w:rsidP="00E6318D">
      <w:pPr>
        <w:tabs>
          <w:tab w:val="left" w:pos="709"/>
        </w:tabs>
        <w:suppressAutoHyphens/>
        <w:ind w:left="720" w:hanging="709"/>
        <w:jc w:val="both"/>
        <w:rPr>
          <w:rFonts w:ascii="Verdana" w:hAnsi="Verdana"/>
          <w:sz w:val="20"/>
          <w:szCs w:val="20"/>
        </w:rPr>
      </w:pPr>
    </w:p>
    <w:p w:rsidR="00B47F97" w:rsidRPr="00B47F97" w:rsidRDefault="00B47F97" w:rsidP="00E6318D">
      <w:pPr>
        <w:tabs>
          <w:tab w:val="left" w:pos="709"/>
        </w:tabs>
        <w:suppressAutoHyphens/>
        <w:ind w:hanging="709"/>
        <w:jc w:val="both"/>
        <w:rPr>
          <w:rFonts w:ascii="Verdana" w:hAnsi="Verdana"/>
          <w:sz w:val="20"/>
          <w:szCs w:val="20"/>
        </w:rPr>
      </w:pPr>
    </w:p>
    <w:p w:rsidR="00B47F97" w:rsidRPr="00490C31" w:rsidRDefault="00B47F97" w:rsidP="005466C8">
      <w:pPr>
        <w:pStyle w:val="ListParagraph"/>
        <w:numPr>
          <w:ilvl w:val="0"/>
          <w:numId w:val="11"/>
        </w:numPr>
        <w:tabs>
          <w:tab w:val="left" w:pos="0"/>
          <w:tab w:val="left" w:pos="709"/>
        </w:tabs>
        <w:suppressAutoHyphens/>
        <w:ind w:left="0" w:firstLine="0"/>
        <w:rPr>
          <w:rFonts w:ascii="Verdana" w:hAnsi="Verdana"/>
          <w:sz w:val="20"/>
          <w:szCs w:val="20"/>
        </w:rPr>
      </w:pPr>
      <w:r w:rsidRPr="00490C31">
        <w:rPr>
          <w:rFonts w:ascii="Verdana" w:hAnsi="Verdana"/>
          <w:sz w:val="20"/>
          <w:szCs w:val="20"/>
        </w:rPr>
        <w:t xml:space="preserve">In </w:t>
      </w:r>
      <w:r w:rsidRPr="00490C31">
        <w:rPr>
          <w:rFonts w:ascii="Verdana" w:hAnsi="Verdana"/>
          <w:i/>
          <w:sz w:val="20"/>
          <w:szCs w:val="20"/>
        </w:rPr>
        <w:t>Pearce and Argument</w:t>
      </w:r>
      <w:r w:rsidRPr="00B47F97">
        <w:rPr>
          <w:rStyle w:val="FootnoteReference"/>
          <w:rFonts w:ascii="Verdana" w:hAnsi="Verdana"/>
          <w:i/>
          <w:sz w:val="20"/>
          <w:szCs w:val="20"/>
        </w:rPr>
        <w:footnoteReference w:id="8"/>
      </w:r>
      <w:r w:rsidRPr="00490C31">
        <w:rPr>
          <w:rFonts w:ascii="Verdana" w:hAnsi="Verdana"/>
          <w:i/>
          <w:sz w:val="20"/>
          <w:szCs w:val="20"/>
        </w:rPr>
        <w:t xml:space="preserve"> </w:t>
      </w:r>
      <w:r w:rsidRPr="00490C31">
        <w:rPr>
          <w:rFonts w:ascii="Verdana" w:hAnsi="Verdana"/>
          <w:sz w:val="20"/>
          <w:szCs w:val="20"/>
        </w:rPr>
        <w:t>the authors noted after setting out a number of cases in which courts had found that regulations were or were not fatal to the operation of the relevant power or right:</w:t>
      </w:r>
    </w:p>
    <w:p w:rsidR="00522C43" w:rsidRPr="00B47F97" w:rsidRDefault="00522C43" w:rsidP="00E6318D">
      <w:pPr>
        <w:tabs>
          <w:tab w:val="left" w:pos="709"/>
        </w:tabs>
        <w:suppressAutoHyphens/>
        <w:ind w:hanging="709"/>
        <w:jc w:val="both"/>
        <w:rPr>
          <w:rFonts w:ascii="Verdana" w:hAnsi="Verdana"/>
          <w:sz w:val="20"/>
          <w:szCs w:val="20"/>
        </w:rPr>
      </w:pPr>
    </w:p>
    <w:p w:rsidR="00B47F97" w:rsidRPr="00490C31" w:rsidRDefault="00F2100A" w:rsidP="00CB5499">
      <w:pPr>
        <w:pStyle w:val="ListParagraph"/>
        <w:tabs>
          <w:tab w:val="left" w:pos="709"/>
        </w:tabs>
        <w:suppressAutoHyphens/>
        <w:ind w:left="1440" w:right="1082" w:hanging="709"/>
        <w:rPr>
          <w:rFonts w:ascii="Verdana" w:hAnsi="Verdana"/>
          <w:i/>
          <w:sz w:val="20"/>
          <w:szCs w:val="20"/>
        </w:rPr>
      </w:pPr>
      <w:r>
        <w:rPr>
          <w:rFonts w:ascii="Verdana" w:hAnsi="Verdana"/>
          <w:sz w:val="20"/>
          <w:szCs w:val="20"/>
        </w:rPr>
        <w:tab/>
      </w:r>
      <w:r w:rsidR="00B47F97" w:rsidRPr="00490C31">
        <w:rPr>
          <w:rFonts w:ascii="Verdana" w:hAnsi="Verdana"/>
          <w:sz w:val="20"/>
          <w:szCs w:val="20"/>
        </w:rPr>
        <w:t xml:space="preserve">“This essentially pragmatic approach of the courts unfortunately leads to some uncertainty.  It becomes a matter of assessment whether a court will require regulations to have been made where there is an ‘as prescribed’ requirement or will rule that they are unnecessary. The cases do not lend much assistance in predicting the likely ruling, except perhaps that where a right is being given by the Act, regulations will probably not be regarded as essential: </w:t>
      </w:r>
      <w:proofErr w:type="spellStart"/>
      <w:r w:rsidR="00B47F97" w:rsidRPr="00490C31">
        <w:rPr>
          <w:rFonts w:ascii="Verdana" w:hAnsi="Verdana"/>
          <w:sz w:val="20"/>
          <w:szCs w:val="20"/>
        </w:rPr>
        <w:t>cf</w:t>
      </w:r>
      <w:proofErr w:type="spellEnd"/>
      <w:r w:rsidR="00B47F97" w:rsidRPr="00490C31">
        <w:rPr>
          <w:rFonts w:ascii="Verdana" w:hAnsi="Verdana"/>
          <w:sz w:val="20"/>
          <w:szCs w:val="20"/>
        </w:rPr>
        <w:t xml:space="preserve"> </w:t>
      </w:r>
      <w:r w:rsidR="00B47F97" w:rsidRPr="00490C31">
        <w:rPr>
          <w:rFonts w:ascii="Verdana" w:hAnsi="Verdana"/>
          <w:i/>
          <w:sz w:val="20"/>
          <w:szCs w:val="20"/>
        </w:rPr>
        <w:t xml:space="preserve">Downey, </w:t>
      </w:r>
      <w:proofErr w:type="spellStart"/>
      <w:r w:rsidR="00B47F97" w:rsidRPr="00490C31">
        <w:rPr>
          <w:rFonts w:ascii="Verdana" w:hAnsi="Verdana"/>
          <w:i/>
          <w:sz w:val="20"/>
          <w:szCs w:val="20"/>
        </w:rPr>
        <w:t>Moate</w:t>
      </w:r>
      <w:proofErr w:type="spellEnd"/>
      <w:r w:rsidR="00B47F97" w:rsidRPr="00490C31">
        <w:rPr>
          <w:rFonts w:ascii="Verdana" w:hAnsi="Verdana"/>
          <w:i/>
          <w:sz w:val="20"/>
          <w:szCs w:val="20"/>
        </w:rPr>
        <w:t xml:space="preserve">, Taylor </w:t>
      </w:r>
      <w:r w:rsidR="00B47F97" w:rsidRPr="00490C31">
        <w:rPr>
          <w:rFonts w:ascii="Verdana" w:hAnsi="Verdana"/>
          <w:sz w:val="20"/>
          <w:szCs w:val="20"/>
        </w:rPr>
        <w:t xml:space="preserve">and </w:t>
      </w:r>
      <w:r w:rsidR="00B47F97" w:rsidRPr="00490C31">
        <w:rPr>
          <w:rFonts w:ascii="Verdana" w:hAnsi="Verdana"/>
          <w:i/>
          <w:sz w:val="20"/>
          <w:szCs w:val="20"/>
        </w:rPr>
        <w:t xml:space="preserve">Turner. </w:t>
      </w:r>
      <w:r w:rsidR="00B47F97" w:rsidRPr="00490C31">
        <w:rPr>
          <w:rFonts w:ascii="Verdana" w:hAnsi="Verdana"/>
          <w:sz w:val="20"/>
          <w:szCs w:val="20"/>
        </w:rPr>
        <w:t xml:space="preserve">Conversely, where an obligation is being imposed, the details of that obligation will have to be spelled out: </w:t>
      </w:r>
      <w:proofErr w:type="spellStart"/>
      <w:r w:rsidR="00B47F97" w:rsidRPr="00490C31">
        <w:rPr>
          <w:rFonts w:ascii="Verdana" w:hAnsi="Verdana"/>
          <w:sz w:val="20"/>
          <w:szCs w:val="20"/>
        </w:rPr>
        <w:t>cf</w:t>
      </w:r>
      <w:proofErr w:type="spellEnd"/>
      <w:r w:rsidR="00B47F97" w:rsidRPr="00490C31">
        <w:rPr>
          <w:rFonts w:ascii="Verdana" w:hAnsi="Verdana"/>
          <w:sz w:val="20"/>
          <w:szCs w:val="20"/>
        </w:rPr>
        <w:t xml:space="preserve"> </w:t>
      </w:r>
      <w:r w:rsidR="00B47F97" w:rsidRPr="00490C31">
        <w:rPr>
          <w:rFonts w:ascii="Verdana" w:hAnsi="Verdana"/>
          <w:i/>
          <w:sz w:val="20"/>
          <w:szCs w:val="20"/>
        </w:rPr>
        <w:t xml:space="preserve">Gramophone Co </w:t>
      </w:r>
      <w:r w:rsidR="00B47F97" w:rsidRPr="00490C31">
        <w:rPr>
          <w:rFonts w:ascii="Verdana" w:hAnsi="Verdana"/>
          <w:sz w:val="20"/>
          <w:szCs w:val="20"/>
        </w:rPr>
        <w:t xml:space="preserve">and </w:t>
      </w:r>
      <w:r w:rsidR="00B47F97" w:rsidRPr="00490C31">
        <w:rPr>
          <w:rFonts w:ascii="Verdana" w:hAnsi="Verdana"/>
          <w:i/>
          <w:sz w:val="20"/>
          <w:szCs w:val="20"/>
        </w:rPr>
        <w:t>Browne.”</w:t>
      </w:r>
    </w:p>
    <w:p w:rsidR="00522C43" w:rsidRPr="00B47F97" w:rsidRDefault="00522C43" w:rsidP="00E6318D">
      <w:pPr>
        <w:tabs>
          <w:tab w:val="left" w:pos="709"/>
        </w:tabs>
        <w:suppressAutoHyphens/>
        <w:ind w:left="720" w:hanging="709"/>
        <w:jc w:val="both"/>
        <w:rPr>
          <w:rFonts w:ascii="Verdana" w:hAnsi="Verdana"/>
          <w:i/>
          <w:sz w:val="20"/>
          <w:szCs w:val="20"/>
        </w:rPr>
      </w:pPr>
    </w:p>
    <w:p w:rsidR="00B47F97" w:rsidRPr="00490C31" w:rsidRDefault="00B47F97" w:rsidP="00E6318D">
      <w:pPr>
        <w:pStyle w:val="ListParagraph"/>
        <w:tabs>
          <w:tab w:val="left" w:pos="709"/>
        </w:tabs>
        <w:suppressAutoHyphens/>
        <w:ind w:hanging="709"/>
        <w:rPr>
          <w:rFonts w:ascii="Verdana" w:hAnsi="Verdana"/>
          <w:sz w:val="20"/>
          <w:szCs w:val="20"/>
        </w:rPr>
      </w:pPr>
      <w:r w:rsidRPr="00490C31">
        <w:rPr>
          <w:rFonts w:ascii="Verdana" w:hAnsi="Verdana"/>
          <w:sz w:val="20"/>
          <w:szCs w:val="20"/>
        </w:rPr>
        <w:t xml:space="preserve">At the end of the day however the task is one of statutory construction. </w:t>
      </w:r>
    </w:p>
    <w:p w:rsidR="00522C43" w:rsidRPr="00B47F97" w:rsidRDefault="00522C43" w:rsidP="00E6318D">
      <w:pPr>
        <w:tabs>
          <w:tab w:val="left" w:pos="709"/>
        </w:tabs>
        <w:suppressAutoHyphens/>
        <w:ind w:hanging="709"/>
        <w:jc w:val="both"/>
        <w:rPr>
          <w:rFonts w:ascii="Verdana" w:hAnsi="Verdana"/>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The purpose of statutory construction is to construe the relevant provision so that it is consistent with the language and purpose of all the provisions of the Act. The meaning of the provision must be determined by reference to the language of the Act read as a whole. The context, the general purpose and policy of a provision and its consistency and fairness are better guides to its meaning than the logic with which it is constructed. The process of construction must always begin by examining the context of the provision that is being construed.</w:t>
      </w:r>
      <w:r w:rsidRPr="00B47F97">
        <w:rPr>
          <w:rStyle w:val="FootnoteReference"/>
          <w:rFonts w:ascii="Verdana" w:hAnsi="Verdana"/>
          <w:sz w:val="20"/>
          <w:szCs w:val="20"/>
        </w:rPr>
        <w:footnoteReference w:id="9"/>
      </w:r>
    </w:p>
    <w:p w:rsidR="00522C43" w:rsidRPr="00B47F97" w:rsidRDefault="00522C43" w:rsidP="005466C8">
      <w:pPr>
        <w:tabs>
          <w:tab w:val="left" w:pos="709"/>
        </w:tabs>
        <w:suppressAutoHyphens/>
        <w:jc w:val="both"/>
        <w:rPr>
          <w:rFonts w:ascii="Verdana" w:hAnsi="Verdana"/>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In construing a statutory provision meaning must be ascribed to every word of the provision wherever possible.</w:t>
      </w:r>
      <w:r w:rsidRPr="00B47F97">
        <w:rPr>
          <w:rStyle w:val="FootnoteReference"/>
          <w:rFonts w:ascii="Verdana" w:hAnsi="Verdana"/>
          <w:sz w:val="20"/>
          <w:szCs w:val="20"/>
        </w:rPr>
        <w:footnoteReference w:id="10"/>
      </w:r>
      <w:r w:rsidRPr="00490C31">
        <w:rPr>
          <w:rFonts w:ascii="Verdana" w:hAnsi="Verdana"/>
          <w:sz w:val="20"/>
          <w:szCs w:val="20"/>
        </w:rPr>
        <w:t xml:space="preserve">  All words must prima facie be given meaning and effect and words are not to be considered superfluous or insignificant unless there is clear reason to do so.</w:t>
      </w:r>
      <w:r w:rsidRPr="00B47F97">
        <w:rPr>
          <w:rStyle w:val="FootnoteReference"/>
          <w:rFonts w:ascii="Verdana" w:hAnsi="Verdana"/>
          <w:sz w:val="20"/>
          <w:szCs w:val="20"/>
        </w:rPr>
        <w:footnoteReference w:id="11"/>
      </w:r>
    </w:p>
    <w:p w:rsidR="00522C43" w:rsidRPr="00B47F97" w:rsidRDefault="00522C43" w:rsidP="00E6318D">
      <w:pPr>
        <w:tabs>
          <w:tab w:val="left" w:pos="709"/>
        </w:tabs>
        <w:suppressAutoHyphens/>
        <w:ind w:hanging="709"/>
        <w:jc w:val="both"/>
        <w:rPr>
          <w:rFonts w:ascii="Verdana" w:hAnsi="Verdana"/>
          <w:sz w:val="20"/>
          <w:szCs w:val="20"/>
        </w:rPr>
      </w:pPr>
    </w:p>
    <w:p w:rsidR="00B47F97" w:rsidRPr="00490C31" w:rsidRDefault="00B47F97" w:rsidP="00E6318D">
      <w:pPr>
        <w:pStyle w:val="ListParagraph"/>
        <w:tabs>
          <w:tab w:val="left" w:pos="709"/>
        </w:tabs>
        <w:suppressAutoHyphens/>
        <w:ind w:hanging="709"/>
        <w:rPr>
          <w:rFonts w:ascii="Verdana" w:hAnsi="Verdana"/>
          <w:i/>
          <w:sz w:val="20"/>
          <w:szCs w:val="20"/>
        </w:rPr>
      </w:pPr>
      <w:r w:rsidRPr="00490C31">
        <w:rPr>
          <w:rFonts w:ascii="Verdana" w:hAnsi="Verdana"/>
          <w:i/>
          <w:sz w:val="20"/>
          <w:szCs w:val="20"/>
        </w:rPr>
        <w:t>Construction of section 14 of the Act</w:t>
      </w:r>
    </w:p>
    <w:p w:rsidR="00522C43" w:rsidRPr="00B47F97" w:rsidRDefault="00522C43" w:rsidP="00E6318D">
      <w:pPr>
        <w:tabs>
          <w:tab w:val="left" w:pos="709"/>
        </w:tabs>
        <w:suppressAutoHyphens/>
        <w:ind w:hanging="709"/>
        <w:jc w:val="both"/>
        <w:rPr>
          <w:rFonts w:ascii="Verdana" w:hAnsi="Verdana"/>
          <w:i/>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lastRenderedPageBreak/>
        <w:t>The purpose to the Act is to provide for the granting of long service leave to Tasmanian employees. Sections 13 and 14 of the Act deal with settlement of disputes including appeals from determinations of commissioners.</w:t>
      </w:r>
    </w:p>
    <w:p w:rsidR="00522C43" w:rsidRPr="00B47F97" w:rsidRDefault="00522C43" w:rsidP="005466C8">
      <w:pPr>
        <w:tabs>
          <w:tab w:val="left" w:pos="709"/>
        </w:tabs>
        <w:suppressAutoHyphens/>
        <w:jc w:val="both"/>
        <w:rPr>
          <w:rFonts w:ascii="Verdana" w:hAnsi="Verdana"/>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Appeals are creatures of statute. Accordingly the right to appeal, from what decision or determination one may appeal, how the appeal is to be instituted and heard and the bases upon which the appellant tribunal or court may determine the appeal must all be specified in legislation</w:t>
      </w:r>
      <w:r w:rsidRPr="00B47F97">
        <w:rPr>
          <w:rStyle w:val="FootnoteReference"/>
          <w:rFonts w:ascii="Verdana" w:hAnsi="Verdana"/>
          <w:sz w:val="20"/>
          <w:szCs w:val="20"/>
        </w:rPr>
        <w:footnoteReference w:id="12"/>
      </w:r>
      <w:r w:rsidRPr="00490C31">
        <w:rPr>
          <w:rFonts w:ascii="Verdana" w:hAnsi="Verdana"/>
          <w:sz w:val="20"/>
          <w:szCs w:val="20"/>
        </w:rPr>
        <w:t>. As such there are no common law rights which may be affected by a particular construction of the statute. Rather the statute grants a right which does not otherwise exist. As such there is no warrant to read down or otherwise construe the provision on the basis that the provision affects an existing common law right.</w:t>
      </w:r>
    </w:p>
    <w:p w:rsidR="00522C43" w:rsidRPr="00B47F97" w:rsidRDefault="00522C43" w:rsidP="005466C8">
      <w:pPr>
        <w:tabs>
          <w:tab w:val="left" w:pos="709"/>
        </w:tabs>
        <w:suppressAutoHyphens/>
        <w:jc w:val="both"/>
        <w:rPr>
          <w:rFonts w:ascii="Verdana" w:hAnsi="Verdana"/>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In our view therefore the words of the section must be read so as to give meaning and effect to each word and there is no basis to construe any words as superfluous or insignificant.</w:t>
      </w:r>
    </w:p>
    <w:p w:rsidR="00363BF7" w:rsidRPr="00B47F97" w:rsidRDefault="00363BF7" w:rsidP="005466C8">
      <w:pPr>
        <w:tabs>
          <w:tab w:val="left" w:pos="709"/>
        </w:tabs>
        <w:suppressAutoHyphens/>
        <w:jc w:val="both"/>
        <w:rPr>
          <w:rFonts w:ascii="Verdana" w:hAnsi="Verdana"/>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The plain reading of the text of s.14 of the Act is in our view that the right to appeal is made subject to subsection (2). To hold otherwise would be to give the words “[s]</w:t>
      </w:r>
      <w:proofErr w:type="spellStart"/>
      <w:r w:rsidRPr="00490C31">
        <w:rPr>
          <w:rFonts w:ascii="Verdana" w:hAnsi="Verdana"/>
          <w:sz w:val="20"/>
          <w:szCs w:val="20"/>
        </w:rPr>
        <w:t>ubject</w:t>
      </w:r>
      <w:proofErr w:type="spellEnd"/>
      <w:r w:rsidRPr="00490C31">
        <w:rPr>
          <w:rFonts w:ascii="Verdana" w:hAnsi="Verdana"/>
          <w:sz w:val="20"/>
          <w:szCs w:val="20"/>
        </w:rPr>
        <w:t xml:space="preserve"> to subsection (2)” no work to do.</w:t>
      </w:r>
    </w:p>
    <w:p w:rsidR="00363BF7" w:rsidRPr="00B47F97" w:rsidRDefault="00363BF7" w:rsidP="005466C8">
      <w:pPr>
        <w:tabs>
          <w:tab w:val="left" w:pos="709"/>
        </w:tabs>
        <w:suppressAutoHyphens/>
        <w:jc w:val="both"/>
        <w:rPr>
          <w:rFonts w:ascii="Verdana" w:hAnsi="Verdana"/>
          <w:sz w:val="20"/>
          <w:szCs w:val="20"/>
        </w:rPr>
      </w:pPr>
    </w:p>
    <w:p w:rsidR="00B47F97" w:rsidRPr="009C3DE5"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 xml:space="preserve">Accordingly the right to appeal is a right to appeal subject to (and in accordance with) subsection (2). As such the right to appeal is subject to the regulations to be made under </w:t>
      </w:r>
      <w:proofErr w:type="gramStart"/>
      <w:r w:rsidRPr="00490C31">
        <w:rPr>
          <w:rFonts w:ascii="Verdana" w:hAnsi="Verdana"/>
          <w:sz w:val="20"/>
          <w:szCs w:val="20"/>
        </w:rPr>
        <w:t>s.14(</w:t>
      </w:r>
      <w:proofErr w:type="gramEnd"/>
      <w:r w:rsidRPr="00490C31">
        <w:rPr>
          <w:rFonts w:ascii="Verdana" w:hAnsi="Verdana"/>
          <w:sz w:val="20"/>
          <w:szCs w:val="20"/>
        </w:rPr>
        <w:t xml:space="preserve">2) of the Act. Section 14(1) is to be read as </w:t>
      </w:r>
      <w:r w:rsidRPr="009C3DE5">
        <w:rPr>
          <w:rFonts w:ascii="Verdana" w:hAnsi="Verdana"/>
          <w:sz w:val="20"/>
          <w:szCs w:val="20"/>
        </w:rPr>
        <w:t>“subject to the regulations prescribing the way in which the appeal is to be instituted, heard, and determined an employer or employee who is aggrieved by ….a determination of a commissioner under section 13 may appeal to the Full Bench”.</w:t>
      </w:r>
    </w:p>
    <w:p w:rsidR="00363BF7" w:rsidRPr="00B47F97" w:rsidRDefault="00363BF7" w:rsidP="005466C8">
      <w:pPr>
        <w:tabs>
          <w:tab w:val="left" w:pos="709"/>
        </w:tabs>
        <w:suppressAutoHyphens/>
        <w:jc w:val="both"/>
        <w:rPr>
          <w:rFonts w:ascii="Verdana" w:hAnsi="Verdana"/>
          <w:i/>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 xml:space="preserve">We agree with </w:t>
      </w:r>
      <w:proofErr w:type="spellStart"/>
      <w:r w:rsidRPr="00490C31">
        <w:rPr>
          <w:rFonts w:ascii="Verdana" w:hAnsi="Verdana"/>
          <w:sz w:val="20"/>
          <w:szCs w:val="20"/>
        </w:rPr>
        <w:t>McTiernan</w:t>
      </w:r>
      <w:proofErr w:type="spellEnd"/>
      <w:r w:rsidRPr="00490C31">
        <w:rPr>
          <w:rFonts w:ascii="Verdana" w:hAnsi="Verdana"/>
          <w:sz w:val="20"/>
          <w:szCs w:val="20"/>
        </w:rPr>
        <w:t xml:space="preserve"> J in </w:t>
      </w:r>
      <w:r w:rsidRPr="00490C31">
        <w:rPr>
          <w:rFonts w:ascii="Verdana" w:hAnsi="Verdana"/>
          <w:i/>
          <w:sz w:val="20"/>
          <w:szCs w:val="20"/>
        </w:rPr>
        <w:t>Downey</w:t>
      </w:r>
      <w:r w:rsidRPr="00490C31">
        <w:rPr>
          <w:rFonts w:ascii="Verdana" w:hAnsi="Verdana"/>
          <w:sz w:val="20"/>
          <w:szCs w:val="20"/>
        </w:rPr>
        <w:t xml:space="preserve"> that</w:t>
      </w:r>
      <w:r w:rsidR="00576FCD">
        <w:rPr>
          <w:rFonts w:ascii="Verdana" w:hAnsi="Verdana"/>
          <w:sz w:val="20"/>
          <w:szCs w:val="20"/>
        </w:rPr>
        <w:t xml:space="preserve"> the words “as prescribed”</w:t>
      </w:r>
      <w:r w:rsidRPr="00490C31">
        <w:rPr>
          <w:rFonts w:ascii="Verdana" w:hAnsi="Verdana"/>
          <w:sz w:val="20"/>
          <w:szCs w:val="20"/>
        </w:rPr>
        <w:t xml:space="preserve"> are essential for giving a right to an aggrieved person to appeal.</w:t>
      </w:r>
    </w:p>
    <w:p w:rsidR="00363BF7" w:rsidRPr="00B47F97" w:rsidRDefault="00363BF7" w:rsidP="005466C8">
      <w:pPr>
        <w:tabs>
          <w:tab w:val="left" w:pos="709"/>
        </w:tabs>
        <w:suppressAutoHyphens/>
        <w:jc w:val="both"/>
        <w:rPr>
          <w:rFonts w:ascii="Verdana" w:hAnsi="Verdana"/>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To use the words of Kitto J set out above, a prescr</w:t>
      </w:r>
      <w:r w:rsidR="00576FCD">
        <w:rPr>
          <w:rFonts w:ascii="Verdana" w:hAnsi="Verdana"/>
          <w:sz w:val="20"/>
          <w:szCs w:val="20"/>
        </w:rPr>
        <w:t>ibed method is of the essence for</w:t>
      </w:r>
      <w:r w:rsidRPr="00490C31">
        <w:rPr>
          <w:rFonts w:ascii="Verdana" w:hAnsi="Verdana"/>
          <w:sz w:val="20"/>
          <w:szCs w:val="20"/>
        </w:rPr>
        <w:t xml:space="preserve"> the exercise of the right to appeal.</w:t>
      </w:r>
    </w:p>
    <w:p w:rsidR="00363BF7" w:rsidRPr="00B47F97" w:rsidRDefault="00363BF7" w:rsidP="005466C8">
      <w:pPr>
        <w:tabs>
          <w:tab w:val="left" w:pos="709"/>
        </w:tabs>
        <w:suppressAutoHyphens/>
        <w:jc w:val="both"/>
        <w:rPr>
          <w:rFonts w:ascii="Verdana" w:hAnsi="Verdana"/>
          <w:sz w:val="20"/>
          <w:szCs w:val="20"/>
        </w:rPr>
      </w:pPr>
    </w:p>
    <w:p w:rsidR="00B47F97"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We are fortified in that view as the regulations are not only to prescribe how the appeal is to be heard and determined (matters which might have been left up to an individual Full bench</w:t>
      </w:r>
      <w:r w:rsidR="00576FCD">
        <w:rPr>
          <w:rStyle w:val="FootnoteReference"/>
          <w:rFonts w:ascii="Verdana" w:hAnsi="Verdana"/>
          <w:sz w:val="20"/>
          <w:szCs w:val="20"/>
        </w:rPr>
        <w:footnoteReference w:id="13"/>
      </w:r>
      <w:r w:rsidRPr="00490C31">
        <w:rPr>
          <w:rFonts w:ascii="Verdana" w:hAnsi="Verdana"/>
          <w:sz w:val="20"/>
          <w:szCs w:val="20"/>
        </w:rPr>
        <w:t>) but how the appeal is to be instituted</w:t>
      </w:r>
      <w:r w:rsidR="00576FCD">
        <w:rPr>
          <w:rFonts w:ascii="Verdana" w:hAnsi="Verdana"/>
          <w:sz w:val="20"/>
          <w:szCs w:val="20"/>
        </w:rPr>
        <w:t xml:space="preserve"> and what powers the Full Bench has in deciding the appeal</w:t>
      </w:r>
      <w:r w:rsidRPr="00490C31">
        <w:rPr>
          <w:rFonts w:ascii="Verdana" w:hAnsi="Verdana"/>
          <w:sz w:val="20"/>
          <w:szCs w:val="20"/>
        </w:rPr>
        <w:t xml:space="preserve">. Contrary to the answer to </w:t>
      </w:r>
      <w:proofErr w:type="spellStart"/>
      <w:r w:rsidRPr="00490C31">
        <w:rPr>
          <w:rFonts w:ascii="Verdana" w:hAnsi="Verdana"/>
          <w:sz w:val="20"/>
          <w:szCs w:val="20"/>
        </w:rPr>
        <w:t>Windeyer</w:t>
      </w:r>
      <w:proofErr w:type="spellEnd"/>
      <w:r w:rsidRPr="00490C31">
        <w:rPr>
          <w:rFonts w:ascii="Verdana" w:hAnsi="Verdana"/>
          <w:sz w:val="20"/>
          <w:szCs w:val="20"/>
        </w:rPr>
        <w:t xml:space="preserve"> J’s question in </w:t>
      </w:r>
      <w:r w:rsidRPr="00490C31">
        <w:rPr>
          <w:rFonts w:ascii="Verdana" w:hAnsi="Verdana"/>
          <w:i/>
          <w:sz w:val="20"/>
          <w:szCs w:val="20"/>
        </w:rPr>
        <w:t xml:space="preserve">Downey </w:t>
      </w:r>
      <w:r w:rsidRPr="00490C31">
        <w:rPr>
          <w:rFonts w:ascii="Verdana" w:hAnsi="Verdana"/>
          <w:sz w:val="20"/>
          <w:szCs w:val="20"/>
        </w:rPr>
        <w:t>regarding what is left to prescribe, in the present case there are many matters. For example a time limit within which an aggrieved person may appeal; what the form of appeal is to contain; who the parties to the appeal are; and particularly significantly the powers of the Full Bench when hearing the appeal. Add to that that there is no guidance elsewhere i</w:t>
      </w:r>
      <w:r w:rsidR="00576FCD">
        <w:rPr>
          <w:rFonts w:ascii="Verdana" w:hAnsi="Verdana"/>
          <w:sz w:val="20"/>
          <w:szCs w:val="20"/>
        </w:rPr>
        <w:t>n the Act as to procedure which might be adopted by a Full Bench</w:t>
      </w:r>
      <w:r w:rsidRPr="00490C31">
        <w:rPr>
          <w:rFonts w:ascii="Verdana" w:hAnsi="Verdana"/>
          <w:sz w:val="20"/>
          <w:szCs w:val="20"/>
        </w:rPr>
        <w:t>, the content of the right to appeal, without regulations, is vague and uncertain in its form and substance.</w:t>
      </w:r>
    </w:p>
    <w:p w:rsidR="00C5623E" w:rsidRPr="00C5623E" w:rsidRDefault="00C5623E" w:rsidP="005466C8">
      <w:pPr>
        <w:pStyle w:val="ListParagraph"/>
        <w:tabs>
          <w:tab w:val="left" w:pos="709"/>
        </w:tabs>
        <w:ind w:left="0"/>
        <w:rPr>
          <w:rFonts w:ascii="Verdana" w:hAnsi="Verdana"/>
          <w:sz w:val="20"/>
          <w:szCs w:val="20"/>
        </w:rPr>
      </w:pPr>
    </w:p>
    <w:p w:rsidR="00C5623E" w:rsidRPr="00490C31" w:rsidRDefault="00C5623E" w:rsidP="005466C8">
      <w:pPr>
        <w:pStyle w:val="ListParagraph"/>
        <w:numPr>
          <w:ilvl w:val="0"/>
          <w:numId w:val="11"/>
        </w:numPr>
        <w:tabs>
          <w:tab w:val="left" w:pos="709"/>
        </w:tabs>
        <w:suppressAutoHyphens/>
        <w:ind w:left="0" w:firstLine="0"/>
        <w:rPr>
          <w:rFonts w:ascii="Verdana" w:hAnsi="Verdana"/>
          <w:sz w:val="20"/>
          <w:szCs w:val="20"/>
        </w:rPr>
      </w:pPr>
      <w:r>
        <w:rPr>
          <w:rFonts w:ascii="Verdana" w:hAnsi="Verdana"/>
          <w:sz w:val="20"/>
          <w:szCs w:val="20"/>
        </w:rPr>
        <w:t xml:space="preserve">It is of particular significance that the powers of the Full Bench on hearing the appeal are not prescribed. The Full Bench is a creature of statute and it has no inherent jurisdiction. Accordingly it can only exercise the powers it is specifically given by the statute. No powers have been prescribed by regulations. </w:t>
      </w:r>
    </w:p>
    <w:p w:rsidR="00363BF7" w:rsidRPr="00B47F97" w:rsidRDefault="00363BF7" w:rsidP="005466C8">
      <w:pPr>
        <w:tabs>
          <w:tab w:val="left" w:pos="709"/>
        </w:tabs>
        <w:suppressAutoHyphens/>
        <w:jc w:val="both"/>
        <w:rPr>
          <w:rFonts w:ascii="Verdana" w:hAnsi="Verdana"/>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lastRenderedPageBreak/>
        <w:t xml:space="preserve">The matters to be prescribed are significant and fundamental to the exercise of the ability to appeal. </w:t>
      </w:r>
    </w:p>
    <w:p w:rsidR="00363BF7" w:rsidRPr="00B47F97" w:rsidRDefault="00363BF7" w:rsidP="00E6318D">
      <w:pPr>
        <w:tabs>
          <w:tab w:val="left" w:pos="709"/>
        </w:tabs>
        <w:suppressAutoHyphens/>
        <w:ind w:hanging="709"/>
        <w:jc w:val="both"/>
        <w:rPr>
          <w:rFonts w:ascii="Verdana" w:hAnsi="Verdana"/>
          <w:sz w:val="20"/>
          <w:szCs w:val="20"/>
        </w:rPr>
      </w:pPr>
    </w:p>
    <w:p w:rsidR="00B47F97" w:rsidRPr="00490C31" w:rsidRDefault="00B47F97" w:rsidP="00E6318D">
      <w:pPr>
        <w:pStyle w:val="ListParagraph"/>
        <w:tabs>
          <w:tab w:val="left" w:pos="709"/>
        </w:tabs>
        <w:suppressAutoHyphens/>
        <w:ind w:hanging="709"/>
        <w:rPr>
          <w:rFonts w:ascii="Verdana" w:hAnsi="Verdana"/>
          <w:sz w:val="20"/>
          <w:szCs w:val="20"/>
        </w:rPr>
      </w:pPr>
      <w:r w:rsidRPr="00490C31">
        <w:rPr>
          <w:rFonts w:ascii="Verdana" w:hAnsi="Verdana"/>
          <w:sz w:val="20"/>
          <w:szCs w:val="20"/>
        </w:rPr>
        <w:t xml:space="preserve">In </w:t>
      </w:r>
      <w:r w:rsidRPr="00490C31">
        <w:rPr>
          <w:rFonts w:ascii="Verdana" w:hAnsi="Verdana"/>
          <w:i/>
          <w:sz w:val="20"/>
          <w:szCs w:val="20"/>
        </w:rPr>
        <w:t>Browne v Commissioner for Railways</w:t>
      </w:r>
      <w:r w:rsidRPr="00B47F97">
        <w:rPr>
          <w:rStyle w:val="FootnoteReference"/>
          <w:rFonts w:ascii="Verdana" w:hAnsi="Verdana"/>
          <w:i/>
          <w:sz w:val="20"/>
          <w:szCs w:val="20"/>
        </w:rPr>
        <w:footnoteReference w:id="14"/>
      </w:r>
      <w:r w:rsidRPr="00490C31">
        <w:rPr>
          <w:rFonts w:ascii="Verdana" w:hAnsi="Verdana"/>
          <w:i/>
          <w:sz w:val="20"/>
          <w:szCs w:val="20"/>
        </w:rPr>
        <w:t xml:space="preserve">  </w:t>
      </w:r>
      <w:r w:rsidRPr="00490C31">
        <w:rPr>
          <w:rFonts w:ascii="Verdana" w:hAnsi="Verdana"/>
          <w:sz w:val="20"/>
          <w:szCs w:val="20"/>
        </w:rPr>
        <w:t>it was said:</w:t>
      </w:r>
    </w:p>
    <w:p w:rsidR="00363BF7" w:rsidRPr="00B47F97" w:rsidRDefault="00363BF7" w:rsidP="00E6318D">
      <w:pPr>
        <w:tabs>
          <w:tab w:val="left" w:pos="709"/>
        </w:tabs>
        <w:suppressAutoHyphens/>
        <w:ind w:hanging="709"/>
        <w:jc w:val="both"/>
        <w:rPr>
          <w:rFonts w:ascii="Verdana" w:hAnsi="Verdana"/>
          <w:sz w:val="20"/>
          <w:szCs w:val="20"/>
        </w:rPr>
      </w:pPr>
    </w:p>
    <w:p w:rsidR="00B47F97" w:rsidRPr="00490C31" w:rsidRDefault="00727EF3" w:rsidP="00502B15">
      <w:pPr>
        <w:pStyle w:val="ListParagraph"/>
        <w:tabs>
          <w:tab w:val="left" w:pos="709"/>
        </w:tabs>
        <w:suppressAutoHyphens/>
        <w:ind w:left="1440" w:right="1082" w:hanging="709"/>
        <w:rPr>
          <w:rFonts w:ascii="Verdana" w:hAnsi="Verdana"/>
          <w:sz w:val="20"/>
          <w:szCs w:val="20"/>
        </w:rPr>
      </w:pPr>
      <w:r>
        <w:rPr>
          <w:rFonts w:ascii="Verdana" w:hAnsi="Verdana"/>
          <w:sz w:val="20"/>
          <w:szCs w:val="20"/>
        </w:rPr>
        <w:tab/>
      </w:r>
      <w:r w:rsidR="009C3DE5">
        <w:rPr>
          <w:rFonts w:ascii="Verdana" w:hAnsi="Verdana"/>
          <w:sz w:val="20"/>
          <w:szCs w:val="20"/>
        </w:rPr>
        <w:t>“</w:t>
      </w:r>
      <w:r w:rsidR="00B47F97" w:rsidRPr="00490C31">
        <w:rPr>
          <w:rFonts w:ascii="Verdana" w:hAnsi="Verdana"/>
          <w:sz w:val="20"/>
          <w:szCs w:val="20"/>
        </w:rPr>
        <w:t>So far as Courts are concerned, it has been held that if jurisdiction is conferred upon a Court, it may and should exercise that jurisdiction ; and if no procedural machinery has been provided, it is for the Court to provide such machinery as best it : Regina v. Justices of the Central Bailiwick,</w:t>
      </w:r>
      <w:r w:rsidR="00B47F97" w:rsidRPr="00490C31">
        <w:rPr>
          <w:rFonts w:ascii="Verdana" w:hAnsi="Verdana"/>
          <w:sz w:val="20"/>
          <w:szCs w:val="20"/>
        </w:rPr>
        <w:tab/>
        <w:t xml:space="preserve">Ex McEvoy (7 V.L.R. Law 90 at pp .. </w:t>
      </w:r>
      <w:proofErr w:type="gramStart"/>
      <w:r w:rsidR="00B47F97" w:rsidRPr="00490C31">
        <w:rPr>
          <w:rFonts w:ascii="Verdana" w:hAnsi="Verdana"/>
          <w:sz w:val="20"/>
          <w:szCs w:val="20"/>
        </w:rPr>
        <w:t>93-4); In the Will of Todd (13 V.L.R. 185 at p. 189); A.-G.</w:t>
      </w:r>
      <w:proofErr w:type="gramEnd"/>
      <w:r w:rsidR="00B47F97" w:rsidRPr="00490C31">
        <w:rPr>
          <w:rFonts w:ascii="Verdana" w:hAnsi="Verdana"/>
          <w:sz w:val="20"/>
          <w:szCs w:val="20"/>
        </w:rPr>
        <w:t xml:space="preserve"> </w:t>
      </w:r>
      <w:proofErr w:type="gramStart"/>
      <w:r w:rsidR="00B47F97" w:rsidRPr="00490C31">
        <w:rPr>
          <w:rFonts w:ascii="Verdana" w:hAnsi="Verdana"/>
          <w:sz w:val="20"/>
          <w:szCs w:val="20"/>
        </w:rPr>
        <w:t>for</w:t>
      </w:r>
      <w:proofErr w:type="gramEnd"/>
      <w:r w:rsidR="00B47F97" w:rsidRPr="00490C31">
        <w:rPr>
          <w:rFonts w:ascii="Verdana" w:hAnsi="Verdana"/>
          <w:sz w:val="20"/>
          <w:szCs w:val="20"/>
        </w:rPr>
        <w:t xml:space="preserve"> Ontario v. Daly ([1924] A.C. 1011 at p. 1015). If it is provided by Statute that an application may be made to a Court within the time and in the manner and on the conditions directed by rules of Court, this is regarded as creating a right in the applicant to make, and a duty in the Court to hear, the application, irrespectively of whether any rules have been made. In such a. case, there is a power in the Court to prescribe conditions by rules, but until it does so, the Court must deal with applications as justice and common sense demand: Inland Revenue Commissioners v. </w:t>
      </w:r>
      <w:proofErr w:type="spellStart"/>
      <w:r w:rsidR="00B47F97" w:rsidRPr="00490C31">
        <w:rPr>
          <w:rFonts w:ascii="Verdana" w:hAnsi="Verdana"/>
          <w:sz w:val="20"/>
          <w:szCs w:val="20"/>
        </w:rPr>
        <w:t>Joicey</w:t>
      </w:r>
      <w:proofErr w:type="spellEnd"/>
      <w:r w:rsidR="00B47F97" w:rsidRPr="00490C31">
        <w:rPr>
          <w:rFonts w:ascii="Verdana" w:hAnsi="Verdana"/>
          <w:sz w:val="20"/>
          <w:szCs w:val="20"/>
        </w:rPr>
        <w:t xml:space="preserve"> ([l913] 1 K.B. 445 at 451, 454-6</w:t>
      </w:r>
      <w:proofErr w:type="gramStart"/>
      <w:r w:rsidR="00B47F97" w:rsidRPr="00490C31">
        <w:rPr>
          <w:rFonts w:ascii="Verdana" w:hAnsi="Verdana"/>
          <w:sz w:val="20"/>
          <w:szCs w:val="20"/>
        </w:rPr>
        <w:t>) ;</w:t>
      </w:r>
      <w:proofErr w:type="gramEnd"/>
      <w:r w:rsidR="00B47F97" w:rsidRPr="00490C31">
        <w:rPr>
          <w:rFonts w:ascii="Verdana" w:hAnsi="Verdana"/>
          <w:sz w:val="20"/>
          <w:szCs w:val="20"/>
        </w:rPr>
        <w:t xml:space="preserve"> H.M.S. Archer ([1919] P. 1 at p. 5); White Transit Co. Ltd. v. Metropolitan Transport Trust (Cor. Harvey J. 5-6-31). It has been said also that where an Act provides that something is to be done by a public officer of a judicial or quasi-judicial nature, and no machinery is provided, he must do the best he can with the means he has available: Edgar v. Greenwood ([1910] V.L.J ... 137 at pp. 144-5).</w:t>
      </w:r>
      <w:r w:rsidR="009C3DE5">
        <w:rPr>
          <w:rFonts w:ascii="Verdana" w:hAnsi="Verdana"/>
          <w:sz w:val="20"/>
          <w:szCs w:val="20"/>
        </w:rPr>
        <w:t>”</w:t>
      </w:r>
    </w:p>
    <w:p w:rsidR="00363BF7" w:rsidRPr="00B47F97" w:rsidRDefault="00363BF7" w:rsidP="00E6318D">
      <w:pPr>
        <w:tabs>
          <w:tab w:val="left" w:pos="709"/>
        </w:tabs>
        <w:suppressAutoHyphens/>
        <w:ind w:left="720" w:hanging="709"/>
        <w:jc w:val="both"/>
        <w:rPr>
          <w:rFonts w:ascii="Verdana" w:hAnsi="Verdana"/>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However we are of the view that the present provision clearly provides that the right to appeal itself is subject to prescription such that the Full bench is not conferred with jurisdiction and that procedure is a matter for the Full Bench.</w:t>
      </w:r>
    </w:p>
    <w:p w:rsidR="00363BF7" w:rsidRPr="00B47F97" w:rsidRDefault="00363BF7" w:rsidP="005466C8">
      <w:pPr>
        <w:tabs>
          <w:tab w:val="left" w:pos="709"/>
        </w:tabs>
        <w:suppressAutoHyphens/>
        <w:jc w:val="both"/>
        <w:rPr>
          <w:rFonts w:ascii="Verdana" w:hAnsi="Verdana"/>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 xml:space="preserve">It is unlike, for example the case of </w:t>
      </w:r>
      <w:proofErr w:type="spellStart"/>
      <w:r w:rsidRPr="00490C31">
        <w:rPr>
          <w:rFonts w:ascii="Verdana" w:hAnsi="Verdana"/>
          <w:i/>
          <w:sz w:val="20"/>
          <w:szCs w:val="20"/>
        </w:rPr>
        <w:t>Moate</w:t>
      </w:r>
      <w:proofErr w:type="spellEnd"/>
      <w:r w:rsidRPr="00490C31">
        <w:rPr>
          <w:rFonts w:ascii="Verdana" w:hAnsi="Verdana"/>
          <w:i/>
          <w:sz w:val="20"/>
          <w:szCs w:val="20"/>
        </w:rPr>
        <w:t xml:space="preserve"> v </w:t>
      </w:r>
      <w:proofErr w:type="spellStart"/>
      <w:r w:rsidRPr="00490C31">
        <w:rPr>
          <w:rFonts w:ascii="Verdana" w:hAnsi="Verdana"/>
          <w:i/>
          <w:sz w:val="20"/>
          <w:szCs w:val="20"/>
        </w:rPr>
        <w:t>Dartnell</w:t>
      </w:r>
      <w:proofErr w:type="spellEnd"/>
      <w:r w:rsidRPr="00B47F97">
        <w:rPr>
          <w:rStyle w:val="FootnoteReference"/>
          <w:rFonts w:ascii="Verdana" w:hAnsi="Verdana"/>
          <w:i/>
          <w:sz w:val="20"/>
          <w:szCs w:val="20"/>
        </w:rPr>
        <w:footnoteReference w:id="15"/>
      </w:r>
      <w:r w:rsidRPr="00490C31">
        <w:rPr>
          <w:rFonts w:ascii="Verdana" w:hAnsi="Verdana"/>
          <w:sz w:val="20"/>
          <w:szCs w:val="20"/>
        </w:rPr>
        <w:t xml:space="preserve"> where a provision in legislation gave a right to issue what is now known as a third party notice. The </w:t>
      </w:r>
      <w:r w:rsidRPr="009C3DE5">
        <w:rPr>
          <w:rFonts w:ascii="Verdana" w:hAnsi="Verdana"/>
          <w:sz w:val="20"/>
          <w:szCs w:val="20"/>
        </w:rPr>
        <w:t>following</w:t>
      </w:r>
      <w:r w:rsidRPr="00490C31">
        <w:rPr>
          <w:rFonts w:ascii="Verdana" w:hAnsi="Verdana"/>
          <w:sz w:val="20"/>
          <w:szCs w:val="20"/>
        </w:rPr>
        <w:t xml:space="preserve"> provision in the act provided that the way in which the third party procedure was to be carried out was to be the subject of rules of court. There were no rules. The statute there however granted the right in a separate and distinct provision (from that of the procedure) so that the party could exercise that right notwithstanding the absence of rules.</w:t>
      </w:r>
    </w:p>
    <w:p w:rsidR="00363BF7" w:rsidRPr="00B47F97" w:rsidRDefault="00363BF7" w:rsidP="005466C8">
      <w:pPr>
        <w:tabs>
          <w:tab w:val="left" w:pos="709"/>
        </w:tabs>
        <w:suppressAutoHyphens/>
        <w:jc w:val="both"/>
        <w:rPr>
          <w:rFonts w:ascii="Verdana" w:hAnsi="Verdana"/>
          <w:sz w:val="20"/>
          <w:szCs w:val="20"/>
        </w:rPr>
      </w:pPr>
    </w:p>
    <w:p w:rsidR="00B47F97" w:rsidRPr="00490C31" w:rsidRDefault="00B47F97" w:rsidP="005466C8">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 xml:space="preserve">Adopting the principles referred to in </w:t>
      </w:r>
      <w:r w:rsidRPr="00490C31">
        <w:rPr>
          <w:rFonts w:ascii="Verdana" w:hAnsi="Verdana"/>
          <w:i/>
          <w:sz w:val="20"/>
          <w:szCs w:val="20"/>
        </w:rPr>
        <w:t xml:space="preserve">Brown </w:t>
      </w:r>
      <w:r w:rsidRPr="00490C31">
        <w:rPr>
          <w:rFonts w:ascii="Verdana" w:hAnsi="Verdana"/>
          <w:sz w:val="20"/>
          <w:szCs w:val="20"/>
        </w:rPr>
        <w:t xml:space="preserve">the court held the absence of rules was not fatal to the right to issue the third party notice. Here however the very “right” to appeal is subject to the making of regulations. Accordingly we are of the view that the line of authority referred to in </w:t>
      </w:r>
      <w:r w:rsidRPr="00490C31">
        <w:rPr>
          <w:rFonts w:ascii="Verdana" w:hAnsi="Verdana"/>
          <w:i/>
          <w:sz w:val="20"/>
          <w:szCs w:val="20"/>
        </w:rPr>
        <w:t xml:space="preserve">Browne </w:t>
      </w:r>
      <w:r w:rsidRPr="00490C31">
        <w:rPr>
          <w:rFonts w:ascii="Verdana" w:hAnsi="Verdana"/>
          <w:sz w:val="20"/>
          <w:szCs w:val="20"/>
        </w:rPr>
        <w:t>is of no assistance.</w:t>
      </w:r>
    </w:p>
    <w:p w:rsidR="00363BF7" w:rsidRPr="00B47F97" w:rsidRDefault="00363BF7" w:rsidP="00E6318D">
      <w:pPr>
        <w:tabs>
          <w:tab w:val="left" w:pos="709"/>
        </w:tabs>
        <w:suppressAutoHyphens/>
        <w:ind w:hanging="709"/>
        <w:jc w:val="both"/>
        <w:rPr>
          <w:rFonts w:ascii="Verdana" w:hAnsi="Verdana"/>
          <w:sz w:val="20"/>
          <w:szCs w:val="20"/>
        </w:rPr>
      </w:pPr>
    </w:p>
    <w:p w:rsidR="00B47F97" w:rsidRPr="00490C31" w:rsidRDefault="00B47F97" w:rsidP="00E6318D">
      <w:pPr>
        <w:pStyle w:val="ListParagraph"/>
        <w:tabs>
          <w:tab w:val="left" w:pos="709"/>
        </w:tabs>
        <w:suppressAutoHyphens/>
        <w:ind w:hanging="709"/>
        <w:rPr>
          <w:rFonts w:ascii="Verdana" w:hAnsi="Verdana"/>
          <w:b/>
          <w:sz w:val="20"/>
          <w:szCs w:val="20"/>
        </w:rPr>
      </w:pPr>
      <w:r w:rsidRPr="00490C31">
        <w:rPr>
          <w:rFonts w:ascii="Verdana" w:hAnsi="Verdana"/>
          <w:b/>
          <w:sz w:val="20"/>
          <w:szCs w:val="20"/>
        </w:rPr>
        <w:t>Conclusion on the Right to Appeal</w:t>
      </w:r>
    </w:p>
    <w:p w:rsidR="00363BF7" w:rsidRPr="00B47F97" w:rsidRDefault="00363BF7" w:rsidP="00E6318D">
      <w:pPr>
        <w:tabs>
          <w:tab w:val="left" w:pos="709"/>
        </w:tabs>
        <w:suppressAutoHyphens/>
        <w:ind w:hanging="709"/>
        <w:jc w:val="both"/>
        <w:rPr>
          <w:rFonts w:ascii="Verdana" w:hAnsi="Verdana"/>
          <w:b/>
          <w:sz w:val="20"/>
          <w:szCs w:val="20"/>
        </w:rPr>
      </w:pPr>
    </w:p>
    <w:p w:rsidR="00B47F97" w:rsidRPr="00490C31" w:rsidRDefault="00B47F97" w:rsidP="009B1AAE">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In our opinion the right to appeal under section 14 of the Act is subject to regulations prescribing the manner in which an appeal is to be instituted, heard, and determined. In the absence of such regulations the Appellant has no right to appeal.</w:t>
      </w:r>
    </w:p>
    <w:p w:rsidR="00363BF7" w:rsidRPr="00B47F97" w:rsidRDefault="00363BF7" w:rsidP="009B1AAE">
      <w:pPr>
        <w:tabs>
          <w:tab w:val="left" w:pos="709"/>
        </w:tabs>
        <w:suppressAutoHyphens/>
        <w:jc w:val="both"/>
        <w:rPr>
          <w:rFonts w:ascii="Verdana" w:hAnsi="Verdana"/>
          <w:sz w:val="20"/>
          <w:szCs w:val="20"/>
        </w:rPr>
      </w:pPr>
    </w:p>
    <w:p w:rsidR="00B47F97" w:rsidRPr="00490C31" w:rsidRDefault="00B47F97" w:rsidP="009B1AAE">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lastRenderedPageBreak/>
        <w:t>Accordingly we are unable to proceed to hear and determine the appeal.</w:t>
      </w:r>
    </w:p>
    <w:p w:rsidR="00363BF7" w:rsidRPr="00B47F97" w:rsidRDefault="00363BF7" w:rsidP="00E6318D">
      <w:pPr>
        <w:tabs>
          <w:tab w:val="left" w:pos="709"/>
        </w:tabs>
        <w:suppressAutoHyphens/>
        <w:ind w:hanging="709"/>
        <w:jc w:val="both"/>
        <w:rPr>
          <w:rFonts w:ascii="Verdana" w:hAnsi="Verdana"/>
          <w:sz w:val="20"/>
          <w:szCs w:val="20"/>
        </w:rPr>
      </w:pPr>
    </w:p>
    <w:p w:rsidR="00B47F97" w:rsidRPr="00490C31" w:rsidRDefault="00B47F97" w:rsidP="00E6318D">
      <w:pPr>
        <w:pStyle w:val="ListParagraph"/>
        <w:tabs>
          <w:tab w:val="left" w:pos="709"/>
        </w:tabs>
        <w:suppressAutoHyphens/>
        <w:ind w:hanging="709"/>
        <w:rPr>
          <w:rFonts w:ascii="Verdana" w:hAnsi="Verdana"/>
          <w:b/>
          <w:sz w:val="20"/>
          <w:szCs w:val="20"/>
        </w:rPr>
      </w:pPr>
      <w:r w:rsidRPr="00490C31">
        <w:rPr>
          <w:rFonts w:ascii="Verdana" w:hAnsi="Verdana"/>
          <w:b/>
          <w:sz w:val="20"/>
          <w:szCs w:val="20"/>
        </w:rPr>
        <w:t>The Jurisdictional Point</w:t>
      </w:r>
    </w:p>
    <w:p w:rsidR="00363BF7" w:rsidRPr="00B47F97" w:rsidRDefault="00363BF7" w:rsidP="00E6318D">
      <w:pPr>
        <w:tabs>
          <w:tab w:val="left" w:pos="709"/>
        </w:tabs>
        <w:suppressAutoHyphens/>
        <w:ind w:hanging="709"/>
        <w:jc w:val="both"/>
        <w:rPr>
          <w:rFonts w:ascii="Verdana" w:hAnsi="Verdana"/>
          <w:b/>
          <w:sz w:val="20"/>
          <w:szCs w:val="20"/>
        </w:rPr>
      </w:pPr>
    </w:p>
    <w:p w:rsidR="00B47F97" w:rsidRPr="00490C31" w:rsidRDefault="00B47F97" w:rsidP="009B1AAE">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Whist is it is unnecessary to decide, we will say a few words about the application to dismiss the Appeal for want of jurisdiction.</w:t>
      </w:r>
    </w:p>
    <w:p w:rsidR="00363BF7" w:rsidRPr="00B47F97" w:rsidRDefault="00363BF7" w:rsidP="009B1AAE">
      <w:pPr>
        <w:tabs>
          <w:tab w:val="left" w:pos="709"/>
        </w:tabs>
        <w:suppressAutoHyphens/>
        <w:jc w:val="both"/>
        <w:rPr>
          <w:rFonts w:ascii="Verdana" w:hAnsi="Verdana"/>
          <w:sz w:val="20"/>
          <w:szCs w:val="20"/>
        </w:rPr>
      </w:pPr>
    </w:p>
    <w:p w:rsidR="00B47F97" w:rsidRPr="00490C31" w:rsidRDefault="00B47F97" w:rsidP="009B1AAE">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 xml:space="preserve">Had the Appellant had an exercisable right to appeal we would have found that </w:t>
      </w:r>
      <w:r w:rsidR="0098759A">
        <w:rPr>
          <w:rFonts w:ascii="Verdana" w:hAnsi="Verdana"/>
          <w:sz w:val="20"/>
          <w:szCs w:val="20"/>
        </w:rPr>
        <w:t>it</w:t>
      </w:r>
      <w:r w:rsidRPr="00490C31">
        <w:rPr>
          <w:rFonts w:ascii="Verdana" w:hAnsi="Verdana"/>
          <w:sz w:val="20"/>
          <w:szCs w:val="20"/>
        </w:rPr>
        <w:t xml:space="preserve"> had properly invoked the jurisdiction. The error in the Notice of Appeal is that it refers to the </w:t>
      </w:r>
      <w:r w:rsidRPr="00490C31">
        <w:rPr>
          <w:rFonts w:ascii="Verdana" w:hAnsi="Verdana"/>
          <w:i/>
          <w:sz w:val="20"/>
          <w:szCs w:val="20"/>
        </w:rPr>
        <w:t xml:space="preserve">Industrial Relations Act </w:t>
      </w:r>
      <w:r w:rsidRPr="00490C31">
        <w:rPr>
          <w:rFonts w:ascii="Verdana" w:hAnsi="Verdana"/>
          <w:sz w:val="20"/>
          <w:szCs w:val="20"/>
        </w:rPr>
        <w:t>and not the Act.</w:t>
      </w:r>
    </w:p>
    <w:p w:rsidR="00363BF7" w:rsidRPr="00B47F97" w:rsidRDefault="00363BF7" w:rsidP="00E6318D">
      <w:pPr>
        <w:tabs>
          <w:tab w:val="left" w:pos="709"/>
        </w:tabs>
        <w:suppressAutoHyphens/>
        <w:ind w:hanging="709"/>
        <w:jc w:val="both"/>
        <w:rPr>
          <w:rFonts w:ascii="Verdana" w:hAnsi="Verdana"/>
          <w:sz w:val="20"/>
          <w:szCs w:val="20"/>
        </w:rPr>
      </w:pPr>
    </w:p>
    <w:p w:rsidR="00B47F97" w:rsidRPr="00490C31" w:rsidRDefault="00B47F97" w:rsidP="00E6318D">
      <w:pPr>
        <w:pStyle w:val="ListParagraph"/>
        <w:tabs>
          <w:tab w:val="left" w:pos="709"/>
        </w:tabs>
        <w:suppressAutoHyphens/>
        <w:ind w:hanging="709"/>
        <w:rPr>
          <w:rFonts w:ascii="Verdana" w:hAnsi="Verdana"/>
          <w:sz w:val="20"/>
          <w:szCs w:val="20"/>
        </w:rPr>
      </w:pPr>
      <w:r w:rsidRPr="00490C31">
        <w:rPr>
          <w:rFonts w:ascii="Verdana" w:hAnsi="Verdana"/>
          <w:sz w:val="20"/>
          <w:szCs w:val="20"/>
        </w:rPr>
        <w:t>However the Notice otherwise properly:</w:t>
      </w:r>
    </w:p>
    <w:p w:rsidR="00363BF7" w:rsidRPr="00B47F97" w:rsidRDefault="00363BF7" w:rsidP="00E6318D">
      <w:pPr>
        <w:tabs>
          <w:tab w:val="left" w:pos="709"/>
        </w:tabs>
        <w:suppressAutoHyphens/>
        <w:ind w:hanging="709"/>
        <w:jc w:val="both"/>
        <w:rPr>
          <w:rFonts w:ascii="Verdana" w:hAnsi="Verdana"/>
          <w:sz w:val="20"/>
          <w:szCs w:val="20"/>
        </w:rPr>
      </w:pPr>
    </w:p>
    <w:p w:rsidR="00B47F97" w:rsidRPr="00B47F97" w:rsidRDefault="00B47F97" w:rsidP="009C3DE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uto"/>
        <w:ind w:left="709" w:firstLine="142"/>
        <w:contextualSpacing/>
        <w:rPr>
          <w:rFonts w:ascii="Verdana" w:hAnsi="Verdana"/>
          <w:sz w:val="20"/>
          <w:szCs w:val="20"/>
        </w:rPr>
      </w:pPr>
      <w:r w:rsidRPr="00B47F97">
        <w:rPr>
          <w:rFonts w:ascii="Verdana" w:hAnsi="Verdana"/>
          <w:sz w:val="20"/>
          <w:szCs w:val="20"/>
        </w:rPr>
        <w:t>Identifies the determination from which the appeal is made; and</w:t>
      </w:r>
    </w:p>
    <w:p w:rsidR="00B47F97" w:rsidRDefault="00B47F97" w:rsidP="009C3DE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uto"/>
        <w:ind w:left="709" w:firstLine="142"/>
        <w:contextualSpacing/>
        <w:rPr>
          <w:rFonts w:ascii="Verdana" w:hAnsi="Verdana"/>
          <w:sz w:val="20"/>
          <w:szCs w:val="20"/>
        </w:rPr>
      </w:pPr>
      <w:r w:rsidRPr="00B47F97">
        <w:rPr>
          <w:rFonts w:ascii="Verdana" w:hAnsi="Verdana"/>
          <w:sz w:val="20"/>
          <w:szCs w:val="20"/>
        </w:rPr>
        <w:t>Specifies in its grounds that the appeal relates to issues under the Act.</w:t>
      </w:r>
    </w:p>
    <w:p w:rsidR="00E75932" w:rsidRPr="00B47F97" w:rsidRDefault="00E75932" w:rsidP="00E6318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uto"/>
        <w:ind w:left="1440" w:hanging="709"/>
        <w:contextualSpacing/>
        <w:rPr>
          <w:rFonts w:ascii="Verdana" w:hAnsi="Verdana"/>
          <w:sz w:val="20"/>
          <w:szCs w:val="20"/>
        </w:rPr>
      </w:pPr>
    </w:p>
    <w:p w:rsidR="00B47F97" w:rsidRPr="00490C31" w:rsidRDefault="00B47F97" w:rsidP="006F3D2B">
      <w:pPr>
        <w:pStyle w:val="ListParagraph"/>
        <w:numPr>
          <w:ilvl w:val="0"/>
          <w:numId w:val="11"/>
        </w:numPr>
        <w:tabs>
          <w:tab w:val="left" w:pos="0"/>
        </w:tabs>
        <w:suppressAutoHyphens/>
        <w:ind w:left="0" w:firstLine="0"/>
        <w:rPr>
          <w:rFonts w:ascii="Verdana" w:hAnsi="Verdana"/>
          <w:sz w:val="20"/>
          <w:szCs w:val="20"/>
        </w:rPr>
      </w:pPr>
      <w:r w:rsidRPr="00490C31">
        <w:rPr>
          <w:rFonts w:ascii="Verdana" w:hAnsi="Verdana"/>
          <w:sz w:val="20"/>
          <w:szCs w:val="20"/>
        </w:rPr>
        <w:t>The Respondent is not prejudiced in any relevant way by the mistake in referring to the wrong legislation. The point sought to be raised is putting form over substance. It is also noted that the absence of regulations is to the effect that there is no time limit applying to this appeal. Accordingly the Appellant could have applied to amend the Notice at any time. The Respondent could hardly argue any relevant prejudi</w:t>
      </w:r>
      <w:r w:rsidR="00A16A24">
        <w:rPr>
          <w:rFonts w:ascii="Verdana" w:hAnsi="Verdana"/>
          <w:sz w:val="20"/>
          <w:szCs w:val="20"/>
        </w:rPr>
        <w:t>ce if the amendment was allowed given that the pith and substance of the Notice would not be amended.</w:t>
      </w:r>
    </w:p>
    <w:p w:rsidR="00363BF7" w:rsidRPr="00B47F97" w:rsidRDefault="00363BF7" w:rsidP="00E6318D">
      <w:pPr>
        <w:tabs>
          <w:tab w:val="left" w:pos="709"/>
        </w:tabs>
        <w:suppressAutoHyphens/>
        <w:ind w:hanging="709"/>
        <w:jc w:val="both"/>
        <w:rPr>
          <w:rFonts w:ascii="Verdana" w:hAnsi="Verdana"/>
          <w:sz w:val="20"/>
          <w:szCs w:val="20"/>
        </w:rPr>
      </w:pPr>
    </w:p>
    <w:p w:rsidR="00B47F97" w:rsidRDefault="00B47F97" w:rsidP="00DB049C">
      <w:pPr>
        <w:pStyle w:val="ListParagraph"/>
        <w:numPr>
          <w:ilvl w:val="0"/>
          <w:numId w:val="11"/>
        </w:numPr>
        <w:tabs>
          <w:tab w:val="left" w:pos="709"/>
        </w:tabs>
        <w:suppressAutoHyphens/>
        <w:ind w:left="0" w:firstLine="0"/>
        <w:rPr>
          <w:rFonts w:ascii="Verdana" w:hAnsi="Verdana"/>
          <w:sz w:val="20"/>
          <w:szCs w:val="20"/>
        </w:rPr>
      </w:pPr>
      <w:r w:rsidRPr="00490C31">
        <w:rPr>
          <w:rFonts w:ascii="Verdana" w:hAnsi="Verdana"/>
          <w:sz w:val="20"/>
          <w:szCs w:val="20"/>
        </w:rPr>
        <w:t xml:space="preserve">The only point of significance which the Respondent makes is that it is asserted any amendment ought not to be allowed because the Appeal is without merit. In our view, given the nature of the error </w:t>
      </w:r>
      <w:r w:rsidR="0098759A">
        <w:rPr>
          <w:rFonts w:ascii="Verdana" w:hAnsi="Verdana"/>
          <w:sz w:val="20"/>
          <w:szCs w:val="20"/>
        </w:rPr>
        <w:t xml:space="preserve">in the Notice </w:t>
      </w:r>
      <w:r w:rsidRPr="00490C31">
        <w:rPr>
          <w:rFonts w:ascii="Verdana" w:hAnsi="Verdana"/>
          <w:sz w:val="20"/>
          <w:szCs w:val="20"/>
        </w:rPr>
        <w:t>and the fact th</w:t>
      </w:r>
      <w:r w:rsidR="00A16A24">
        <w:rPr>
          <w:rFonts w:ascii="Verdana" w:hAnsi="Verdana"/>
          <w:sz w:val="20"/>
          <w:szCs w:val="20"/>
        </w:rPr>
        <w:t>at there is no discernable prejudice to the Respondent</w:t>
      </w:r>
      <w:r w:rsidRPr="00490C31">
        <w:rPr>
          <w:rFonts w:ascii="Verdana" w:hAnsi="Verdana"/>
          <w:sz w:val="20"/>
          <w:szCs w:val="20"/>
        </w:rPr>
        <w:t xml:space="preserve">, that it would </w:t>
      </w:r>
      <w:r w:rsidR="00A16A24">
        <w:rPr>
          <w:rFonts w:ascii="Verdana" w:hAnsi="Verdana"/>
          <w:sz w:val="20"/>
          <w:szCs w:val="20"/>
        </w:rPr>
        <w:t xml:space="preserve">have </w:t>
      </w:r>
      <w:r w:rsidR="00A16A24" w:rsidRPr="00490C31">
        <w:rPr>
          <w:rFonts w:ascii="Verdana" w:hAnsi="Verdana"/>
          <w:sz w:val="20"/>
          <w:szCs w:val="20"/>
        </w:rPr>
        <w:t>be</w:t>
      </w:r>
      <w:r w:rsidR="00A16A24">
        <w:rPr>
          <w:rFonts w:ascii="Verdana" w:hAnsi="Verdana"/>
          <w:sz w:val="20"/>
          <w:szCs w:val="20"/>
        </w:rPr>
        <w:t>en</w:t>
      </w:r>
      <w:r w:rsidRPr="00490C31">
        <w:rPr>
          <w:rFonts w:ascii="Verdana" w:hAnsi="Verdana"/>
          <w:sz w:val="20"/>
          <w:szCs w:val="20"/>
        </w:rPr>
        <w:t xml:space="preserve"> inappropriate not to allow the amendment and allow the Appellant to proceed.</w:t>
      </w:r>
      <w:r w:rsidR="00A16A24">
        <w:rPr>
          <w:rFonts w:ascii="Verdana" w:hAnsi="Verdana"/>
          <w:sz w:val="20"/>
          <w:szCs w:val="20"/>
        </w:rPr>
        <w:t xml:space="preserve"> The Appellant should not have been locked out of </w:t>
      </w:r>
      <w:r w:rsidR="0098759A">
        <w:rPr>
          <w:rFonts w:ascii="Verdana" w:hAnsi="Verdana"/>
          <w:sz w:val="20"/>
          <w:szCs w:val="20"/>
        </w:rPr>
        <w:t>its</w:t>
      </w:r>
      <w:r w:rsidR="00A16A24">
        <w:rPr>
          <w:rFonts w:ascii="Verdana" w:hAnsi="Verdana"/>
          <w:sz w:val="20"/>
          <w:szCs w:val="20"/>
        </w:rPr>
        <w:t xml:space="preserve"> argument on the basis of </w:t>
      </w:r>
      <w:r w:rsidR="00660AFE">
        <w:rPr>
          <w:rFonts w:ascii="Verdana" w:hAnsi="Verdana"/>
          <w:sz w:val="20"/>
          <w:szCs w:val="20"/>
        </w:rPr>
        <w:t>a submission which</w:t>
      </w:r>
      <w:r w:rsidR="00A16A24">
        <w:rPr>
          <w:rFonts w:ascii="Verdana" w:hAnsi="Verdana"/>
          <w:sz w:val="20"/>
          <w:szCs w:val="20"/>
        </w:rPr>
        <w:t xml:space="preserve"> essentially </w:t>
      </w:r>
      <w:r w:rsidR="00660AFE">
        <w:rPr>
          <w:rFonts w:ascii="Verdana" w:hAnsi="Verdana"/>
          <w:sz w:val="20"/>
          <w:szCs w:val="20"/>
        </w:rPr>
        <w:t xml:space="preserve">amounts to </w:t>
      </w:r>
      <w:r w:rsidR="00A16A24">
        <w:rPr>
          <w:rFonts w:ascii="Verdana" w:hAnsi="Verdana"/>
          <w:sz w:val="20"/>
          <w:szCs w:val="20"/>
        </w:rPr>
        <w:t>an application to summarily dismiss the appeal.</w:t>
      </w:r>
    </w:p>
    <w:p w:rsidR="00B47F97" w:rsidRPr="00B47F97" w:rsidRDefault="00B47F97" w:rsidP="00512B89">
      <w:pPr>
        <w:suppressAutoHyphens/>
        <w:jc w:val="both"/>
        <w:rPr>
          <w:rFonts w:ascii="Verdana" w:hAnsi="Verdana"/>
          <w:b/>
          <w:sz w:val="20"/>
          <w:szCs w:val="20"/>
        </w:rPr>
      </w:pPr>
    </w:p>
    <w:p w:rsidR="00B47F97" w:rsidRPr="00DB049C" w:rsidRDefault="00B47F97" w:rsidP="00DB049C">
      <w:pPr>
        <w:suppressAutoHyphens/>
        <w:rPr>
          <w:rFonts w:ascii="Verdana" w:hAnsi="Verdana"/>
          <w:b/>
          <w:sz w:val="20"/>
          <w:szCs w:val="20"/>
        </w:rPr>
      </w:pPr>
      <w:r w:rsidRPr="00DB049C">
        <w:rPr>
          <w:rFonts w:ascii="Verdana" w:hAnsi="Verdana"/>
          <w:b/>
          <w:sz w:val="20"/>
          <w:szCs w:val="20"/>
        </w:rPr>
        <w:t>Conclusion</w:t>
      </w:r>
      <w:r w:rsidR="0067752B" w:rsidRPr="00DB049C">
        <w:rPr>
          <w:rFonts w:ascii="Verdana" w:hAnsi="Verdana"/>
          <w:b/>
          <w:sz w:val="20"/>
          <w:szCs w:val="20"/>
        </w:rPr>
        <w:t xml:space="preserve"> and disposition</w:t>
      </w:r>
    </w:p>
    <w:p w:rsidR="00363BF7" w:rsidRPr="00B47F97" w:rsidRDefault="00363BF7" w:rsidP="00727EF3">
      <w:pPr>
        <w:suppressAutoHyphens/>
        <w:ind w:left="709" w:hanging="709"/>
        <w:jc w:val="both"/>
        <w:rPr>
          <w:rFonts w:ascii="Verdana" w:hAnsi="Verdana"/>
          <w:b/>
          <w:sz w:val="20"/>
          <w:szCs w:val="20"/>
        </w:rPr>
      </w:pPr>
    </w:p>
    <w:p w:rsidR="00B47F97" w:rsidRPr="00490C31" w:rsidRDefault="00B47F97" w:rsidP="00DB049C">
      <w:pPr>
        <w:pStyle w:val="ListParagraph"/>
        <w:numPr>
          <w:ilvl w:val="0"/>
          <w:numId w:val="11"/>
        </w:numPr>
        <w:suppressAutoHyphens/>
        <w:ind w:left="0" w:firstLine="0"/>
        <w:rPr>
          <w:rFonts w:ascii="Verdana" w:hAnsi="Verdana"/>
          <w:sz w:val="20"/>
          <w:szCs w:val="20"/>
        </w:rPr>
      </w:pPr>
      <w:r w:rsidRPr="00490C31">
        <w:rPr>
          <w:rFonts w:ascii="Verdana" w:hAnsi="Verdana"/>
          <w:sz w:val="20"/>
          <w:szCs w:val="20"/>
        </w:rPr>
        <w:t>The Appellant has no exercisable right to appeal. As such we are unable to entertain the matter and the file will be closed.</w:t>
      </w:r>
    </w:p>
    <w:p w:rsidR="00B47F97" w:rsidRDefault="00B47F97" w:rsidP="00512B89">
      <w:pPr>
        <w:suppressAutoHyphens/>
        <w:jc w:val="both"/>
        <w:rPr>
          <w:rFonts w:ascii="Verdana" w:hAnsi="Verdana"/>
          <w:sz w:val="20"/>
          <w:szCs w:val="20"/>
        </w:rPr>
      </w:pPr>
    </w:p>
    <w:p w:rsidR="009C3DE5" w:rsidRDefault="009C3DE5" w:rsidP="00512B89">
      <w:pPr>
        <w:suppressAutoHyphens/>
        <w:jc w:val="both"/>
        <w:rPr>
          <w:rFonts w:ascii="Verdana" w:hAnsi="Verdana"/>
          <w:sz w:val="20"/>
          <w:szCs w:val="20"/>
        </w:rPr>
      </w:pPr>
    </w:p>
    <w:p w:rsidR="009C3DE5" w:rsidRDefault="009C3DE5" w:rsidP="00512B89">
      <w:pPr>
        <w:suppressAutoHyphens/>
        <w:jc w:val="both"/>
        <w:rPr>
          <w:rFonts w:ascii="Verdana" w:hAnsi="Verdana"/>
          <w:sz w:val="20"/>
          <w:szCs w:val="20"/>
        </w:rPr>
      </w:pPr>
    </w:p>
    <w:p w:rsidR="009C3DE5" w:rsidRPr="00B47F97" w:rsidRDefault="009C3DE5" w:rsidP="00512B89">
      <w:pPr>
        <w:suppressAutoHyphens/>
        <w:jc w:val="both"/>
        <w:rPr>
          <w:rFonts w:ascii="Verdana" w:hAnsi="Verdana"/>
          <w:sz w:val="20"/>
          <w:szCs w:val="20"/>
        </w:rPr>
      </w:pPr>
    </w:p>
    <w:p w:rsidR="00CA588B" w:rsidRPr="00B47F97" w:rsidRDefault="00CA588B" w:rsidP="00512B89">
      <w:pPr>
        <w:pStyle w:val="BodyA"/>
        <w:suppressAutoHyphens/>
        <w:ind w:right="804"/>
        <w:rPr>
          <w:rFonts w:ascii="Verdana" w:eastAsia="Verdana" w:hAnsi="Verdana" w:cs="Verdana"/>
          <w:sz w:val="20"/>
          <w:szCs w:val="20"/>
          <w:lang w:val="en-US"/>
        </w:rPr>
      </w:pPr>
    </w:p>
    <w:p w:rsidR="00CA588B" w:rsidRPr="00B47F97" w:rsidRDefault="00CA588B" w:rsidP="00512B89">
      <w:pPr>
        <w:pStyle w:val="BodyA"/>
        <w:tabs>
          <w:tab w:val="left" w:pos="7230"/>
        </w:tabs>
        <w:suppressAutoHyphens/>
        <w:rPr>
          <w:rFonts w:ascii="Verdana" w:eastAsia="Verdana" w:hAnsi="Verdana" w:cs="Verdana"/>
          <w:sz w:val="20"/>
          <w:szCs w:val="20"/>
          <w:lang w:val="en-US"/>
        </w:rPr>
      </w:pPr>
    </w:p>
    <w:p w:rsidR="00CA588B" w:rsidRPr="00B47F97" w:rsidRDefault="00CA588B" w:rsidP="00512B89">
      <w:pPr>
        <w:pStyle w:val="BodyA"/>
        <w:tabs>
          <w:tab w:val="left" w:pos="7230"/>
        </w:tabs>
        <w:suppressAutoHyphens/>
        <w:rPr>
          <w:rFonts w:ascii="Verdana" w:eastAsia="Verdana" w:hAnsi="Verdana" w:cs="Verdana"/>
          <w:sz w:val="20"/>
          <w:szCs w:val="20"/>
          <w:lang w:val="en-US"/>
        </w:rPr>
      </w:pPr>
    </w:p>
    <w:p w:rsidR="00CA588B" w:rsidRDefault="00CA588B" w:rsidP="00512B89">
      <w:pPr>
        <w:pStyle w:val="BodyA"/>
        <w:suppressAutoHyphens/>
        <w:spacing w:line="276" w:lineRule="auto"/>
        <w:rPr>
          <w:rFonts w:ascii="Verdana" w:eastAsia="Verdana" w:hAnsi="Verdana" w:cs="Verdana"/>
          <w:sz w:val="20"/>
          <w:szCs w:val="20"/>
          <w:lang w:val="en-US"/>
        </w:rPr>
      </w:pPr>
    </w:p>
    <w:p w:rsidR="00E96474" w:rsidRPr="00B47F97" w:rsidRDefault="00E96474" w:rsidP="00512B89">
      <w:pPr>
        <w:pStyle w:val="BodyA"/>
        <w:suppressAutoHyphens/>
        <w:spacing w:line="276" w:lineRule="auto"/>
        <w:rPr>
          <w:rFonts w:ascii="Verdana" w:eastAsia="Verdana" w:hAnsi="Verdana" w:cs="Verdana"/>
          <w:sz w:val="20"/>
          <w:szCs w:val="20"/>
          <w:lang w:val="en-US"/>
        </w:rPr>
      </w:pPr>
    </w:p>
    <w:p w:rsidR="00CA588B" w:rsidRPr="00B47F97" w:rsidRDefault="00B47F97" w:rsidP="00512B89">
      <w:pPr>
        <w:pStyle w:val="BodyA"/>
        <w:suppressAutoHyphens/>
        <w:rPr>
          <w:rFonts w:ascii="Verdana" w:eastAsia="Verdana" w:hAnsi="Verdana" w:cs="Verdana"/>
          <w:sz w:val="20"/>
          <w:szCs w:val="20"/>
        </w:rPr>
      </w:pPr>
      <w:r>
        <w:rPr>
          <w:rFonts w:ascii="Verdana" w:hAnsi="Verdana"/>
          <w:sz w:val="20"/>
          <w:szCs w:val="20"/>
          <w:lang w:val="en-US"/>
        </w:rPr>
        <w:t>David Barclay</w:t>
      </w:r>
    </w:p>
    <w:p w:rsidR="00CA588B" w:rsidRPr="00B47F97" w:rsidRDefault="00B47F97" w:rsidP="00512B89">
      <w:pPr>
        <w:pStyle w:val="BodyA"/>
        <w:suppressAutoHyphens/>
        <w:rPr>
          <w:rFonts w:ascii="Verdana" w:eastAsia="Verdana" w:hAnsi="Verdana" w:cs="Verdana"/>
          <w:b/>
          <w:bCs/>
          <w:sz w:val="20"/>
          <w:szCs w:val="20"/>
        </w:rPr>
      </w:pPr>
      <w:r>
        <w:rPr>
          <w:rFonts w:ascii="Verdana" w:hAnsi="Verdana"/>
          <w:b/>
          <w:bCs/>
          <w:sz w:val="20"/>
          <w:szCs w:val="20"/>
          <w:lang w:val="en-US"/>
        </w:rPr>
        <w:t>PRESIDENT</w:t>
      </w:r>
    </w:p>
    <w:p w:rsidR="00CA588B" w:rsidRPr="00B47F97" w:rsidRDefault="00CA588B" w:rsidP="00512B89">
      <w:pPr>
        <w:pStyle w:val="BodyA"/>
        <w:suppressAutoHyphens/>
        <w:rPr>
          <w:rFonts w:ascii="Verdana" w:eastAsia="Verdana" w:hAnsi="Verdana" w:cs="Verdana"/>
          <w:sz w:val="20"/>
          <w:szCs w:val="20"/>
          <w:lang w:val="en-US"/>
        </w:rPr>
      </w:pPr>
    </w:p>
    <w:p w:rsidR="00CA588B" w:rsidRPr="00B47F97" w:rsidRDefault="00CA588B" w:rsidP="00512B89">
      <w:pPr>
        <w:pStyle w:val="BodyA"/>
        <w:suppressAutoHyphens/>
        <w:rPr>
          <w:rFonts w:ascii="Verdana" w:eastAsia="Verdana" w:hAnsi="Verdana" w:cs="Verdana"/>
          <w:sz w:val="20"/>
          <w:szCs w:val="20"/>
          <w:lang w:val="en-US"/>
        </w:rPr>
      </w:pPr>
    </w:p>
    <w:p w:rsidR="00186248" w:rsidRPr="00B47F97" w:rsidRDefault="00186248" w:rsidP="00512B89">
      <w:pPr>
        <w:pStyle w:val="BodyA"/>
        <w:suppressAutoHyphens/>
        <w:rPr>
          <w:rFonts w:ascii="Verdana" w:hAnsi="Verdana"/>
          <w:sz w:val="20"/>
          <w:szCs w:val="20"/>
          <w:lang w:val="en-US"/>
        </w:rPr>
      </w:pPr>
    </w:p>
    <w:p w:rsidR="00186248" w:rsidRPr="00B47F97" w:rsidRDefault="00186248" w:rsidP="00512B89">
      <w:pPr>
        <w:pStyle w:val="BodyA"/>
        <w:suppressAutoHyphens/>
        <w:rPr>
          <w:rFonts w:ascii="Verdana" w:hAnsi="Verdana"/>
          <w:sz w:val="20"/>
          <w:szCs w:val="20"/>
        </w:rPr>
      </w:pPr>
    </w:p>
    <w:sectPr w:rsidR="00186248" w:rsidRPr="00B47F97" w:rsidSect="007677FA">
      <w:headerReference w:type="default" r:id="rId9"/>
      <w:headerReference w:type="first" r:id="rId10"/>
      <w:pgSz w:w="11900" w:h="16840"/>
      <w:pgMar w:top="130" w:right="1440" w:bottom="1440" w:left="1440" w:header="454"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D4" w:rsidRDefault="00290ED4">
      <w:r>
        <w:separator/>
      </w:r>
    </w:p>
  </w:endnote>
  <w:endnote w:type="continuationSeparator" w:id="0">
    <w:p w:rsidR="00290ED4" w:rsidRDefault="0029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D4" w:rsidRDefault="00290ED4">
      <w:r>
        <w:separator/>
      </w:r>
    </w:p>
  </w:footnote>
  <w:footnote w:type="continuationSeparator" w:id="0">
    <w:p w:rsidR="00290ED4" w:rsidRDefault="00290ED4">
      <w:r>
        <w:continuationSeparator/>
      </w:r>
    </w:p>
  </w:footnote>
  <w:footnote w:type="continuationNotice" w:id="1">
    <w:p w:rsidR="00290ED4" w:rsidRDefault="00290ED4"/>
  </w:footnote>
  <w:footnote w:id="2">
    <w:p w:rsidR="00490C31" w:rsidRPr="00A8544D" w:rsidRDefault="00490C31" w:rsidP="00B47F97">
      <w:pPr>
        <w:pStyle w:val="FootnoteText"/>
        <w:rPr>
          <w:rFonts w:ascii="Verdana" w:hAnsi="Verdana"/>
        </w:rPr>
      </w:pPr>
      <w:r w:rsidRPr="00A8544D">
        <w:rPr>
          <w:rStyle w:val="FootnoteReference"/>
          <w:rFonts w:ascii="Verdana" w:hAnsi="Verdana"/>
        </w:rPr>
        <w:footnoteRef/>
      </w:r>
      <w:r w:rsidRPr="00A8544D">
        <w:rPr>
          <w:rFonts w:ascii="Verdana" w:hAnsi="Verdana"/>
        </w:rPr>
        <w:t xml:space="preserve"> (1960) 103 CLR 353</w:t>
      </w:r>
    </w:p>
  </w:footnote>
  <w:footnote w:id="3">
    <w:p w:rsidR="00490C31" w:rsidRPr="00A8544D" w:rsidRDefault="00490C31" w:rsidP="00B47F97">
      <w:pPr>
        <w:pStyle w:val="FootnoteText"/>
        <w:rPr>
          <w:rFonts w:ascii="Verdana" w:hAnsi="Verdana"/>
        </w:rPr>
      </w:pPr>
      <w:r w:rsidRPr="00A8544D">
        <w:rPr>
          <w:rStyle w:val="FootnoteReference"/>
          <w:rFonts w:ascii="Verdana" w:hAnsi="Verdana"/>
        </w:rPr>
        <w:footnoteRef/>
      </w:r>
      <w:r w:rsidRPr="00A8544D">
        <w:rPr>
          <w:rFonts w:ascii="Verdana" w:hAnsi="Verdana"/>
        </w:rPr>
        <w:t xml:space="preserve"> Ibid at p. 359</w:t>
      </w:r>
    </w:p>
  </w:footnote>
  <w:footnote w:id="4">
    <w:p w:rsidR="00490C31" w:rsidRDefault="00490C31" w:rsidP="00B47F97">
      <w:pPr>
        <w:pStyle w:val="FootnoteText"/>
      </w:pPr>
      <w:r w:rsidRPr="00A8544D">
        <w:rPr>
          <w:rStyle w:val="FootnoteReference"/>
          <w:rFonts w:ascii="Verdana" w:hAnsi="Verdana"/>
        </w:rPr>
        <w:footnoteRef/>
      </w:r>
      <w:r w:rsidRPr="00A8544D">
        <w:rPr>
          <w:rFonts w:ascii="Verdana" w:hAnsi="Verdana"/>
        </w:rPr>
        <w:t xml:space="preserve"> Ibid p. 361 - 2</w:t>
      </w:r>
    </w:p>
  </w:footnote>
  <w:footnote w:id="5">
    <w:p w:rsidR="00490C31" w:rsidRPr="00A8544D" w:rsidRDefault="00490C31" w:rsidP="00B47F97">
      <w:pPr>
        <w:pStyle w:val="FootnoteText"/>
        <w:rPr>
          <w:rFonts w:ascii="Verdana" w:hAnsi="Verdana"/>
        </w:rPr>
      </w:pPr>
      <w:r w:rsidRPr="00A8544D">
        <w:rPr>
          <w:rStyle w:val="FootnoteReference"/>
          <w:rFonts w:ascii="Verdana" w:hAnsi="Verdana"/>
        </w:rPr>
        <w:footnoteRef/>
      </w:r>
      <w:r w:rsidRPr="00A8544D">
        <w:rPr>
          <w:rFonts w:ascii="Verdana" w:hAnsi="Verdana"/>
        </w:rPr>
        <w:t xml:space="preserve"> Ibid p 363</w:t>
      </w:r>
    </w:p>
  </w:footnote>
  <w:footnote w:id="6">
    <w:p w:rsidR="00490C31" w:rsidRDefault="00490C31" w:rsidP="00B47F97">
      <w:pPr>
        <w:pStyle w:val="FootnoteText"/>
      </w:pPr>
      <w:r w:rsidRPr="00A8544D">
        <w:rPr>
          <w:rStyle w:val="FootnoteReference"/>
          <w:rFonts w:ascii="Verdana" w:hAnsi="Verdana"/>
        </w:rPr>
        <w:footnoteRef/>
      </w:r>
      <w:r w:rsidRPr="00A8544D">
        <w:rPr>
          <w:rFonts w:ascii="Verdana" w:hAnsi="Verdana"/>
        </w:rPr>
        <w:t xml:space="preserve"> Ibid p 634</w:t>
      </w:r>
    </w:p>
  </w:footnote>
  <w:footnote w:id="7">
    <w:p w:rsidR="00490C31" w:rsidRPr="00A8544D" w:rsidRDefault="00490C31" w:rsidP="00B47F97">
      <w:pPr>
        <w:pStyle w:val="FootnoteText"/>
        <w:rPr>
          <w:rFonts w:ascii="Verdana" w:hAnsi="Verdana"/>
        </w:rPr>
      </w:pPr>
      <w:r w:rsidRPr="00A8544D">
        <w:rPr>
          <w:rStyle w:val="FootnoteReference"/>
          <w:rFonts w:ascii="Verdana" w:hAnsi="Verdana"/>
        </w:rPr>
        <w:footnoteRef/>
      </w:r>
      <w:r w:rsidRPr="00A8544D">
        <w:rPr>
          <w:rFonts w:ascii="Verdana" w:hAnsi="Verdana"/>
        </w:rPr>
        <w:t xml:space="preserve"> Ibid p 365</w:t>
      </w:r>
    </w:p>
  </w:footnote>
  <w:footnote w:id="8">
    <w:p w:rsidR="00490C31" w:rsidRPr="00B911E2" w:rsidRDefault="00490C31" w:rsidP="00B47F97">
      <w:pPr>
        <w:pStyle w:val="FootnoteText"/>
      </w:pPr>
      <w:r w:rsidRPr="00A8544D">
        <w:rPr>
          <w:rStyle w:val="FootnoteReference"/>
          <w:rFonts w:ascii="Verdana" w:hAnsi="Verdana"/>
        </w:rPr>
        <w:footnoteRef/>
      </w:r>
      <w:r w:rsidRPr="00A8544D">
        <w:rPr>
          <w:rFonts w:ascii="Verdana" w:hAnsi="Verdana"/>
        </w:rPr>
        <w:t xml:space="preserve"> </w:t>
      </w:r>
      <w:r w:rsidRPr="00A8544D">
        <w:rPr>
          <w:rFonts w:ascii="Verdana" w:hAnsi="Verdana"/>
          <w:u w:val="single"/>
        </w:rPr>
        <w:t>Delegated Legislation in Australia</w:t>
      </w:r>
      <w:r w:rsidRPr="00A8544D">
        <w:rPr>
          <w:rFonts w:ascii="Verdana" w:hAnsi="Verdana"/>
        </w:rPr>
        <w:t>, 4</w:t>
      </w:r>
      <w:r w:rsidRPr="00A8544D">
        <w:rPr>
          <w:rFonts w:ascii="Verdana" w:hAnsi="Verdana"/>
          <w:vertAlign w:val="superscript"/>
        </w:rPr>
        <w:t>th</w:t>
      </w:r>
      <w:r w:rsidRPr="00A8544D">
        <w:rPr>
          <w:rFonts w:ascii="Verdana" w:hAnsi="Verdana"/>
        </w:rPr>
        <w:t xml:space="preserve"> Ed. p. 183</w:t>
      </w:r>
    </w:p>
  </w:footnote>
  <w:footnote w:id="9">
    <w:p w:rsidR="00490C31" w:rsidRPr="00A8544D" w:rsidRDefault="00490C31" w:rsidP="00B47F97">
      <w:pPr>
        <w:pStyle w:val="FootnoteText"/>
        <w:rPr>
          <w:rFonts w:ascii="Verdana" w:hAnsi="Verdana"/>
          <w:i/>
        </w:rPr>
      </w:pPr>
      <w:r w:rsidRPr="00A8544D">
        <w:rPr>
          <w:rStyle w:val="FootnoteReference"/>
          <w:rFonts w:ascii="Verdana" w:hAnsi="Verdana"/>
        </w:rPr>
        <w:footnoteRef/>
      </w:r>
      <w:r w:rsidRPr="00A8544D">
        <w:rPr>
          <w:rFonts w:ascii="Verdana" w:hAnsi="Verdana"/>
        </w:rPr>
        <w:t xml:space="preserve"> </w:t>
      </w:r>
      <w:proofErr w:type="gramStart"/>
      <w:r w:rsidRPr="00A8544D">
        <w:rPr>
          <w:rFonts w:ascii="Verdana" w:hAnsi="Verdana"/>
          <w:i/>
        </w:rPr>
        <w:t xml:space="preserve">Project Blue Sky </w:t>
      </w:r>
      <w:proofErr w:type="spellStart"/>
      <w:r w:rsidRPr="00A8544D">
        <w:rPr>
          <w:rFonts w:ascii="Verdana" w:hAnsi="Verdana"/>
          <w:i/>
        </w:rPr>
        <w:t>Inc</w:t>
      </w:r>
      <w:proofErr w:type="spellEnd"/>
      <w:r w:rsidRPr="00A8544D">
        <w:rPr>
          <w:rFonts w:ascii="Verdana" w:hAnsi="Verdana"/>
          <w:i/>
        </w:rPr>
        <w:t xml:space="preserve"> &amp; </w:t>
      </w:r>
      <w:proofErr w:type="spellStart"/>
      <w:r w:rsidRPr="00A8544D">
        <w:rPr>
          <w:rFonts w:ascii="Verdana" w:hAnsi="Verdana"/>
          <w:i/>
        </w:rPr>
        <w:t>Ors</w:t>
      </w:r>
      <w:proofErr w:type="spellEnd"/>
      <w:r w:rsidRPr="00A8544D">
        <w:rPr>
          <w:rFonts w:ascii="Verdana" w:hAnsi="Verdana"/>
          <w:i/>
        </w:rPr>
        <w:t>.</w:t>
      </w:r>
      <w:proofErr w:type="gramEnd"/>
      <w:r w:rsidRPr="00A8544D">
        <w:rPr>
          <w:rFonts w:ascii="Verdana" w:hAnsi="Verdana"/>
          <w:i/>
        </w:rPr>
        <w:t xml:space="preserve"> V. Australian Broadcasting Authority (1998) 194 CLR 355 at 381</w:t>
      </w:r>
    </w:p>
  </w:footnote>
  <w:footnote w:id="10">
    <w:p w:rsidR="00490C31" w:rsidRPr="00A8544D" w:rsidRDefault="00490C31" w:rsidP="00B47F97">
      <w:pPr>
        <w:pStyle w:val="FootnoteText"/>
        <w:rPr>
          <w:rFonts w:ascii="Verdana" w:hAnsi="Verdana"/>
        </w:rPr>
      </w:pPr>
      <w:r w:rsidRPr="00A8544D">
        <w:rPr>
          <w:rStyle w:val="FootnoteReference"/>
          <w:rFonts w:ascii="Verdana" w:hAnsi="Verdana"/>
        </w:rPr>
        <w:footnoteRef/>
      </w:r>
      <w:r w:rsidRPr="00A8544D">
        <w:rPr>
          <w:rFonts w:ascii="Verdana" w:hAnsi="Verdana"/>
        </w:rPr>
        <w:t xml:space="preserve"> </w:t>
      </w:r>
      <w:proofErr w:type="gramStart"/>
      <w:r w:rsidRPr="00A8544D">
        <w:rPr>
          <w:rFonts w:ascii="Verdana" w:hAnsi="Verdana"/>
        </w:rPr>
        <w:t>Ibid at p. 382.</w:t>
      </w:r>
      <w:proofErr w:type="gramEnd"/>
    </w:p>
  </w:footnote>
  <w:footnote w:id="11">
    <w:p w:rsidR="00490C31" w:rsidRPr="00A8544D" w:rsidRDefault="00490C31" w:rsidP="00B47F97">
      <w:pPr>
        <w:pStyle w:val="FootnoteText"/>
        <w:rPr>
          <w:rFonts w:ascii="Verdana" w:hAnsi="Verdana"/>
        </w:rPr>
      </w:pPr>
      <w:r w:rsidRPr="00A8544D">
        <w:rPr>
          <w:rStyle w:val="FootnoteReference"/>
          <w:rFonts w:ascii="Verdana" w:hAnsi="Verdana"/>
        </w:rPr>
        <w:footnoteRef/>
      </w:r>
      <w:r w:rsidRPr="00A8544D">
        <w:rPr>
          <w:rFonts w:ascii="Verdana" w:hAnsi="Verdana"/>
        </w:rPr>
        <w:t xml:space="preserve"> See Pearce and Geddes </w:t>
      </w:r>
      <w:r w:rsidRPr="00A8544D">
        <w:rPr>
          <w:rFonts w:ascii="Verdana" w:hAnsi="Verdana"/>
          <w:u w:val="single"/>
        </w:rPr>
        <w:t>Statutory Interpretation in Australia</w:t>
      </w:r>
      <w:r w:rsidRPr="00A8544D">
        <w:rPr>
          <w:rFonts w:ascii="Verdana" w:hAnsi="Verdana"/>
        </w:rPr>
        <w:t>, 8</w:t>
      </w:r>
      <w:r w:rsidRPr="00A8544D">
        <w:rPr>
          <w:rFonts w:ascii="Verdana" w:hAnsi="Verdana"/>
          <w:vertAlign w:val="superscript"/>
        </w:rPr>
        <w:t>th</w:t>
      </w:r>
      <w:r w:rsidRPr="00A8544D">
        <w:rPr>
          <w:rFonts w:ascii="Verdana" w:hAnsi="Verdana"/>
        </w:rPr>
        <w:t xml:space="preserve"> Ed. Par 2.26</w:t>
      </w:r>
    </w:p>
  </w:footnote>
  <w:footnote w:id="12">
    <w:p w:rsidR="00490C31" w:rsidRPr="00A8544D" w:rsidRDefault="00490C31" w:rsidP="00B47F97">
      <w:pPr>
        <w:pStyle w:val="FootnoteText"/>
        <w:rPr>
          <w:rFonts w:ascii="Verdana" w:hAnsi="Verdana"/>
          <w:i/>
        </w:rPr>
      </w:pPr>
      <w:r w:rsidRPr="00A8544D">
        <w:rPr>
          <w:rStyle w:val="FootnoteReference"/>
          <w:rFonts w:ascii="Verdana" w:hAnsi="Verdana"/>
        </w:rPr>
        <w:footnoteRef/>
      </w:r>
      <w:r w:rsidRPr="00A8544D">
        <w:rPr>
          <w:rFonts w:ascii="Verdana" w:hAnsi="Verdana"/>
        </w:rPr>
        <w:t xml:space="preserve"> See for example Part 5-1, Subdivision E of the </w:t>
      </w:r>
      <w:r w:rsidRPr="00A8544D">
        <w:rPr>
          <w:rFonts w:ascii="Verdana" w:hAnsi="Verdana"/>
          <w:i/>
        </w:rPr>
        <w:t>Fair Work Act 2009 (</w:t>
      </w:r>
      <w:proofErr w:type="spellStart"/>
      <w:r w:rsidRPr="00A8544D">
        <w:rPr>
          <w:rFonts w:ascii="Verdana" w:hAnsi="Verdana"/>
          <w:i/>
        </w:rPr>
        <w:t>Cwlth</w:t>
      </w:r>
      <w:proofErr w:type="spellEnd"/>
      <w:r w:rsidRPr="00A8544D">
        <w:rPr>
          <w:rFonts w:ascii="Verdana" w:hAnsi="Verdana"/>
          <w:i/>
        </w:rPr>
        <w:t>)</w:t>
      </w:r>
    </w:p>
  </w:footnote>
  <w:footnote w:id="13">
    <w:p w:rsidR="00576FCD" w:rsidRPr="00576FCD" w:rsidRDefault="00576FCD">
      <w:pPr>
        <w:pStyle w:val="FootnoteText"/>
        <w:rPr>
          <w:rFonts w:ascii="Verdana" w:hAnsi="Verdana"/>
          <w:lang w:val="en-AU"/>
        </w:rPr>
      </w:pPr>
      <w:r>
        <w:rPr>
          <w:rStyle w:val="FootnoteReference"/>
        </w:rPr>
        <w:footnoteRef/>
      </w:r>
      <w:r>
        <w:t xml:space="preserve"> </w:t>
      </w:r>
      <w:r>
        <w:rPr>
          <w:rFonts w:ascii="Verdana" w:hAnsi="Verdana"/>
        </w:rPr>
        <w:t xml:space="preserve"> See further paragraphs [29] – [31]</w:t>
      </w:r>
    </w:p>
  </w:footnote>
  <w:footnote w:id="14">
    <w:p w:rsidR="00490C31" w:rsidRDefault="00490C31" w:rsidP="00B47F97">
      <w:pPr>
        <w:pStyle w:val="FootnoteText"/>
      </w:pPr>
      <w:r w:rsidRPr="00A8544D">
        <w:rPr>
          <w:rStyle w:val="FootnoteReference"/>
          <w:rFonts w:ascii="Verdana" w:hAnsi="Verdana"/>
        </w:rPr>
        <w:footnoteRef/>
      </w:r>
      <w:r w:rsidRPr="00A8544D">
        <w:rPr>
          <w:rFonts w:ascii="Verdana" w:hAnsi="Verdana"/>
        </w:rPr>
        <w:t xml:space="preserve"> (1935) 36 SR (NSW) 21</w:t>
      </w:r>
    </w:p>
  </w:footnote>
  <w:footnote w:id="15">
    <w:p w:rsidR="00490C31" w:rsidRPr="00A8544D" w:rsidRDefault="00490C31" w:rsidP="00B47F97">
      <w:pPr>
        <w:pStyle w:val="FootnoteText"/>
        <w:rPr>
          <w:rFonts w:ascii="Verdana" w:hAnsi="Verdana"/>
        </w:rPr>
      </w:pPr>
      <w:r w:rsidRPr="00A8544D">
        <w:rPr>
          <w:rStyle w:val="FootnoteReference"/>
          <w:rFonts w:ascii="Verdana" w:hAnsi="Verdana"/>
        </w:rPr>
        <w:footnoteRef/>
      </w:r>
      <w:r w:rsidRPr="00A8544D">
        <w:rPr>
          <w:rFonts w:ascii="Verdana" w:hAnsi="Verdana"/>
        </w:rPr>
        <w:t xml:space="preserve"> (1948) 65 WN (NSW)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31" w:rsidRDefault="00490C31">
    <w:pPr>
      <w:pStyle w:val="Header"/>
      <w:jc w:val="right"/>
    </w:pPr>
    <w:r>
      <w:fldChar w:fldCharType="begin"/>
    </w:r>
    <w:r>
      <w:instrText xml:space="preserve"> PAGE </w:instrText>
    </w:r>
    <w:r>
      <w:fldChar w:fldCharType="separate"/>
    </w:r>
    <w:r w:rsidR="008D3075">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31" w:rsidRDefault="00490C31">
    <w:pPr>
      <w:pStyle w:val="HeaderFooter"/>
    </w:pPr>
  </w:p>
  <w:p w:rsidR="00484011" w:rsidRDefault="00484011">
    <w:pPr>
      <w:pStyle w:val="HeaderFooter"/>
    </w:pPr>
  </w:p>
  <w:p w:rsidR="00484011" w:rsidRDefault="0048401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45F"/>
    <w:multiLevelType w:val="hybridMultilevel"/>
    <w:tmpl w:val="2CFE5CBC"/>
    <w:lvl w:ilvl="0" w:tplc="243A2548">
      <w:start w:val="1"/>
      <w:numFmt w:val="decimal"/>
      <w:lvlText w:val="[%1]"/>
      <w:lvlJc w:val="left"/>
      <w:pPr>
        <w:ind w:left="1429" w:hanging="360"/>
      </w:pPr>
      <w:rPr>
        <w:rFonts w:hint="default"/>
        <w:b/>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nsid w:val="07101193"/>
    <w:multiLevelType w:val="hybridMultilevel"/>
    <w:tmpl w:val="B3AA20A0"/>
    <w:lvl w:ilvl="0" w:tplc="8A70576A">
      <w:start w:val="1"/>
      <w:numFmt w:val="decimal"/>
      <w:lvlText w:val="[%1]"/>
      <w:lvlJc w:val="left"/>
      <w:pPr>
        <w:ind w:left="1425"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145" w:hanging="360"/>
      </w:pPr>
    </w:lvl>
    <w:lvl w:ilvl="2" w:tplc="0C09001B" w:tentative="1">
      <w:start w:val="1"/>
      <w:numFmt w:val="lowerRoman"/>
      <w:lvlText w:val="%3."/>
      <w:lvlJc w:val="right"/>
      <w:pPr>
        <w:ind w:left="2865" w:hanging="180"/>
      </w:pPr>
    </w:lvl>
    <w:lvl w:ilvl="3" w:tplc="0C09000F" w:tentative="1">
      <w:start w:val="1"/>
      <w:numFmt w:val="decimal"/>
      <w:lvlText w:val="%4."/>
      <w:lvlJc w:val="left"/>
      <w:pPr>
        <w:ind w:left="3585" w:hanging="360"/>
      </w:pPr>
    </w:lvl>
    <w:lvl w:ilvl="4" w:tplc="0C090019" w:tentative="1">
      <w:start w:val="1"/>
      <w:numFmt w:val="lowerLetter"/>
      <w:lvlText w:val="%5."/>
      <w:lvlJc w:val="left"/>
      <w:pPr>
        <w:ind w:left="4305" w:hanging="360"/>
      </w:pPr>
    </w:lvl>
    <w:lvl w:ilvl="5" w:tplc="0C09001B" w:tentative="1">
      <w:start w:val="1"/>
      <w:numFmt w:val="lowerRoman"/>
      <w:lvlText w:val="%6."/>
      <w:lvlJc w:val="right"/>
      <w:pPr>
        <w:ind w:left="5025" w:hanging="180"/>
      </w:pPr>
    </w:lvl>
    <w:lvl w:ilvl="6" w:tplc="0C09000F" w:tentative="1">
      <w:start w:val="1"/>
      <w:numFmt w:val="decimal"/>
      <w:lvlText w:val="%7."/>
      <w:lvlJc w:val="left"/>
      <w:pPr>
        <w:ind w:left="5745" w:hanging="360"/>
      </w:pPr>
    </w:lvl>
    <w:lvl w:ilvl="7" w:tplc="0C090019" w:tentative="1">
      <w:start w:val="1"/>
      <w:numFmt w:val="lowerLetter"/>
      <w:lvlText w:val="%8."/>
      <w:lvlJc w:val="left"/>
      <w:pPr>
        <w:ind w:left="6465" w:hanging="360"/>
      </w:pPr>
    </w:lvl>
    <w:lvl w:ilvl="8" w:tplc="0C09001B" w:tentative="1">
      <w:start w:val="1"/>
      <w:numFmt w:val="lowerRoman"/>
      <w:lvlText w:val="%9."/>
      <w:lvlJc w:val="right"/>
      <w:pPr>
        <w:ind w:left="7185" w:hanging="180"/>
      </w:pPr>
    </w:lvl>
  </w:abstractNum>
  <w:abstractNum w:abstractNumId="2">
    <w:nsid w:val="2DA42C50"/>
    <w:multiLevelType w:val="multilevel"/>
    <w:tmpl w:val="DEDAD2B0"/>
    <w:numStyleLink w:val="ImportedStyle2"/>
  </w:abstractNum>
  <w:abstractNum w:abstractNumId="3">
    <w:nsid w:val="2FED52AD"/>
    <w:multiLevelType w:val="hybridMultilevel"/>
    <w:tmpl w:val="75C8DAA0"/>
    <w:numStyleLink w:val="ImportedStyle3"/>
  </w:abstractNum>
  <w:abstractNum w:abstractNumId="4">
    <w:nsid w:val="4CF0511C"/>
    <w:multiLevelType w:val="hybridMultilevel"/>
    <w:tmpl w:val="DEDAD2B0"/>
    <w:styleLink w:val="ImportedStyle2"/>
    <w:lvl w:ilvl="0" w:tplc="DEDAD2B0">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A89252">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FEE778">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1E4756">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64B364">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B01BA4">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942412">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7255EE">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CA4996">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07F4DFF"/>
    <w:multiLevelType w:val="multilevel"/>
    <w:tmpl w:val="2B1C30B0"/>
    <w:lvl w:ilvl="0">
      <w:start w:val="1"/>
      <w:numFmt w:val="decimal"/>
      <w:lvlText w:val="[%1]"/>
      <w:lvlJc w:val="left"/>
      <w:pPr>
        <w:ind w:left="709" w:hanging="709"/>
      </w:pPr>
      <w:rPr>
        <w:rFonts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2333E0B"/>
    <w:multiLevelType w:val="hybridMultilevel"/>
    <w:tmpl w:val="C156BBFA"/>
    <w:lvl w:ilvl="0" w:tplc="8A70576A">
      <w:start w:val="1"/>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4F0B35"/>
    <w:multiLevelType w:val="hybridMultilevel"/>
    <w:tmpl w:val="28BAC41A"/>
    <w:lvl w:ilvl="0" w:tplc="8CDC51F4">
      <w:start w:val="1"/>
      <w:numFmt w:val="decimal"/>
      <w:lvlText w:val="[%1]"/>
      <w:lvlJc w:val="left"/>
      <w:pPr>
        <w:ind w:left="720" w:hanging="360"/>
      </w:pPr>
      <w:rPr>
        <w:rFonts w:hAnsi="Arial Unicode MS" w:hint="default"/>
        <w:b/>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440" w:hanging="360"/>
      </w:pPr>
    </w:lvl>
    <w:lvl w:ilvl="2" w:tplc="94061456">
      <w:start w:val="1"/>
      <w:numFmt w:val="decimal"/>
      <w:lvlText w:val="(%3)"/>
      <w:lvlJc w:val="left"/>
      <w:pPr>
        <w:ind w:left="2355" w:hanging="375"/>
      </w:pPr>
      <w:rPr>
        <w:rFonts w:hint="default"/>
      </w:rPr>
    </w:lvl>
    <w:lvl w:ilvl="3" w:tplc="5F245C92">
      <w:start w:val="1"/>
      <w:numFmt w:val="lowerLetter"/>
      <w:lvlText w:val="(%4)"/>
      <w:lvlJc w:val="left"/>
      <w:pPr>
        <w:ind w:left="2925" w:hanging="405"/>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9B6C01"/>
    <w:multiLevelType w:val="hybridMultilevel"/>
    <w:tmpl w:val="75C8DAA0"/>
    <w:styleLink w:val="ImportedStyle3"/>
    <w:lvl w:ilvl="0" w:tplc="D9E22D14">
      <w:start w:val="1"/>
      <w:numFmt w:val="lowerLetter"/>
      <w:lvlText w:val="(%1)"/>
      <w:lvlJc w:val="left"/>
      <w:pPr>
        <w:ind w:left="1664"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E470FC">
      <w:start w:val="1"/>
      <w:numFmt w:val="lowerLetter"/>
      <w:lvlText w:val="%2."/>
      <w:lvlJc w:val="left"/>
      <w:pPr>
        <w:ind w:left="2384"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AC0ED2">
      <w:start w:val="1"/>
      <w:numFmt w:val="lowerRoman"/>
      <w:lvlText w:val="%3."/>
      <w:lvlJc w:val="left"/>
      <w:pPr>
        <w:ind w:left="3104" w:hanging="309"/>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ACC9F6">
      <w:start w:val="1"/>
      <w:numFmt w:val="decimal"/>
      <w:lvlText w:val="%4."/>
      <w:lvlJc w:val="left"/>
      <w:pPr>
        <w:ind w:left="3824"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5CF3CA">
      <w:start w:val="1"/>
      <w:numFmt w:val="lowerLetter"/>
      <w:lvlText w:val="%5."/>
      <w:lvlJc w:val="left"/>
      <w:pPr>
        <w:ind w:left="4544"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9E8AF6">
      <w:start w:val="1"/>
      <w:numFmt w:val="lowerRoman"/>
      <w:lvlText w:val="%6."/>
      <w:lvlJc w:val="left"/>
      <w:pPr>
        <w:ind w:left="5264" w:hanging="309"/>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ACA72">
      <w:start w:val="1"/>
      <w:numFmt w:val="decimal"/>
      <w:lvlText w:val="%7."/>
      <w:lvlJc w:val="left"/>
      <w:pPr>
        <w:ind w:left="5984"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ACF05A">
      <w:start w:val="1"/>
      <w:numFmt w:val="lowerLetter"/>
      <w:lvlText w:val="%8."/>
      <w:lvlJc w:val="left"/>
      <w:pPr>
        <w:ind w:left="6704"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502920">
      <w:start w:val="1"/>
      <w:numFmt w:val="lowerRoman"/>
      <w:lvlText w:val="%9."/>
      <w:lvlJc w:val="left"/>
      <w:pPr>
        <w:ind w:left="7424" w:hanging="309"/>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7AA3158"/>
    <w:multiLevelType w:val="multilevel"/>
    <w:tmpl w:val="DEDAD2B0"/>
    <w:lvl w:ilvl="0">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B45761D"/>
    <w:multiLevelType w:val="hybridMultilevel"/>
    <w:tmpl w:val="7B945E0E"/>
    <w:lvl w:ilvl="0" w:tplc="B5A87850">
      <w:start w:val="1"/>
      <w:numFmt w:val="lowerLetter"/>
      <w:lvlText w:val="(%1)"/>
      <w:lvlJc w:val="left"/>
      <w:pPr>
        <w:ind w:left="1462" w:hanging="360"/>
      </w:pPr>
      <w:rPr>
        <w:rFonts w:hint="default"/>
      </w:rPr>
    </w:lvl>
    <w:lvl w:ilvl="1" w:tplc="0C090019" w:tentative="1">
      <w:start w:val="1"/>
      <w:numFmt w:val="lowerLetter"/>
      <w:lvlText w:val="%2."/>
      <w:lvlJc w:val="left"/>
      <w:pPr>
        <w:ind w:left="2182" w:hanging="360"/>
      </w:pPr>
    </w:lvl>
    <w:lvl w:ilvl="2" w:tplc="0C09001B" w:tentative="1">
      <w:start w:val="1"/>
      <w:numFmt w:val="lowerRoman"/>
      <w:lvlText w:val="%3."/>
      <w:lvlJc w:val="right"/>
      <w:pPr>
        <w:ind w:left="2902" w:hanging="180"/>
      </w:pPr>
    </w:lvl>
    <w:lvl w:ilvl="3" w:tplc="0C09000F" w:tentative="1">
      <w:start w:val="1"/>
      <w:numFmt w:val="decimal"/>
      <w:lvlText w:val="%4."/>
      <w:lvlJc w:val="left"/>
      <w:pPr>
        <w:ind w:left="3622" w:hanging="360"/>
      </w:pPr>
    </w:lvl>
    <w:lvl w:ilvl="4" w:tplc="0C090019" w:tentative="1">
      <w:start w:val="1"/>
      <w:numFmt w:val="lowerLetter"/>
      <w:lvlText w:val="%5."/>
      <w:lvlJc w:val="left"/>
      <w:pPr>
        <w:ind w:left="4342" w:hanging="360"/>
      </w:pPr>
    </w:lvl>
    <w:lvl w:ilvl="5" w:tplc="0C09001B" w:tentative="1">
      <w:start w:val="1"/>
      <w:numFmt w:val="lowerRoman"/>
      <w:lvlText w:val="%6."/>
      <w:lvlJc w:val="right"/>
      <w:pPr>
        <w:ind w:left="5062" w:hanging="180"/>
      </w:pPr>
    </w:lvl>
    <w:lvl w:ilvl="6" w:tplc="0C09000F" w:tentative="1">
      <w:start w:val="1"/>
      <w:numFmt w:val="decimal"/>
      <w:lvlText w:val="%7."/>
      <w:lvlJc w:val="left"/>
      <w:pPr>
        <w:ind w:left="5782" w:hanging="360"/>
      </w:pPr>
    </w:lvl>
    <w:lvl w:ilvl="7" w:tplc="0C090019" w:tentative="1">
      <w:start w:val="1"/>
      <w:numFmt w:val="lowerLetter"/>
      <w:lvlText w:val="%8."/>
      <w:lvlJc w:val="left"/>
      <w:pPr>
        <w:ind w:left="6502" w:hanging="360"/>
      </w:pPr>
    </w:lvl>
    <w:lvl w:ilvl="8" w:tplc="0C09001B" w:tentative="1">
      <w:start w:val="1"/>
      <w:numFmt w:val="lowerRoman"/>
      <w:lvlText w:val="%9."/>
      <w:lvlJc w:val="right"/>
      <w:pPr>
        <w:ind w:left="7222" w:hanging="180"/>
      </w:pPr>
    </w:lvl>
  </w:abstractNum>
  <w:abstractNum w:abstractNumId="11">
    <w:nsid w:val="6CEC7608"/>
    <w:multiLevelType w:val="multilevel"/>
    <w:tmpl w:val="2F86A838"/>
    <w:lvl w:ilvl="0">
      <w:start w:val="3"/>
      <w:numFmt w:val="decimal"/>
      <w:lvlText w:val="[%1]"/>
      <w:lvlJc w:val="left"/>
      <w:pPr>
        <w:ind w:left="709" w:hanging="709"/>
      </w:pPr>
      <w:rPr>
        <w:rFonts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09" w:hanging="70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9DD6AC7"/>
    <w:multiLevelType w:val="hybridMultilevel"/>
    <w:tmpl w:val="07C09262"/>
    <w:lvl w:ilvl="0" w:tplc="B5A8785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7DF610C7"/>
    <w:multiLevelType w:val="hybridMultilevel"/>
    <w:tmpl w:val="B98A5AF4"/>
    <w:lvl w:ilvl="0" w:tplc="8A70576A">
      <w:start w:val="1"/>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3"/>
    <w:lvlOverride w:ilvl="0">
      <w:lvl w:ilvl="0" w:tplc="ABD486BE">
        <w:start w:val="1"/>
        <w:numFmt w:val="lowerLetter"/>
        <w:lvlText w:val="(%1)"/>
        <w:lvlJc w:val="left"/>
        <w:pPr>
          <w:ind w:left="1664" w:hanging="360"/>
        </w:pPr>
        <w:rPr>
          <w:rFonts w:hAnsi="Arial Unicode MS"/>
          <w:b w:val="0"/>
          <w:bCs/>
          <w:i/>
          <w:iCs/>
          <w:caps w:val="0"/>
          <w:smallCaps w:val="0"/>
          <w:strike w:val="0"/>
          <w:dstrike w:val="0"/>
          <w:outline w:val="0"/>
          <w:emboss w:val="0"/>
          <w:imprint w:val="0"/>
          <w:spacing w:val="0"/>
          <w:w w:val="100"/>
          <w:kern w:val="0"/>
          <w:position w:val="0"/>
          <w:highlight w:val="none"/>
          <w:vertAlign w:val="baseline"/>
        </w:rPr>
      </w:lvl>
    </w:lvlOverride>
  </w:num>
  <w:num w:numId="5">
    <w:abstractNumId w:val="11"/>
    <w:lvlOverride w:ilvl="0">
      <w:startOverride w:val="13"/>
    </w:lvlOverride>
  </w:num>
  <w:num w:numId="6">
    <w:abstractNumId w:val="0"/>
  </w:num>
  <w:num w:numId="7">
    <w:abstractNumId w:val="2"/>
  </w:num>
  <w:num w:numId="8">
    <w:abstractNumId w:val="9"/>
  </w:num>
  <w:num w:numId="9">
    <w:abstractNumId w:val="5"/>
  </w:num>
  <w:num w:numId="10">
    <w:abstractNumId w:val="12"/>
  </w:num>
  <w:num w:numId="11">
    <w:abstractNumId w:val="7"/>
  </w:num>
  <w:num w:numId="12">
    <w:abstractNumId w:val="10"/>
  </w:num>
  <w:num w:numId="13">
    <w:abstractNumId w:val="6"/>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8B"/>
    <w:rsid w:val="0001785C"/>
    <w:rsid w:val="0006626B"/>
    <w:rsid w:val="000877A9"/>
    <w:rsid w:val="000E29C2"/>
    <w:rsid w:val="000E3F86"/>
    <w:rsid w:val="00127723"/>
    <w:rsid w:val="00186248"/>
    <w:rsid w:val="00224376"/>
    <w:rsid w:val="002648CB"/>
    <w:rsid w:val="00282891"/>
    <w:rsid w:val="00290ED4"/>
    <w:rsid w:val="002A6DE3"/>
    <w:rsid w:val="00323242"/>
    <w:rsid w:val="00363BF7"/>
    <w:rsid w:val="003942B7"/>
    <w:rsid w:val="003A0B41"/>
    <w:rsid w:val="003C3A54"/>
    <w:rsid w:val="003F7D9D"/>
    <w:rsid w:val="00484011"/>
    <w:rsid w:val="00490C31"/>
    <w:rsid w:val="004E3D51"/>
    <w:rsid w:val="00502B15"/>
    <w:rsid w:val="00512B89"/>
    <w:rsid w:val="00522C43"/>
    <w:rsid w:val="005466C8"/>
    <w:rsid w:val="00547CB9"/>
    <w:rsid w:val="00573DEB"/>
    <w:rsid w:val="00576FCD"/>
    <w:rsid w:val="00594AC8"/>
    <w:rsid w:val="00603987"/>
    <w:rsid w:val="00660AFE"/>
    <w:rsid w:val="0067752B"/>
    <w:rsid w:val="006830F1"/>
    <w:rsid w:val="0069038B"/>
    <w:rsid w:val="006A1A7C"/>
    <w:rsid w:val="006B689A"/>
    <w:rsid w:val="006F3D2B"/>
    <w:rsid w:val="00727EF3"/>
    <w:rsid w:val="007677FA"/>
    <w:rsid w:val="007D6086"/>
    <w:rsid w:val="007E68B0"/>
    <w:rsid w:val="00801CD2"/>
    <w:rsid w:val="00822843"/>
    <w:rsid w:val="008507AD"/>
    <w:rsid w:val="00853765"/>
    <w:rsid w:val="008B422A"/>
    <w:rsid w:val="008C6123"/>
    <w:rsid w:val="008D3075"/>
    <w:rsid w:val="009075D8"/>
    <w:rsid w:val="00955BBF"/>
    <w:rsid w:val="00973FE4"/>
    <w:rsid w:val="0098759A"/>
    <w:rsid w:val="009A18F0"/>
    <w:rsid w:val="009B1AAE"/>
    <w:rsid w:val="009C3DE5"/>
    <w:rsid w:val="00A10686"/>
    <w:rsid w:val="00A16A24"/>
    <w:rsid w:val="00A81F73"/>
    <w:rsid w:val="00A8544D"/>
    <w:rsid w:val="00AB4884"/>
    <w:rsid w:val="00AC7B3E"/>
    <w:rsid w:val="00B47F97"/>
    <w:rsid w:val="00BC32A9"/>
    <w:rsid w:val="00C34122"/>
    <w:rsid w:val="00C53EE2"/>
    <w:rsid w:val="00C5623E"/>
    <w:rsid w:val="00C95537"/>
    <w:rsid w:val="00CA588B"/>
    <w:rsid w:val="00CB5499"/>
    <w:rsid w:val="00D07DEF"/>
    <w:rsid w:val="00D50382"/>
    <w:rsid w:val="00DB049C"/>
    <w:rsid w:val="00DD64EC"/>
    <w:rsid w:val="00DF6D75"/>
    <w:rsid w:val="00E10B80"/>
    <w:rsid w:val="00E206B8"/>
    <w:rsid w:val="00E27FFA"/>
    <w:rsid w:val="00E475E6"/>
    <w:rsid w:val="00E6318D"/>
    <w:rsid w:val="00E75932"/>
    <w:rsid w:val="00E96474"/>
    <w:rsid w:val="00EB1784"/>
    <w:rsid w:val="00EF6F9E"/>
    <w:rsid w:val="00F124E6"/>
    <w:rsid w:val="00F2100A"/>
    <w:rsid w:val="00F70F75"/>
    <w:rsid w:val="00F81DA2"/>
    <w:rsid w:val="00F97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pacing w:after="720"/>
      <w:jc w:val="both"/>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jc w:val="both"/>
    </w:pPr>
    <w:rPr>
      <w:rFonts w:cs="Arial Unicode MS"/>
      <w:color w:val="000000"/>
      <w:sz w:val="24"/>
      <w:szCs w:val="24"/>
      <w:u w:color="000000"/>
    </w:rPr>
  </w:style>
  <w:style w:type="paragraph" w:customStyle="1" w:styleId="NumberedPara">
    <w:name w:val="Numbered Para"/>
    <w:next w:val="BodyA"/>
    <w:pPr>
      <w:tabs>
        <w:tab w:val="left" w:pos="709"/>
      </w:tabs>
      <w:jc w:val="both"/>
    </w:pPr>
    <w:rPr>
      <w:rFonts w:ascii="Calibri" w:eastAsia="Calibri" w:hAnsi="Calibri" w:cs="Calibri"/>
      <w:color w:val="000000"/>
      <w:sz w:val="24"/>
      <w:szCs w:val="24"/>
      <w:u w:color="000000"/>
      <w:lang w:val="en-US"/>
    </w:rPr>
  </w:style>
  <w:style w:type="numbering" w:customStyle="1" w:styleId="ImportedStyle2">
    <w:name w:val="Imported Style 2"/>
    <w:pPr>
      <w:numPr>
        <w:numId w:val="1"/>
      </w:numPr>
    </w:pPr>
  </w:style>
  <w:style w:type="paragraph" w:styleId="FootnoteText">
    <w:name w:val="footnote text"/>
    <w:link w:val="FootnoteTextChar"/>
    <w:uiPriority w:val="99"/>
    <w:pPr>
      <w:tabs>
        <w:tab w:val="left" w:pos="284"/>
      </w:tabs>
      <w:spacing w:before="60" w:line="230" w:lineRule="exact"/>
      <w:ind w:left="284" w:hanging="284"/>
    </w:pPr>
    <w:rPr>
      <w:rFonts w:eastAsia="Times New Roman"/>
      <w:color w:val="000000"/>
      <w:sz w:val="18"/>
      <w:szCs w:val="18"/>
      <w:u w:color="000000"/>
      <w:lang w:val="en-US"/>
    </w:rPr>
  </w:style>
  <w:style w:type="paragraph" w:customStyle="1" w:styleId="Quote-1">
    <w:name w:val="Quote-1"/>
    <w:next w:val="BodyA"/>
    <w:pPr>
      <w:ind w:left="680" w:hanging="113"/>
      <w:jc w:val="both"/>
    </w:pPr>
    <w:rPr>
      <w:rFonts w:cs="Arial Unicode MS"/>
      <w:color w:val="000000"/>
      <w:sz w:val="24"/>
      <w:szCs w:val="24"/>
      <w:u w:color="000000"/>
      <w:lang w:val="en-US"/>
    </w:rPr>
  </w:style>
  <w:style w:type="paragraph" w:customStyle="1" w:styleId="Quote-1Block">
    <w:name w:val="Quote-1 Block"/>
    <w:next w:val="BodyA"/>
    <w:pPr>
      <w:ind w:left="709"/>
      <w:jc w:val="both"/>
    </w:pPr>
    <w:rPr>
      <w:rFonts w:eastAsia="Times New Roman"/>
      <w:color w:val="000000"/>
      <w:sz w:val="24"/>
      <w:szCs w:val="24"/>
      <w:u w:color="000000"/>
      <w:lang w:val="en-US"/>
    </w:rPr>
  </w:style>
  <w:style w:type="paragraph" w:customStyle="1" w:styleId="Quote-2">
    <w:name w:val="Quote-2"/>
    <w:next w:val="BodyA"/>
    <w:pPr>
      <w:ind w:left="1417" w:hanging="113"/>
      <w:jc w:val="both"/>
    </w:pPr>
    <w:rPr>
      <w:rFonts w:eastAsia="Times New Roman"/>
      <w:color w:val="000000"/>
      <w:sz w:val="24"/>
      <w:szCs w:val="24"/>
      <w:u w:color="000000"/>
      <w:lang w:val="en-US"/>
    </w:rPr>
  </w:style>
  <w:style w:type="numbering" w:customStyle="1" w:styleId="ImportedStyle3">
    <w:name w:val="Imported Style 3"/>
    <w:pPr>
      <w:numPr>
        <w:numId w:val="3"/>
      </w:numPr>
    </w:pPr>
  </w:style>
  <w:style w:type="paragraph" w:styleId="ListParagraph">
    <w:name w:val="List Paragraph"/>
    <w:uiPriority w:val="34"/>
    <w:qFormat/>
    <w:pPr>
      <w:ind w:left="720"/>
      <w:jc w:val="both"/>
    </w:pPr>
    <w:rPr>
      <w:rFonts w:eastAsia="Times New Roman"/>
      <w:color w:val="000000"/>
      <w:sz w:val="24"/>
      <w:szCs w:val="24"/>
      <w:u w:color="000000"/>
      <w:lang w:val="en-US"/>
    </w:rPr>
  </w:style>
  <w:style w:type="paragraph" w:customStyle="1" w:styleId="Quote-2Block">
    <w:name w:val="Quote-2 Block"/>
    <w:next w:val="BodyA"/>
    <w:pPr>
      <w:ind w:left="1418"/>
      <w:jc w:val="both"/>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A1A7C"/>
    <w:rPr>
      <w:rFonts w:ascii="Tahoma" w:hAnsi="Tahoma" w:cs="Tahoma"/>
      <w:sz w:val="16"/>
      <w:szCs w:val="16"/>
    </w:rPr>
  </w:style>
  <w:style w:type="character" w:customStyle="1" w:styleId="BalloonTextChar">
    <w:name w:val="Balloon Text Char"/>
    <w:basedOn w:val="DefaultParagraphFont"/>
    <w:link w:val="BalloonText"/>
    <w:uiPriority w:val="99"/>
    <w:semiHidden/>
    <w:rsid w:val="006A1A7C"/>
    <w:rPr>
      <w:rFonts w:ascii="Tahoma" w:hAnsi="Tahoma" w:cs="Tahoma"/>
      <w:sz w:val="16"/>
      <w:szCs w:val="16"/>
      <w:lang w:val="en-US" w:eastAsia="en-US"/>
    </w:rPr>
  </w:style>
  <w:style w:type="character" w:customStyle="1" w:styleId="FootnoteTextChar">
    <w:name w:val="Footnote Text Char"/>
    <w:basedOn w:val="DefaultParagraphFont"/>
    <w:link w:val="FootnoteText"/>
    <w:uiPriority w:val="99"/>
    <w:rsid w:val="00B47F97"/>
    <w:rPr>
      <w:rFonts w:eastAsia="Times New Roman"/>
      <w:color w:val="000000"/>
      <w:sz w:val="18"/>
      <w:szCs w:val="18"/>
      <w:u w:color="000000"/>
      <w:lang w:val="en-US"/>
    </w:rPr>
  </w:style>
  <w:style w:type="character" w:styleId="FootnoteReference">
    <w:name w:val="footnote reference"/>
    <w:basedOn w:val="DefaultParagraphFont"/>
    <w:uiPriority w:val="99"/>
    <w:semiHidden/>
    <w:unhideWhenUsed/>
    <w:rsid w:val="00B47F97"/>
    <w:rPr>
      <w:vertAlign w:val="superscript"/>
    </w:rPr>
  </w:style>
  <w:style w:type="paragraph" w:styleId="NoSpacing">
    <w:name w:val="No Spacing"/>
    <w:uiPriority w:val="1"/>
    <w:qFormat/>
    <w:rsid w:val="00A10686"/>
    <w:rPr>
      <w:sz w:val="24"/>
      <w:szCs w:val="24"/>
      <w:lang w:val="en-US" w:eastAsia="en-US"/>
    </w:rPr>
  </w:style>
  <w:style w:type="paragraph" w:styleId="Footer">
    <w:name w:val="footer"/>
    <w:basedOn w:val="Normal"/>
    <w:link w:val="FooterChar"/>
    <w:uiPriority w:val="99"/>
    <w:unhideWhenUsed/>
    <w:rsid w:val="00484011"/>
    <w:pPr>
      <w:tabs>
        <w:tab w:val="center" w:pos="4513"/>
        <w:tab w:val="right" w:pos="9026"/>
      </w:tabs>
    </w:pPr>
  </w:style>
  <w:style w:type="character" w:customStyle="1" w:styleId="FooterChar">
    <w:name w:val="Footer Char"/>
    <w:basedOn w:val="DefaultParagraphFont"/>
    <w:link w:val="Footer"/>
    <w:uiPriority w:val="99"/>
    <w:rsid w:val="0048401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pacing w:after="720"/>
      <w:jc w:val="both"/>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jc w:val="both"/>
    </w:pPr>
    <w:rPr>
      <w:rFonts w:cs="Arial Unicode MS"/>
      <w:color w:val="000000"/>
      <w:sz w:val="24"/>
      <w:szCs w:val="24"/>
      <w:u w:color="000000"/>
    </w:rPr>
  </w:style>
  <w:style w:type="paragraph" w:customStyle="1" w:styleId="NumberedPara">
    <w:name w:val="Numbered Para"/>
    <w:next w:val="BodyA"/>
    <w:pPr>
      <w:tabs>
        <w:tab w:val="left" w:pos="709"/>
      </w:tabs>
      <w:jc w:val="both"/>
    </w:pPr>
    <w:rPr>
      <w:rFonts w:ascii="Calibri" w:eastAsia="Calibri" w:hAnsi="Calibri" w:cs="Calibri"/>
      <w:color w:val="000000"/>
      <w:sz w:val="24"/>
      <w:szCs w:val="24"/>
      <w:u w:color="000000"/>
      <w:lang w:val="en-US"/>
    </w:rPr>
  </w:style>
  <w:style w:type="numbering" w:customStyle="1" w:styleId="ImportedStyle2">
    <w:name w:val="Imported Style 2"/>
    <w:pPr>
      <w:numPr>
        <w:numId w:val="1"/>
      </w:numPr>
    </w:pPr>
  </w:style>
  <w:style w:type="paragraph" w:styleId="FootnoteText">
    <w:name w:val="footnote text"/>
    <w:link w:val="FootnoteTextChar"/>
    <w:uiPriority w:val="99"/>
    <w:pPr>
      <w:tabs>
        <w:tab w:val="left" w:pos="284"/>
      </w:tabs>
      <w:spacing w:before="60" w:line="230" w:lineRule="exact"/>
      <w:ind w:left="284" w:hanging="284"/>
    </w:pPr>
    <w:rPr>
      <w:rFonts w:eastAsia="Times New Roman"/>
      <w:color w:val="000000"/>
      <w:sz w:val="18"/>
      <w:szCs w:val="18"/>
      <w:u w:color="000000"/>
      <w:lang w:val="en-US"/>
    </w:rPr>
  </w:style>
  <w:style w:type="paragraph" w:customStyle="1" w:styleId="Quote-1">
    <w:name w:val="Quote-1"/>
    <w:next w:val="BodyA"/>
    <w:pPr>
      <w:ind w:left="680" w:hanging="113"/>
      <w:jc w:val="both"/>
    </w:pPr>
    <w:rPr>
      <w:rFonts w:cs="Arial Unicode MS"/>
      <w:color w:val="000000"/>
      <w:sz w:val="24"/>
      <w:szCs w:val="24"/>
      <w:u w:color="000000"/>
      <w:lang w:val="en-US"/>
    </w:rPr>
  </w:style>
  <w:style w:type="paragraph" w:customStyle="1" w:styleId="Quote-1Block">
    <w:name w:val="Quote-1 Block"/>
    <w:next w:val="BodyA"/>
    <w:pPr>
      <w:ind w:left="709"/>
      <w:jc w:val="both"/>
    </w:pPr>
    <w:rPr>
      <w:rFonts w:eastAsia="Times New Roman"/>
      <w:color w:val="000000"/>
      <w:sz w:val="24"/>
      <w:szCs w:val="24"/>
      <w:u w:color="000000"/>
      <w:lang w:val="en-US"/>
    </w:rPr>
  </w:style>
  <w:style w:type="paragraph" w:customStyle="1" w:styleId="Quote-2">
    <w:name w:val="Quote-2"/>
    <w:next w:val="BodyA"/>
    <w:pPr>
      <w:ind w:left="1417" w:hanging="113"/>
      <w:jc w:val="both"/>
    </w:pPr>
    <w:rPr>
      <w:rFonts w:eastAsia="Times New Roman"/>
      <w:color w:val="000000"/>
      <w:sz w:val="24"/>
      <w:szCs w:val="24"/>
      <w:u w:color="000000"/>
      <w:lang w:val="en-US"/>
    </w:rPr>
  </w:style>
  <w:style w:type="numbering" w:customStyle="1" w:styleId="ImportedStyle3">
    <w:name w:val="Imported Style 3"/>
    <w:pPr>
      <w:numPr>
        <w:numId w:val="3"/>
      </w:numPr>
    </w:pPr>
  </w:style>
  <w:style w:type="paragraph" w:styleId="ListParagraph">
    <w:name w:val="List Paragraph"/>
    <w:uiPriority w:val="34"/>
    <w:qFormat/>
    <w:pPr>
      <w:ind w:left="720"/>
      <w:jc w:val="both"/>
    </w:pPr>
    <w:rPr>
      <w:rFonts w:eastAsia="Times New Roman"/>
      <w:color w:val="000000"/>
      <w:sz w:val="24"/>
      <w:szCs w:val="24"/>
      <w:u w:color="000000"/>
      <w:lang w:val="en-US"/>
    </w:rPr>
  </w:style>
  <w:style w:type="paragraph" w:customStyle="1" w:styleId="Quote-2Block">
    <w:name w:val="Quote-2 Block"/>
    <w:next w:val="BodyA"/>
    <w:pPr>
      <w:ind w:left="1418"/>
      <w:jc w:val="both"/>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A1A7C"/>
    <w:rPr>
      <w:rFonts w:ascii="Tahoma" w:hAnsi="Tahoma" w:cs="Tahoma"/>
      <w:sz w:val="16"/>
      <w:szCs w:val="16"/>
    </w:rPr>
  </w:style>
  <w:style w:type="character" w:customStyle="1" w:styleId="BalloonTextChar">
    <w:name w:val="Balloon Text Char"/>
    <w:basedOn w:val="DefaultParagraphFont"/>
    <w:link w:val="BalloonText"/>
    <w:uiPriority w:val="99"/>
    <w:semiHidden/>
    <w:rsid w:val="006A1A7C"/>
    <w:rPr>
      <w:rFonts w:ascii="Tahoma" w:hAnsi="Tahoma" w:cs="Tahoma"/>
      <w:sz w:val="16"/>
      <w:szCs w:val="16"/>
      <w:lang w:val="en-US" w:eastAsia="en-US"/>
    </w:rPr>
  </w:style>
  <w:style w:type="character" w:customStyle="1" w:styleId="FootnoteTextChar">
    <w:name w:val="Footnote Text Char"/>
    <w:basedOn w:val="DefaultParagraphFont"/>
    <w:link w:val="FootnoteText"/>
    <w:uiPriority w:val="99"/>
    <w:rsid w:val="00B47F97"/>
    <w:rPr>
      <w:rFonts w:eastAsia="Times New Roman"/>
      <w:color w:val="000000"/>
      <w:sz w:val="18"/>
      <w:szCs w:val="18"/>
      <w:u w:color="000000"/>
      <w:lang w:val="en-US"/>
    </w:rPr>
  </w:style>
  <w:style w:type="character" w:styleId="FootnoteReference">
    <w:name w:val="footnote reference"/>
    <w:basedOn w:val="DefaultParagraphFont"/>
    <w:uiPriority w:val="99"/>
    <w:semiHidden/>
    <w:unhideWhenUsed/>
    <w:rsid w:val="00B47F97"/>
    <w:rPr>
      <w:vertAlign w:val="superscript"/>
    </w:rPr>
  </w:style>
  <w:style w:type="paragraph" w:styleId="NoSpacing">
    <w:name w:val="No Spacing"/>
    <w:uiPriority w:val="1"/>
    <w:qFormat/>
    <w:rsid w:val="00A10686"/>
    <w:rPr>
      <w:sz w:val="24"/>
      <w:szCs w:val="24"/>
      <w:lang w:val="en-US" w:eastAsia="en-US"/>
    </w:rPr>
  </w:style>
  <w:style w:type="paragraph" w:styleId="Footer">
    <w:name w:val="footer"/>
    <w:basedOn w:val="Normal"/>
    <w:link w:val="FooterChar"/>
    <w:uiPriority w:val="99"/>
    <w:unhideWhenUsed/>
    <w:rsid w:val="00484011"/>
    <w:pPr>
      <w:tabs>
        <w:tab w:val="center" w:pos="4513"/>
        <w:tab w:val="right" w:pos="9026"/>
      </w:tabs>
    </w:pPr>
  </w:style>
  <w:style w:type="character" w:customStyle="1" w:styleId="FooterChar">
    <w:name w:val="Footer Char"/>
    <w:basedOn w:val="DefaultParagraphFont"/>
    <w:link w:val="Footer"/>
    <w:uiPriority w:val="99"/>
    <w:rsid w:val="004840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E3A8-B0FA-4CEE-BF9F-5926A45E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3158DF1A.dotm</Template>
  <TotalTime>1</TotalTime>
  <Pages>10</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Matthew</dc:creator>
  <cp:lastModifiedBy>Wilson, Matthew</cp:lastModifiedBy>
  <cp:revision>3</cp:revision>
  <cp:lastPrinted>2017-04-26T06:22:00Z</cp:lastPrinted>
  <dcterms:created xsi:type="dcterms:W3CDTF">2017-04-26T06:22:00Z</dcterms:created>
  <dcterms:modified xsi:type="dcterms:W3CDTF">2017-04-26T06:23:00Z</dcterms:modified>
</cp:coreProperties>
</file>